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6</w:t>
      </w:r>
    </w:p>
    <w:p>
      <w:pPr>
        <w:pStyle w:val="Heading1"/>
      </w:pPr>
      <w:r>
        <w:t>Learning Without Being Told</w:t>
      </w:r>
    </w:p>
    <w:p>
      <w:pPr>
        <w:pStyle w:val="BookSection"/>
      </w:pPr>
      <w:r>
        <w:t>Wrong on purpose</w:t>
      </w:r>
    </w:p>
    <w:p>
      <w:r>
        <w:rPr>
          <w:i w:val="0"/>
        </w:rPr>
        <w:t xml:space="preserve">Take Monte Carlo configurations of the square-lattice Ising model sampled across a window of temperatures that contains the critical point, and label them by a rule you know to be wrong. Pick a trial temperature </w:t>
      </w:r>
      <m:oMath>
        <m:sSup>
          <m:e>
            <m:r>
              <m:t>c</m:t>
            </m:r>
          </m:e>
          <m:sup>
            <m:r>
              <m:t>′</m:t>
            </m:r>
          </m:sup>
        </m:sSup>
      </m:oMath>
      <w:r>
        <w:rPr>
          <w:i w:val="0"/>
        </w:rPr>
        <w:t xml:space="preserve"> inside the window, tag every configuration drawn below it as class zero and every configuration above it as class one, and train a fresh network on that tagging. Unless </w:t>
      </w:r>
      <m:oMath>
        <m:sSup>
          <m:e>
            <m:r>
              <m:t>c</m:t>
            </m:r>
          </m:e>
          <m:sup>
            <m:r>
              <m:t>′</m:t>
            </m:r>
          </m:sup>
        </m:sSup>
      </m:oMath>
      <w:r>
        <w:rPr>
          <w:i w:val="0"/>
        </w:rPr>
        <w:t xml:space="preserve"> coincides with </w:t>
      </w:r>
      <m:oMath>
        <m:sSub>
          <m:e>
            <m:r>
              <m:t>T</m:t>
            </m:r>
          </m:e>
          <m:sub>
            <m:r>
              <m:t>c</m:t>
            </m:r>
          </m:sub>
        </m:sSub>
      </m:oMath>
      <w:r>
        <w:rPr>
          <w:i w:val="0"/>
        </w:rPr>
        <w:t>, part of the data now carries the wrong tag, and training cannot repair it, because configurations drawn from the same phase are statistically alike and the network has nothing else to go on. Evert P. L. van Nieuwenburg, Ye-Hua Liu and Sebastian D. Huber turned that guaranteed failure into a measurement.</w:t>
      </w:r>
    </w:p>
    <w:p>
      <w:r>
        <w:rPr>
          <w:i w:val="0"/>
        </w:rPr>
        <w:t xml:space="preserve">Let the tuning parameter run over </w:t>
      </w:r>
      <m:oMath>
        <m:d>
          <m:dPr>
            <m:sepChr m:val=","/>
          </m:dPr>
          <m:e>
            <m:r>
              <m:t>a</m:t>
            </m:r>
          </m:e>
          <m:e>
            <m:r>
              <m:t>b</m:t>
            </m:r>
          </m:e>
        </m:d>
      </m:oMath>
      <w:r>
        <w:rPr>
          <w:i w:val="0"/>
        </w:rPr>
        <w:t xml:space="preserve"> with the true transition at </w:t>
      </w:r>
      <m:oMath>
        <m:r>
          <m:t>c</m:t>
        </m:r>
      </m:oMath>
      <w:r>
        <w:rPr>
          <w:i w:val="0"/>
        </w:rPr>
        <w:t xml:space="preserve">, and take </w:t>
      </w:r>
      <m:oMath>
        <m:r>
          <m:t>a&lt;</m:t>
        </m:r>
        <m:sSup>
          <m:e>
            <m:r>
              <m:t>c</m:t>
            </m:r>
          </m:e>
          <m:sup>
            <m:r>
              <m:t>′</m:t>
            </m:r>
          </m:sup>
        </m:sSup>
        <m:r>
          <m:t>&lt;c</m:t>
        </m:r>
      </m:oMath>
      <w:r>
        <w:rPr>
          <w:i w:val="0"/>
        </w:rPr>
        <w:t xml:space="preserve">. The data fall into three intervals: </w:t>
      </w:r>
      <m:oMath>
        <m:d>
          <m:dPr>
            <m:sepChr m:val=","/>
          </m:dPr>
          <m:e>
            <m:r>
              <m:t>a</m:t>
            </m:r>
          </m:e>
          <m:e>
            <m:sSup>
              <m:e>
                <m:r>
                  <m:t>c</m:t>
                </m:r>
              </m:e>
              <m:sup>
                <m:r>
                  <m:t>′</m:t>
                </m:r>
              </m:sup>
            </m:sSup>
          </m:e>
        </m:d>
      </m:oMath>
      <w:r>
        <w:rPr>
          <w:i w:val="0"/>
        </w:rPr>
        <w:t xml:space="preserve">, tagged zero and belonging to the low-parameter phase; </w:t>
      </w:r>
      <m:oMath>
        <m:d>
          <m:dPr>
            <m:sepChr m:val=","/>
          </m:dPr>
          <m:e>
            <m:sSup>
              <m:e>
                <m:r>
                  <m:t>c</m:t>
                </m:r>
              </m:e>
              <m:sup>
                <m:r>
                  <m:t>′</m:t>
                </m:r>
              </m:sup>
            </m:sSup>
          </m:e>
          <m:e>
            <m:r>
              <m:t>c</m:t>
            </m:r>
          </m:e>
        </m:d>
      </m:oMath>
      <w:r>
        <w:rPr>
          <w:i w:val="0"/>
        </w:rPr>
        <w:t xml:space="preserve">, tagged one and belonging to that same phase; and </w:t>
      </w:r>
      <m:oMath>
        <m:d>
          <m:dPr>
            <m:sepChr m:val=","/>
          </m:dPr>
          <m:e>
            <m:r>
              <m:t>c</m:t>
            </m:r>
          </m:e>
          <m:e>
            <m:r>
              <m:t>b</m:t>
            </m:r>
          </m:e>
        </m:d>
      </m:oMath>
      <w:r>
        <w:rPr>
          <w:i w:val="0"/>
        </w:rPr>
        <w:t xml:space="preserve">, tagged one and belonging to the other. A classifier that can resolve nothing finer than the phase must return a single answer across the whole of </w:t>
      </w:r>
      <m:oMath>
        <m:d>
          <m:dPr>
            <m:sepChr m:val=","/>
          </m:dPr>
          <m:e>
            <m:r>
              <m:t>a</m:t>
            </m:r>
          </m:e>
          <m:e>
            <m:r>
              <m:t>c</m:t>
            </m:r>
          </m:e>
        </m:d>
      </m:oMath>
      <w:r>
        <w:rPr>
          <w:i w:val="0"/>
        </w:rPr>
        <w:t xml:space="preserve">. Trained to minimize error it returns the majority tag, and its mistakes are the minority, </w:t>
      </w:r>
      <m:oMath>
        <m:r>
          <m:t>min(</m:t>
        </m:r>
        <m:sSup>
          <m:e>
            <m:r>
              <m:t>c</m:t>
            </m:r>
          </m:e>
          <m:sup>
            <m:r>
              <m:t>′</m:t>
            </m:r>
          </m:sup>
        </m:sSup>
        <m:r>
          <m:t>−a,</m:t>
        </m:r>
        <m:r>
          <m:t>c−</m:t>
        </m:r>
        <m:sSup>
          <m:e>
            <m:r>
              <m:t>c</m:t>
            </m:r>
          </m:e>
          <m:sup>
            <m:r>
              <m:t>′</m:t>
            </m:r>
          </m:sup>
        </m:sSup>
        <m:r>
          <m:t>)</m:t>
        </m:r>
      </m:oMath>
      <w:r>
        <w:rPr>
          <w:i w:val="0"/>
        </w:rPr>
        <w:t xml:space="preserve"> samples out of the </w:t>
      </w:r>
      <m:oMath>
        <m:r>
          <m:t>c−a</m:t>
        </m:r>
      </m:oMath>
      <w:r>
        <w:rPr>
          <w:i w:val="0"/>
        </w:rPr>
        <w:t xml:space="preserve"> that make up that phase, so its accuracy there is</w:t>
      </w:r>
    </w:p>
    <w:p>
      <w:pPr>
        <w:spacing w:before="200" w:after="200"/>
        <w:ind w:firstLine="0"/>
        <w:jc w:val="center"/>
        <w:contextualSpacing w:val="0"/>
      </w:pPr>
      <m:oMath>
        <m:r>
          <m:t>P(</m:t>
        </m:r>
        <m:sSup>
          <m:e>
            <m:r>
              <m:t>c</m:t>
            </m:r>
          </m:e>
          <m:sup>
            <m:r>
              <m:t>′</m:t>
            </m:r>
          </m:sup>
        </m:sSup>
        <m:r>
          <m:t>)=1−</m:t>
        </m:r>
        <m:f>
          <m:fPr>
            <m:type m:val="bar"/>
          </m:fPr>
          <m:num>
            <m:r>
              <m:t>min(</m:t>
            </m:r>
            <m:sSup>
              <m:e>
                <m:r>
                  <m:t>c</m:t>
                </m:r>
              </m:e>
              <m:sup>
                <m:r>
                  <m:t>′</m:t>
                </m:r>
              </m:sup>
            </m:sSup>
            <m:r>
              <m:t>−a,</m:t>
            </m:r>
            <m:r>
              <m:t>c−</m:t>
            </m:r>
            <m:sSup>
              <m:e>
                <m:r>
                  <m:t>c</m:t>
                </m:r>
              </m:e>
              <m:sup>
                <m:r>
                  <m:t>′</m:t>
                </m:r>
              </m:sup>
            </m:sSup>
            <m:r>
              <m:t>)</m:t>
            </m:r>
          </m:num>
          <m:den>
            <m:r>
              <m:t>c−a</m:t>
            </m:r>
          </m:den>
        </m:f>
        <m:r>
          <m:t>.</m:t>
        </m:r>
      </m:oMath>
    </w:p>
    <w:p>
      <w:r>
        <w:rPr>
          <w:i w:val="0"/>
        </w:rPr>
        <w:t xml:space="preserve">The samples in </w:t>
      </w:r>
      <m:oMath>
        <m:d>
          <m:dPr>
            <m:sepChr m:val=","/>
          </m:dPr>
          <m:e>
            <m:r>
              <m:t>c</m:t>
            </m:r>
          </m:e>
          <m:e>
            <m:r>
              <m:t>b</m:t>
            </m:r>
          </m:e>
        </m:d>
      </m:oMath>
      <w:r>
        <w:rPr>
          <w:i w:val="0"/>
        </w:rPr>
        <w:t xml:space="preserve"> all carry the same tag and are classified correctly; folding them in raises the curve without moving its extrema. Now sweep </w:t>
      </w:r>
      <m:oMath>
        <m:sSup>
          <m:e>
            <m:r>
              <m:t>c</m:t>
            </m:r>
          </m:e>
          <m:sup>
            <m:r>
              <m:t>′</m:t>
            </m:r>
          </m:sup>
        </m:sSup>
      </m:oMath>
      <w:r>
        <w:rPr>
          <w:i w:val="0"/>
        </w:rPr>
        <w:t xml:space="preserve"> across the window. At </w:t>
      </w:r>
      <m:oMath>
        <m:sSup>
          <m:e>
            <m:r>
              <m:t>c</m:t>
            </m:r>
          </m:e>
          <m:sup>
            <m:r>
              <m:t>′</m:t>
            </m:r>
          </m:sup>
        </m:sSup>
        <m:r>
          <m:t>=a</m:t>
        </m:r>
      </m:oMath>
      <w:r>
        <w:rPr>
          <w:i w:val="0"/>
        </w:rPr>
        <w:t xml:space="preserve"> everything is tagged one, the network outputs one everywhere, and performance is perfect by construction; the same holds at </w:t>
      </w:r>
      <m:oMath>
        <m:sSup>
          <m:e>
            <m:r>
              <m:t>c</m:t>
            </m:r>
          </m:e>
          <m:sup>
            <m:r>
              <m:t>′</m:t>
            </m:r>
          </m:sup>
        </m:sSup>
        <m:r>
          <m:t>=b</m:t>
        </m:r>
      </m:oMath>
      <w:r>
        <w:rPr>
          <w:i w:val="0"/>
        </w:rPr>
        <w:t xml:space="preserve">. At </w:t>
      </w:r>
      <m:oMath>
        <m:sSup>
          <m:e>
            <m:r>
              <m:t>c</m:t>
            </m:r>
          </m:e>
          <m:sup>
            <m:r>
              <m:t>′</m:t>
            </m:r>
          </m:sup>
        </m:sSup>
        <m:r>
          <m:t>=c</m:t>
        </m:r>
      </m:oMath>
      <w:r>
        <w:rPr>
          <w:i w:val="0"/>
        </w:rPr>
        <w:t xml:space="preserve"> the labelling is correct and performance is again perfect. Between the ends and the centre the expression above falls to one half at </w:t>
      </w:r>
      <m:oMath>
        <m:sSup>
          <m:e>
            <m:r>
              <m:t>c</m:t>
            </m:r>
          </m:e>
          <m:sup>
            <m:r>
              <m:t>′</m:t>
            </m:r>
          </m:sup>
        </m:sSup>
        <m:r>
          <m:t>=(a+c)/2</m:t>
        </m:r>
      </m:oMath>
      <w:r>
        <w:rPr>
          <w:i w:val="0"/>
        </w:rPr>
        <w:t xml:space="preserve">, and by the mirror argument to the right of </w:t>
      </w:r>
      <m:oMath>
        <m:r>
          <m:t>c</m:t>
        </m:r>
      </m:oMath>
      <w:r>
        <w:rPr>
          <w:i w:val="0"/>
        </w:rPr>
        <w:t xml:space="preserve"> it falls again. Three peaks and two troughs: the W shape that gives the method its signature. Placing </w:t>
      </w:r>
      <m:oMath>
        <m:r>
          <m:t>c</m:t>
        </m:r>
      </m:oMath>
      <w:r>
        <w:rPr>
          <w:i w:val="0"/>
        </w:rPr>
        <w:t xml:space="preserve"> asymmetrically in the window changes the depths of the two minima but not the position of the central peak.</w:t>
      </w:r>
    </w:p>
    <w:p>
      <w:r>
        <w:rPr>
          <w:i w:val="0"/>
        </w:rPr>
        <w:t>The control matters as much as the result. Trained on unstructured random data against a fictitious tuning parameter, the central peak disappears and the W collapses to a V, since there is no labelling other than the trivial ones that a classifier can reproduce. The presence of a middle peak is therefore evidence that the data contain a boundary at all, not merely an estimate of where one sits.</w:t>
      </w:r>
    </w:p>
    <w:p>
      <w:r>
        <w:rPr>
          <w:i w:val="0"/>
        </w:rPr>
        <w:t xml:space="preserve">Van Nieuwenburg, Liu and Huber ran the scheme on three systems. For the Kitaev chain the input was the ten largest eigenvalues of the entanglement spectrum at </w:t>
      </w:r>
      <m:oMath>
        <m:r>
          <m:t>L=20</m:t>
        </m:r>
      </m:oMath>
      <w:r>
        <w:rPr>
          <w:i w:val="0"/>
        </w:rPr>
        <w:t xml:space="preserve"> with equal bipartition, and the topological transition came back at </w:t>
      </w:r>
      <m:oMath>
        <m:r>
          <m:t>μ=−2t</m:t>
        </m:r>
      </m:oMath>
      <w:r>
        <w:rPr>
          <w:i w:val="0"/>
        </w:rPr>
        <w:t xml:space="preserve">. For the two-dimensional classical Ising model the network took </w:t>
      </w:r>
      <m:oMath>
        <m:sSup>
          <m:e>
            <m:r>
              <m:t>L</m:t>
            </m:r>
          </m:e>
          <m:sup>
            <m:r>
              <m:t>2</m:t>
            </m:r>
          </m:sup>
        </m:sSup>
      </m:oMath>
      <w:r>
        <w:rPr>
          <w:i w:val="0"/>
        </w:rPr>
        <w:t xml:space="preserve"> inputs into </w:t>
      </w:r>
      <m:oMath>
        <m:sSup>
          <m:e>
            <m:r>
              <m:t>L</m:t>
            </m:r>
          </m:e>
          <m:sup>
            <m:r>
              <m:t>2</m:t>
            </m:r>
          </m:sup>
        </m:sSup>
      </m:oMath>
      <w:r>
        <w:rPr>
          <w:i w:val="0"/>
        </w:rPr>
        <w:t xml:space="preserve"> hidden units and two outputs; at </w:t>
      </w:r>
      <m:oMath>
        <m:r>
          <m:t>L=10</m:t>
        </m:r>
      </m:oMath>
      <w:r>
        <w:rPr>
          <w:i w:val="0"/>
        </w:rPr>
        <w:t xml:space="preserve"> the peak sits away from </w:t>
      </w:r>
      <m:oMath>
        <m:sSub>
          <m:e>
            <m:r>
              <m:t>T</m:t>
            </m:r>
          </m:e>
          <m:sub>
            <m:r>
              <m:t>c</m:t>
            </m:r>
          </m:sub>
        </m:sSub>
      </m:oMath>
      <w:r>
        <w:rPr>
          <w:i w:val="0"/>
        </w:rPr>
        <w:t xml:space="preserve"> through finite-size effects, and at </w:t>
      </w:r>
      <m:oMath>
        <m:r>
          <m:t>L=20</m:t>
        </m:r>
      </m:oMath>
      <w:r>
        <w:rPr>
          <w:i w:val="0"/>
        </w:rPr>
        <w:t xml:space="preserve"> it sits at </w:t>
      </w:r>
      <m:oMath>
        <m:sSub>
          <m:e>
            <m:r>
              <m:t>k</m:t>
            </m:r>
          </m:e>
          <m:sub>
            <m:r>
              <m:rPr>
                <m:sty m:val="p"/>
              </m:rPr>
              <m:t>B</m:t>
            </m:r>
          </m:sub>
        </m:sSub>
        <m:sSub>
          <m:e>
            <m:r>
              <m:t>T</m:t>
            </m:r>
          </m:e>
          <m:sub>
            <m:r>
              <m:t>c</m:t>
            </m:r>
          </m:sub>
        </m:sSub>
        <m:r>
          <m:t>≈2.27</m:t>
        </m:r>
        <m:r>
          <m:t>J</m:t>
        </m:r>
      </m:oMath>
      <w:r>
        <w:rPr>
          <w:i w:val="0"/>
        </w:rPr>
        <w:t xml:space="preserve">. For a random-field Heisenberg chain at </w:t>
      </w:r>
      <m:oMath>
        <m:r>
          <m:t>L=12</m:t>
        </m:r>
      </m:oMath>
      <w:r>
        <w:rPr>
          <w:i w:val="0"/>
        </w:rPr>
        <w:t xml:space="preserve">, using 64 entanglement-spectrum levels and </w:t>
      </w:r>
      <m:oMath>
        <m:sSup>
          <m:e>
            <m:r>
              <m:t>10</m:t>
            </m:r>
          </m:e>
          <m:sup>
            <m:r>
              <m:t>5</m:t>
            </m:r>
          </m:sup>
        </m:sSup>
      </m:oMath>
      <w:r>
        <w:rPr>
          <w:i w:val="0"/>
        </w:rPr>
        <w:t xml:space="preserve"> disorder realizations per field strength, the many-body-localization transition came back at </w:t>
      </w:r>
      <m:oMath>
        <m:sSub>
          <m:e>
            <m:r>
              <m:t>h</m:t>
            </m:r>
          </m:e>
          <m:sub>
            <m:r>
              <m:t>c</m:t>
            </m:r>
          </m:sub>
        </m:sSub>
        <m:r>
          <m:t>≈3J</m:t>
        </m:r>
      </m:oMath>
      <w:r>
        <w:rPr>
          <w:i w:val="0"/>
        </w:rPr>
        <w:t xml:space="preserve">. A separate test blanks out a window of width up to </w:t>
      </w:r>
      <m:oMath>
        <m:r>
          <m:t>w=3t</m:t>
        </m:r>
      </m:oMath>
      <w:r>
        <w:rPr>
          <w:i w:val="0"/>
        </w:rPr>
        <w:t xml:space="preserve"> around the transition in the training data of an ordinary supervised network, which still locates it.</w:t>
      </w:r>
    </w:p>
    <w:p>
      <w:r>
        <w:rPr>
          <w:i w:val="0"/>
        </w:rPr>
        <w:t xml:space="preserve">What the peak certifies is narrower than it first appears. Two of the three demonstrations feed the network entanglement spectra rather than raw configurations, which is a representation chosen by a physicist for its known sensitivity to the transition in question, and the sweep presupposes the parameter axis along which the boundary is expected to lie. The derivation above also assumed that the classifier can resolve the phase and nothing finer, which is the assumption that fails whenever a network can partly memorize the trial labelling, and it assumed that the labelling the network reproduces most easily is the physical one. Neither is guaranteed, and both are assumptions about learnability rather than about the Hamiltonian. What the method removes is the label, and only the label. Julian Arnold and Frank Schäfer made the residue explicit by deriving, for the confusion scheme and for learning by prediction, the optimal output that a network of unbounded capacity converges to. Those optima are closed-form functionals of the underlying data distributions </w:t>
      </w:r>
      <m:oMath>
        <m:r>
          <m:t>p(x</m:t>
        </m:r>
        <m:r>
          <m:t>|</m:t>
        </m:r>
        <m:r>
          <m:rPr>
            <m:nor/>
          </m:rPr>
          <m:t>parameter</m:t>
        </m:r>
        <m:r>
          <m:t>)</m:t>
        </m:r>
      </m:oMath>
      <w:r>
        <w:rPr>
          <w:i w:val="0"/>
        </w:rPr>
        <w:t>, so the trained network is an estimator of a quantity that can be written down and evaluated directly, faster and with no training at all, a route they validate on topological, quantum and many-body-localization transitions. The W is a property of the family of distributions the sampler produced. The learning is machinery for measuring it.</w:t>
      </w:r>
    </w:p>
    <w:p>
      <w:pPr>
        <w:pStyle w:val="BookSection"/>
      </w:pPr>
      <w:r>
        <w:t>What the covariance matrix knows</w:t>
      </w:r>
    </w:p>
    <w:p>
      <w:r>
        <w:rPr>
          <w:i w:val="0"/>
        </w:rPr>
        <w:t xml:space="preserve">Lei Wang removed the labels completely. Collecting 100 uncorrelated Wolff-sampled square-lattice Ising configurations at each of </w:t>
      </w:r>
      <m:oMath>
        <m:r>
          <m:t>T/J=1.6,1.7,…,2.9</m:t>
        </m:r>
      </m:oMath>
      <w:r>
        <w:rPr>
          <w:i w:val="0"/>
        </w:rPr>
        <w:t xml:space="preserve"> into a matrix </w:t>
      </w:r>
      <m:oMath>
        <m:r>
          <m:t>X</m:t>
        </m:r>
      </m:oMath>
      <w:r>
        <w:rPr>
          <w:i w:val="0"/>
        </w:rPr>
        <w:t xml:space="preserve"> with </w:t>
      </w:r>
      <m:oMath>
        <m:r>
          <m:t>M=1400</m:t>
        </m:r>
      </m:oMath>
      <w:r>
        <w:rPr>
          <w:i w:val="0"/>
        </w:rPr>
        <w:t xml:space="preserve"> rows and </w:t>
      </w:r>
      <m:oMath>
        <m:r>
          <m:t>N</m:t>
        </m:r>
      </m:oMath>
      <w:r>
        <w:rPr>
          <w:i w:val="0"/>
        </w:rPr>
        <w:t xml:space="preserve"> columns, Wang solved the eigenproblem </w:t>
      </w:r>
      <m:oMath>
        <m:sSup>
          <m:e>
            <m:r>
              <m:t>X</m:t>
            </m:r>
          </m:e>
          <m:sup>
            <m:r>
              <m:rPr>
                <m:scr m:val="sans-serif"/>
                <m:sty m:val="p"/>
              </m:rPr>
              <m:t>T</m:t>
            </m:r>
          </m:sup>
        </m:sSup>
        <m:r>
          <m:t>X</m:t>
        </m:r>
        <m:sSub>
          <m:e>
            <m:r>
              <m:t>w</m:t>
            </m:r>
          </m:e>
          <m:sub>
            <m:r>
              <m:t>ℓ</m:t>
            </m:r>
          </m:sub>
        </m:sSub>
        <m:r>
          <m:t>=</m:t>
        </m:r>
        <m:sSub>
          <m:e>
            <m:r>
              <m:t>λ</m:t>
            </m:r>
          </m:e>
          <m:sub>
            <m:r>
              <m:t>ℓ</m:t>
            </m:r>
          </m:sub>
        </m:sSub>
        <m:sSub>
          <m:e>
            <m:r>
              <m:t>w</m:t>
            </m:r>
          </m:e>
          <m:sub>
            <m:r>
              <m:t>ℓ</m:t>
            </m:r>
          </m:sub>
        </m:sSub>
      </m:oMath>
      <w:r>
        <w:rPr>
          <w:i w:val="0"/>
        </w:rPr>
        <w:t xml:space="preserve">, which is principal component analysis and nothing more. Exactly one explained-variance ratio dominated, and the weight vector of that first component was flat across every lattice site, which is to say the first principal component is the uniform magnetization </w:t>
      </w:r>
      <m:oMath>
        <m:sSup>
          <m:e>
            <m:r>
              <m:t>N</m:t>
            </m:r>
          </m:e>
          <m:sup>
            <m:r>
              <m:t>−1</m:t>
            </m:r>
          </m:sup>
        </m:sSup>
        <m:nary>
          <m:naryPr>
            <m:chr m:val="∑"/>
            <m:limLoc m:val="subSup"/>
            <m:grow m:val="1"/>
            <m:subHide m:val="off"/>
            <m:supHide m:val="on"/>
          </m:naryPr>
          <m:sub>
            <m:r>
              <m:t>i</m:t>
            </m:r>
          </m:sub>
          <m:sup/>
          <m:e>
            <m:sSub>
              <m:e>
                <m:r>
                  <m:t>σ</m:t>
                </m:r>
              </m:e>
              <m:sub>
                <m:r>
                  <m:t>i</m:t>
                </m:r>
              </m:sub>
            </m:sSub>
          </m:e>
        </m:nary>
      </m:oMath>
      <w:r>
        <w:rPr>
          <w:i w:val="0"/>
        </w:rPr>
        <w:t xml:space="preserve">. Projecting onto the first two components separated the samples into three clusters, two ordered and one paramagnetic, and the separation sharpened as </w:t>
      </w:r>
      <m:oMath>
        <m:r>
          <m:t>N</m:t>
        </m:r>
      </m:oMath>
      <w:r>
        <w:rPr>
          <w:i w:val="0"/>
        </w:rPr>
        <w:t xml:space="preserve"> ran through </w:t>
      </w:r>
      <m:oMath>
        <m:sSup>
          <m:e>
            <m:r>
              <m:t>20</m:t>
            </m:r>
          </m:e>
          <m:sup>
            <m:r>
              <m:t>2</m:t>
            </m:r>
          </m:sup>
        </m:sSup>
      </m:oMath>
      <w:r>
        <w:rPr>
          <w:i w:val="0"/>
        </w:rPr>
        <w:t xml:space="preserve">, </w:t>
      </w:r>
      <m:oMath>
        <m:sSup>
          <m:e>
            <m:r>
              <m:t>40</m:t>
            </m:r>
          </m:e>
          <m:sup>
            <m:r>
              <m:t>2</m:t>
            </m:r>
          </m:sup>
        </m:sSup>
      </m:oMath>
      <w:r>
        <w:rPr>
          <w:i w:val="0"/>
        </w:rPr>
        <w:t xml:space="preserve"> and </w:t>
      </w:r>
      <m:oMath>
        <m:sSup>
          <m:e>
            <m:r>
              <m:t>80</m:t>
            </m:r>
          </m:e>
          <m:sup>
            <m:r>
              <m:t>2</m:t>
            </m:r>
          </m:sup>
        </m:sSup>
      </m:oMath>
      <w:r>
        <w:rPr>
          <w:i w:val="0"/>
        </w:rPr>
        <w:t>.</w:t>
      </w:r>
    </w:p>
    <w:p>
      <w:r>
        <w:rPr>
          <w:i w:val="0"/>
        </w:rPr>
        <w:t xml:space="preserve">The reason is worth stating, because it fixes the reach of every linear method that follows. Up to a factor of </w:t>
      </w:r>
      <m:oMath>
        <m:r>
          <m:t>M</m:t>
        </m:r>
      </m:oMath>
      <w:r>
        <w:rPr>
          <w:i w:val="0"/>
        </w:rPr>
        <w:t xml:space="preserve">, the matrix </w:t>
      </w:r>
      <m:oMath>
        <m:sSup>
          <m:e>
            <m:r>
              <m:t>X</m:t>
            </m:r>
          </m:e>
          <m:sup>
            <m:r>
              <m:rPr>
                <m:scr m:val="sans-serif"/>
                <m:sty m:val="p"/>
              </m:rPr>
              <m:t>T</m:t>
            </m:r>
          </m:sup>
        </m:sSup>
        <m:r>
          <m:t>X</m:t>
        </m:r>
      </m:oMath>
      <w:r>
        <w:rPr>
          <w:i w:val="0"/>
        </w:rPr>
        <w:t xml:space="preserve"> holds the sample second moments </w:t>
      </w:r>
      <m:oMath>
        <m:r>
          <m:t>⟨</m:t>
        </m:r>
        <m:sSub>
          <m:e>
            <m:r>
              <m:t>σ</m:t>
            </m:r>
          </m:e>
          <m:sub>
            <m:r>
              <m:t>i</m:t>
            </m:r>
          </m:sub>
        </m:sSub>
        <m:sSub>
          <m:e>
            <m:r>
              <m:t>σ</m:t>
            </m:r>
          </m:e>
          <m:sub>
            <m:r>
              <m:t>j</m:t>
            </m:r>
          </m:sub>
        </m:sSub>
        <m:r>
          <m:t>⟩</m:t>
        </m:r>
      </m:oMath>
      <w:r>
        <w:rPr>
          <w:i w:val="0"/>
        </w:rPr>
        <w:t xml:space="preserve">. On a translationally invariant lattice these depend only on the separation </w:t>
      </w:r>
      <m:oMath>
        <m:sSub>
          <m:e>
            <m:r>
              <m:t>r</m:t>
            </m:r>
          </m:e>
          <m:sub>
            <m:r>
              <m:t>i</m:t>
            </m:r>
          </m:sub>
        </m:sSub>
        <m:r>
          <m:t>−</m:t>
        </m:r>
        <m:sSub>
          <m:e>
            <m:r>
              <m:t>r</m:t>
            </m:r>
          </m:e>
          <m:sub>
            <m:r>
              <m:t>j</m:t>
            </m:r>
          </m:sub>
        </m:sSub>
      </m:oMath>
      <w:r>
        <w:rPr>
          <w:i w:val="0"/>
        </w:rPr>
        <w:t xml:space="preserve">, which makes the matrix circulant, and the eigenvectors of a circulant matrix are plane waves </w:t>
      </w:r>
      <m:oMath>
        <m:sSubSup>
          <m:e>
            <m:r>
              <m:t>w</m:t>
            </m:r>
          </m:e>
          <m:sub>
            <m:r>
              <m:t>i</m:t>
            </m:r>
          </m:sub>
          <m:sup>
            <m:d>
              <m:dPr>
                <m:sepChr m:val=""/>
              </m:dPr>
              <m:e>
                <m:r>
                  <m:t>q</m:t>
                </m:r>
              </m:e>
            </m:d>
          </m:sup>
        </m:sSubSup>
        <m:r>
          <m:t>=</m:t>
        </m:r>
        <m:sSup>
          <m:e>
            <m:r>
              <m:t>N</m:t>
            </m:r>
          </m:e>
          <m:sup>
            <m:r>
              <m:t>−1/2</m:t>
            </m:r>
          </m:sup>
        </m:sSup>
        <m:sSup>
          <m:e>
            <m:r>
              <m:t>e</m:t>
            </m:r>
          </m:e>
          <m:sup>
            <m:r>
              <m:rPr>
                <m:sty m:val="p"/>
              </m:rPr>
              <m:t>i</m:t>
            </m:r>
            <m:r>
              <m:t>q·</m:t>
            </m:r>
            <m:sSub>
              <m:e>
                <m:r>
                  <m:t>r</m:t>
                </m:r>
              </m:e>
              <m:sub>
                <m:r>
                  <m:t>i</m:t>
                </m:r>
              </m:sub>
            </m:sSub>
          </m:sup>
        </m:sSup>
      </m:oMath>
      <w:r>
        <w:rPr>
          <w:i w:val="0"/>
        </w:rPr>
        <w:t xml:space="preserve"> with eigenvalues</w:t>
      </w:r>
    </w:p>
    <w:p>
      <w:pPr>
        <w:spacing w:before="200" w:after="200"/>
        <w:ind w:firstLine="0"/>
        <w:jc w:val="center"/>
        <w:contextualSpacing w:val="0"/>
      </w:pPr>
      <m:oMath>
        <m:r>
          <m:t>S(q)=</m:t>
        </m:r>
        <m:f>
          <m:fPr>
            <m:type m:val="bar"/>
          </m:fPr>
          <m:num>
            <m:r>
              <m:t>1</m:t>
            </m:r>
          </m:num>
          <m:den>
            <m:r>
              <m:t>N</m:t>
            </m:r>
          </m:den>
        </m:f>
        <m:nary>
          <m:naryPr>
            <m:chr m:val="∑"/>
            <m:limLoc m:val="subSup"/>
            <m:grow m:val="1"/>
            <m:subHide m:val="off"/>
            <m:supHide m:val="on"/>
          </m:naryPr>
          <m:sub>
            <m:r>
              <m:t>i,j</m:t>
            </m:r>
          </m:sub>
          <m:sup/>
          <m:e>
            <m:r>
              <m:t>⟨</m:t>
            </m:r>
          </m:e>
        </m:nary>
        <m:sSub>
          <m:e>
            <m:r>
              <m:t>σ</m:t>
            </m:r>
          </m:e>
          <m:sub>
            <m:r>
              <m:t>i</m:t>
            </m:r>
          </m:sub>
        </m:sSub>
        <m:sSub>
          <m:e>
            <m:r>
              <m:t>σ</m:t>
            </m:r>
          </m:e>
          <m:sub>
            <m:r>
              <m:t>j</m:t>
            </m:r>
          </m:sub>
        </m:sSub>
        <m:r>
          <m:t>⟩</m:t>
        </m:r>
        <m:sSup>
          <m:e>
            <m:r>
              <m:t>e</m:t>
            </m:r>
          </m:e>
          <m:sup>
            <m:r>
              <m:rPr>
                <m:sty m:val="p"/>
              </m:rPr>
              <m:t>i</m:t>
            </m:r>
            <m:r>
              <m:t>q·(</m:t>
            </m:r>
            <m:sSub>
              <m:e>
                <m:r>
                  <m:t>r</m:t>
                </m:r>
              </m:e>
              <m:sub>
                <m:r>
                  <m:t>i</m:t>
                </m:r>
              </m:sub>
            </m:sSub>
            <m:r>
              <m:t>−</m:t>
            </m:r>
            <m:sSub>
              <m:e>
                <m:r>
                  <m:t>r</m:t>
                </m:r>
              </m:e>
              <m:sub>
                <m:r>
                  <m:t>j</m:t>
                </m:r>
              </m:sub>
            </m:sSub>
            <m:r>
              <m:t>)</m:t>
            </m:r>
          </m:sup>
        </m:sSup>
        <m:r>
          <m:t>,</m:t>
        </m:r>
      </m:oMath>
    </w:p>
    <w:p>
      <w:r>
        <w:rPr>
          <w:i w:val="0"/>
        </w:rPr>
        <w:t xml:space="preserve">the static structure factor. Principal component analysis on such an ensemble is therefore diagonalization of the two-point correlation function, and its components are Fourier modes ranked by structure factor. In the ferromagnet </w:t>
      </w:r>
      <m:oMath>
        <m:r>
          <m:t>S(0)=N⟨</m:t>
        </m:r>
        <m:sSup>
          <m:e>
            <m:r>
              <m:t>m</m:t>
            </m:r>
          </m:e>
          <m:sup>
            <m:r>
              <m:t>2</m:t>
            </m:r>
          </m:sup>
        </m:sSup>
        <m:r>
          <m:t>⟩</m:t>
        </m:r>
      </m:oMath>
      <w:r>
        <w:rPr>
          <w:i w:val="0"/>
        </w:rPr>
        <w:t xml:space="preserve"> grows with system size once the correlation length is large while every </w:t>
      </w:r>
      <m:oMath>
        <m:r>
          <m:t>q≠0</m:t>
        </m:r>
      </m:oMath>
      <w:r>
        <w:rPr>
          <w:i w:val="0"/>
        </w:rPr>
        <w:t xml:space="preserve"> stays finite, so a single eigenvalue runs away from the rest and its eigenvector is the constant mode. The order parameter is recovered because the order parameter is the macroscopically occupied wavevector, and for no other reason.</w:t>
      </w:r>
    </w:p>
    <w:p>
      <w:r>
        <w:rPr>
          <w:i w:val="0"/>
        </w:rPr>
        <w:t xml:space="preserve">The clustering follows from the same fact without any further machinery. The sample is a mixture over temperatures, and the projection </w:t>
      </w:r>
      <m:oMath>
        <m:sSub>
          <m:e>
            <m:r>
              <m:t>y</m:t>
            </m:r>
          </m:e>
          <m:sub>
            <m:r>
              <m:t>1</m:t>
            </m:r>
          </m:sub>
        </m:sSub>
        <m:r>
          <m:t>=</m:t>
        </m:r>
        <m:sSup>
          <m:e>
            <m:r>
              <m:t>N</m:t>
            </m:r>
          </m:e>
          <m:sup>
            <m:r>
              <m:t>−1/2</m:t>
            </m:r>
          </m:sup>
        </m:sSup>
        <m:nary>
          <m:naryPr>
            <m:chr m:val="∑"/>
            <m:limLoc m:val="subSup"/>
            <m:grow m:val="1"/>
            <m:subHide m:val="off"/>
            <m:supHide m:val="on"/>
          </m:naryPr>
          <m:sub>
            <m:r>
              <m:t>i</m:t>
            </m:r>
          </m:sub>
          <m:sup/>
          <m:e>
            <m:sSub>
              <m:e>
                <m:r>
                  <m:t>σ</m:t>
                </m:r>
              </m:e>
              <m:sub>
                <m:r>
                  <m:t>i</m:t>
                </m:r>
              </m:sub>
            </m:sSub>
          </m:e>
        </m:nary>
      </m:oMath>
      <w:r>
        <w:rPr>
          <w:i w:val="0"/>
        </w:rPr>
        <w:t xml:space="preserve"> of a configuration is, up to a factor, its magnetization, so ordered samples land near </w:t>
      </w:r>
      <m:oMath>
        <m:r>
          <m:t>±</m:t>
        </m:r>
        <m:rad>
          <m:radPr>
            <m:degHide m:val="on"/>
          </m:radPr>
          <m:deg/>
          <m:e>
            <m:r>
              <m:t>N</m:t>
            </m:r>
          </m:e>
        </m:rad>
        <m:r>
          <m:t>m</m:t>
        </m:r>
      </m:oMath>
      <w:r>
        <w:rPr>
          <w:i w:val="0"/>
        </w:rPr>
        <w:t xml:space="preserve"> and disordered samples near zero. Three clusters appear because the low-temperature distribution of </w:t>
      </w:r>
      <m:oMath>
        <m:r>
          <m:t>m</m:t>
        </m:r>
      </m:oMath>
      <w:r>
        <w:rPr>
          <w:i w:val="0"/>
        </w:rPr>
        <w:t xml:space="preserve"> is bimodal under the </w:t>
      </w:r>
      <m:oMath>
        <m:sSub>
          <m:e>
            <m:r>
              <m:t>Z</m:t>
            </m:r>
          </m:e>
          <m:sub>
            <m:r>
              <m:t>2</m:t>
            </m:r>
          </m:sub>
        </m:sSub>
      </m:oMath>
      <w:r>
        <w:rPr>
          <w:i w:val="0"/>
        </w:rPr>
        <w:t xml:space="preserve"> symmetry and the high-temperature one is not. Sharpening with </w:t>
      </w:r>
      <m:oMath>
        <m:r>
          <m:t>N</m:t>
        </m:r>
      </m:oMath>
      <w:r>
        <w:rPr>
          <w:i w:val="0"/>
        </w:rPr>
        <w:t xml:space="preserve"> is the growth of </w:t>
      </w:r>
      <m:oMath>
        <m:r>
          <m:t>⟨</m:t>
        </m:r>
        <m:sSup>
          <m:e>
            <m:r>
              <m:t>m</m:t>
            </m:r>
          </m:e>
          <m:sup>
            <m:r>
              <m:t>2</m:t>
            </m:r>
          </m:sup>
        </m:sSup>
        <m:r>
          <m:t>⟩N</m:t>
        </m:r>
      </m:oMath>
      <w:r>
        <w:rPr>
          <w:i w:val="0"/>
        </w:rPr>
        <w:t xml:space="preserve"> relative to the fluctuations, which is finite-size scaling seen through a projection rather than anything the algorithm contributed.</w:t>
      </w:r>
    </w:p>
    <w:p>
      <w:r>
        <w:rPr>
          <w:i w:val="0"/>
        </w:rPr>
        <w:t xml:space="preserve">The same accounting predicts the more interesting case. For a conserved-order-parameter Ising model, where </w:t>
      </w:r>
      <m:oMath>
        <m:nary>
          <m:naryPr>
            <m:chr m:val="∑"/>
            <m:limLoc m:val="subSup"/>
            <m:grow m:val="1"/>
            <m:subHide m:val="off"/>
            <m:supHide m:val="on"/>
          </m:naryPr>
          <m:sub>
            <m:r>
              <m:t>i</m:t>
            </m:r>
          </m:sub>
          <m:sup/>
          <m:e>
            <m:sSub>
              <m:e>
                <m:r>
                  <m:t>σ</m:t>
                </m:r>
              </m:e>
              <m:sub>
                <m:r>
                  <m:t>i</m:t>
                </m:r>
              </m:sub>
            </m:sSub>
          </m:e>
        </m:nary>
      </m:oMath>
      <w:r>
        <w:rPr>
          <w:i w:val="0"/>
        </w:rPr>
        <w:t xml:space="preserve"> vanishes identically and the magnetization is useless, Wang found four leading components with weights </w:t>
      </w:r>
      <m:oMath>
        <m:r>
          <m:rPr>
            <m:sty m:val="p"/>
          </m:rPr>
          <m:t>cos</m:t>
        </m:r>
        <m:sSub>
          <m:e>
            <m:r>
              <m:t>θ</m:t>
            </m:r>
          </m:e>
          <m:sub>
            <m:r>
              <m:t>i</m:t>
            </m:r>
          </m:sub>
        </m:sSub>
      </m:oMath>
      <w:r>
        <w:rPr>
          <w:i w:val="0"/>
        </w:rPr>
        <w:t xml:space="preserve">, </w:t>
      </w:r>
      <m:oMath>
        <m:r>
          <m:rPr>
            <m:sty m:val="p"/>
          </m:rPr>
          <m:t>cos</m:t>
        </m:r>
        <m:sSub>
          <m:e>
            <m:r>
              <m:t>ϕ</m:t>
            </m:r>
          </m:e>
          <m:sub>
            <m:r>
              <m:t>i</m:t>
            </m:r>
          </m:sub>
        </m:sSub>
      </m:oMath>
      <w:r>
        <w:rPr>
          <w:i w:val="0"/>
        </w:rPr>
        <w:t xml:space="preserve">, </w:t>
      </w:r>
      <m:oMath>
        <m:r>
          <m:rPr>
            <m:sty m:val="p"/>
          </m:rPr>
          <m:t>sin</m:t>
        </m:r>
        <m:sSub>
          <m:e>
            <m:r>
              <m:t>θ</m:t>
            </m:r>
          </m:e>
          <m:sub>
            <m:r>
              <m:t>i</m:t>
            </m:r>
          </m:sub>
        </m:sSub>
      </m:oMath>
      <w:r>
        <w:rPr>
          <w:i w:val="0"/>
        </w:rPr>
        <w:t xml:space="preserve"> and </w:t>
      </w:r>
      <m:oMath>
        <m:r>
          <m:rPr>
            <m:sty m:val="p"/>
          </m:rPr>
          <m:t>sin</m:t>
        </m:r>
        <m:sSub>
          <m:e>
            <m:r>
              <m:t>ϕ</m:t>
            </m:r>
          </m:e>
          <m:sub>
            <m:r>
              <m:t>i</m:t>
            </m:r>
          </m:sub>
        </m:sSub>
      </m:oMath>
      <w:r>
        <w:rPr>
          <w:i w:val="0"/>
        </w:rPr>
        <w:t xml:space="preserve">: a degenerate quartet of real combinations of plane waves at the symmetry-related wavevectors along the two lattice axes. A degenerate eigenspace has no preferred basis, so no individual projection is meaningful, and the invariant is the sum of squares </w:t>
      </w:r>
      <m:oMath>
        <m:nary>
          <m:naryPr>
            <m:chr m:val="∑"/>
            <m:limLoc m:val="subSup"/>
            <m:grow m:val="1"/>
            <m:subHide m:val="off"/>
            <m:supHide m:val="off"/>
          </m:naryPr>
          <m:sub>
            <m:r>
              <m:t>ℓ=1</m:t>
            </m:r>
          </m:sub>
          <m:sup>
            <m:r>
              <m:t>4</m:t>
            </m:r>
          </m:sup>
          <m:e>
            <m:sSubSup>
              <m:e>
                <m:r>
                  <m:t>y</m:t>
                </m:r>
              </m:e>
              <m:sub>
                <m:r>
                  <m:t>ℓ</m:t>
                </m:r>
              </m:sub>
              <m:sup>
                <m:r>
                  <m:t>2</m:t>
                </m:r>
              </m:sup>
            </m:sSubSup>
          </m:e>
        </m:nary>
      </m:oMath>
      <w:r>
        <w:rPr>
          <w:i w:val="0"/>
        </w:rPr>
        <w:t>, which is proportional to a structure factor detecting orientational order of the domain walls. Wang states plainly that this quantity was not known to the author before the learner produced it, which is the strongest form the claim takes anywhere in this literature. Wang also flags the limit: the method is linear, so topological order, duality, Wilson loops and string order lie outside it.</w:t>
      </w:r>
    </w:p>
    <w:p>
      <w:pPr>
        <w:pStyle w:val="BookSection"/>
      </w:pPr>
      <w:r>
        <w:t>Where the linear picture breaks</w:t>
      </w:r>
    </w:p>
    <w:p>
      <w:r>
        <w:rPr>
          <w:i w:val="0"/>
        </w:rPr>
        <w:t>Wenjian Hu, Rajiv R. P. Singh and Richard T. Scalettar tested that limit deliberately, applying principal component analysis and an autoencoder to the square-lattice Ising ferromagnet, the triangular-lattice Ising antiferromagnet, the Blume-Capel model, a biquadratic-exchange spin-one model, and the two-dimensional XY model. The successes are substantial. Transition temperatures come out with reasonable accuracy; strongly first-order transitions are distinguishable from continuous ones by how the distribution of the principal component evolves; a crossover is distinguishable from a true transition; the components map onto Fourier modes and order parameters, and their size dependence yields critical exponents; in the frustrated triangular antiferromagnet the components point to incipient orders.</w:t>
      </w:r>
    </w:p>
    <w:p>
      <w:r>
        <w:rPr>
          <w:i w:val="0"/>
        </w:rPr>
        <w:t xml:space="preserve">The failures are the useful part, and both follow from the structure-factor identification. In the biquadratic spin-one model the order lives in a checkerboard arrangement of </w:t>
      </w:r>
      <m:oMath>
        <m:sSubSup>
          <m:e>
            <m:r>
              <m:t>S</m:t>
            </m:r>
          </m:e>
          <m:sub>
            <m:r>
              <m:t>i</m:t>
            </m:r>
          </m:sub>
          <m:sup>
            <m:r>
              <m:t>2</m:t>
            </m:r>
          </m:sup>
        </m:sSubSup>
      </m:oMath>
      <w:r>
        <w:rPr>
          <w:i w:val="0"/>
        </w:rPr>
        <w:t xml:space="preserve">, the local charge, while the analysis is being handed the variables </w:t>
      </w:r>
      <m:oMath>
        <m:sSub>
          <m:e>
            <m:r>
              <m:t>S</m:t>
            </m:r>
          </m:e>
          <m:sub>
            <m:r>
              <m:t>i</m:t>
            </m:r>
          </m:sub>
        </m:sSub>
        <m:r>
          <m:t>=±1,0</m:t>
        </m:r>
      </m:oMath>
      <w:r>
        <w:rPr>
          <w:i w:val="0"/>
        </w:rPr>
        <w:t xml:space="preserve">, whose correlations carry no such modulation. Feeding raw </w:t>
      </w:r>
      <m:oMath>
        <m:d>
          <m:dPr>
            <m:begChr m:val="{"/>
            <m:sepChr m:val=""/>
            <m:endChr m:val="}"/>
          </m:dPr>
          <m:e>
            <m:sSub>
              <m:e>
                <m:r>
                  <m:t>S</m:t>
                </m:r>
              </m:e>
              <m:sub>
                <m:r>
                  <m:t>i</m:t>
                </m:r>
              </m:sub>
            </m:sSub>
          </m:e>
        </m:d>
      </m:oMath>
      <w:r>
        <w:rPr>
          <w:i w:val="0"/>
        </w:rPr>
        <w:t xml:space="preserve"> produces no dominant component at all and a projection in which every temperature is mixed together; feeding </w:t>
      </w:r>
      <m:oMath>
        <m:d>
          <m:dPr>
            <m:begChr m:val="{"/>
            <m:sepChr m:val=""/>
            <m:endChr m:val="}"/>
          </m:dPr>
          <m:e>
            <m:sSubSup>
              <m:e>
                <m:r>
                  <m:t>S</m:t>
                </m:r>
              </m:e>
              <m:sub>
                <m:r>
                  <m:t>i</m:t>
                </m:r>
              </m:sub>
              <m:sup>
                <m:r>
                  <m:t>2</m:t>
                </m:r>
              </m:sup>
            </m:sSubSup>
          </m:e>
        </m:d>
      </m:oMath>
      <w:r>
        <w:rPr>
          <w:i w:val="0"/>
        </w:rPr>
        <w:t xml:space="preserve"> restores a dominant component immediately. In the two-dimensional XY model, feeding the signed plaquette vorticity, which takes values </w:t>
      </w:r>
      <m:oMath>
        <m:r>
          <m:t>+1</m:t>
        </m:r>
      </m:oMath>
      <w:r>
        <w:rPr>
          <w:i w:val="0"/>
        </w:rPr>
        <w:t xml:space="preserve">, </w:t>
      </w:r>
      <m:oMath>
        <m:r>
          <m:t>0</m:t>
        </m:r>
      </m:oMath>
      <w:r>
        <w:rPr>
          <w:i w:val="0"/>
        </w:rPr>
        <w:t xml:space="preserve"> and </w:t>
      </w:r>
      <m:oMath>
        <m:r>
          <m:t>−1</m:t>
        </m:r>
      </m:oMath>
      <w:r>
        <w:rPr>
          <w:i w:val="0"/>
        </w:rPr>
        <w:t>, again gives no dominant component, because vortices and antivortices are present in equal numbers and no wavevector of the signed field is macroscopically occupied. Feeding the absolute vorticity, one where a defect of either sign sits and zero otherwise, recovers a dominant component, but Hu, Singh and Scalettar report that the resulting signal looks more like a crossover than a transition, and write that resolving vortex-antivortex unbinding may be difficult for principal component analysis or for any machine-learning technique. Two representations of the same configuration, neither recoverable from the other by the method being used, give different answers.</w:t>
      </w:r>
    </w:p>
    <w:p>
      <w:r>
        <w:rPr>
          <w:i w:val="0"/>
        </w:rPr>
        <w:t>Not every frustrated case fails. Ce Wang and Hui Zhai applied the same analysis to the frustrated XY model on triangular and union-jack lattices, systems carrying two distinct order parameters and two transitions, and found the leading components track both orders and locate both transitions with no human input. The dividing line is not difficulty but representation: when the order is a macroscopically occupied wavevector of the variables supplied, a linear method finds it, and when it is not, no amount of data helps. The supervised side of the field has the matching result. Matthew J. S. Beach, Anna Golubeva and Roger G. Melko asked whether a network classifying the XY model learns vortices, and found that a single-layer network fails outright while a convolutional network succeeds by learning the global magnetization, a finite-size pseudo-order-parameter rather than the defects, so that substantial feature engineering of the raw spin states is needed before any claim about vortices can be made. A purpose-designed deep network can learn vortices without that engineering, and detecting them does not necessarily give the best classification accuracy, particularly below roughly a thousand spins.</w:t>
      </w:r>
    </w:p>
    <w:p>
      <w:pPr>
        <w:pStyle w:val="BookSection"/>
      </w:pPr>
      <w:r>
        <w:t>Bottlenecks</w:t>
      </w:r>
    </w:p>
    <w:p>
      <w:r>
        <w:rPr>
          <w:i w:val="0"/>
        </w:rPr>
        <w:t xml:space="preserve">Sebastian J. Wetzel carried the comparison into nonlinear compression. Sampling the two-dimensional Ising model at </w:t>
      </w:r>
      <m:oMath>
        <m:r>
          <m:t>L=28</m:t>
        </m:r>
      </m:oMath>
      <w:r>
        <w:rPr>
          <w:i w:val="0"/>
        </w:rPr>
        <w:t xml:space="preserve">, so </w:t>
      </w:r>
      <m:oMath>
        <m:r>
          <m:t>N=784</m:t>
        </m:r>
      </m:oMath>
      <w:r>
        <w:rPr>
          <w:i w:val="0"/>
        </w:rPr>
        <w:t xml:space="preserve"> spins, with 50,000 configurations spread over </w:t>
      </w:r>
      <m:oMath>
        <m:r>
          <m:t>T∈[0,5]</m:t>
        </m:r>
      </m:oMath>
      <w:r>
        <w:rPr>
          <w:i w:val="0"/>
        </w:rPr>
        <w:t xml:space="preserve"> for the ferromagnet and 10,000 for the antiferromagnet, along with the three-dimensional XY model at </w:t>
      </w:r>
      <m:oMath>
        <m:r>
          <m:t>L=14</m:t>
        </m:r>
      </m:oMath>
      <w:r>
        <w:rPr>
          <w:i w:val="0"/>
        </w:rPr>
        <w:t>, Wetzel put four unsupervised methods side by side with a single latent variable each: principal component analysis, kernel principal component analysis, a plain autoencoder, and a variational autoencoder with one fully connected hidden layer of 256 neurons in the encoder and another in the decoder. In every case the latent variable correlates cleanly with the magnetization. The learned latent variable is the known order parameter for all four methods, and what separates them is accuracy rather than content: principal component analysis is the most accurate, the variational autoencoder close behind, and the plain autoencoder the least accurate of the four, which is Wetzel's stated reason for introducing the variational version.</w:t>
      </w:r>
    </w:p>
    <w:p>
      <w:r>
        <w:rPr>
          <w:i w:val="0"/>
        </w:rPr>
        <w:t xml:space="preserve">That ordering is the reason the agreement is weaker evidence than it looks, though not for the reason a first reading suggests. An autoencoder squeezes </w:t>
      </w:r>
      <m:oMath>
        <m:r>
          <m:t>N</m:t>
        </m:r>
      </m:oMath>
      <w:r>
        <w:rPr>
          <w:i w:val="0"/>
        </w:rPr>
        <w:t xml:space="preserve"> inputs through a bottleneck of dimension </w:t>
      </w:r>
      <m:oMath>
        <m:r>
          <m:t>k</m:t>
        </m:r>
      </m:oMath>
      <w:r>
        <w:rPr>
          <w:i w:val="0"/>
        </w:rPr>
        <w:t xml:space="preserve"> and reconstructs them, minimizing squared reconstruction error; with linear activations the optimum spans exactly the leading </w:t>
      </w:r>
      <m:oMath>
        <m:r>
          <m:t>k</m:t>
        </m:r>
      </m:oMath>
      <w:r>
        <w:rPr>
          <w:i w:val="0"/>
        </w:rPr>
        <w:t>-dimensional principal subspace, which is the classical Eckart-Young statement that the best rank-</w:t>
      </w:r>
      <m:oMath>
        <m:r>
          <m:t>k</m:t>
        </m:r>
      </m:oMath>
      <w:r>
        <w:rPr>
          <w:i w:val="0"/>
        </w:rPr>
        <w:t xml:space="preserve"> least-squares approximation of a matrix is its truncation to the </w:t>
      </w:r>
      <m:oMath>
        <m:r>
          <m:t>k</m:t>
        </m:r>
      </m:oMath>
      <w:r>
        <w:rPr>
          <w:i w:val="0"/>
        </w:rPr>
        <w:t xml:space="preserve"> largest singular values. A nonlinear autoencoder contains that linear network as a special case, so on Ising configurations a one-dimensional bottleneck is not competing against the constant Fourier mode. That mode is the guaranteed floor of what the architecture can reach, and by the structure-factor argument of the previous section, with one eigenvalue running away and the rest bounded, it is also close to the ceiling of what a single number can carry. Principal component analysis is therefore not a rival the autoencoders beat but the level they approach from below, and the plain autoencoder's shortfall is a shortfall against a target already available in closed form from one eigendecomposition. Capacity cannot be the explanation, since the nonlinear network has that in surplus. What is left is optimization, whether gradient descent on a nonconvex objective actually lands in the leading subspace, and identifiability, whether the coordinate it puts along that subspace is the one a physicist recognizes, since any monotone reparametrization of a latent variable reconstructs exactly as well.</w:t>
      </w:r>
    </w:p>
    <w:p>
      <w:r>
        <w:rPr>
          <w:i w:val="0"/>
        </w:rPr>
        <w:t xml:space="preserve">What the variational autoencoder adds is a probabilistic encoder </w:t>
      </w:r>
      <m:oMath>
        <m:r>
          <m:t>q(z</m:t>
        </m:r>
        <m:r>
          <m:t>|</m:t>
        </m:r>
        <m:r>
          <m:t>x)</m:t>
        </m:r>
      </m:oMath>
      <w:r>
        <w:rPr>
          <w:i w:val="0"/>
        </w:rPr>
        <w:t xml:space="preserve"> and an objective that is not reconstruction error alone but the evidence lower bound</w:t>
      </w:r>
    </w:p>
    <w:p>
      <w:pPr>
        <w:spacing w:before="200" w:after="200"/>
        <w:ind w:firstLine="0"/>
        <w:jc w:val="center"/>
        <w:contextualSpacing w:val="0"/>
      </w:pPr>
      <m:oMath>
        <m:r>
          <m:t>ℒ=</m:t>
        </m:r>
        <m:sSub>
          <m:e>
            <m:r>
              <m:t>𝔼</m:t>
            </m:r>
          </m:e>
          <m:sub>
            <m:r>
              <m:t>q(z|x)</m:t>
            </m:r>
          </m:sub>
        </m:sSub>
        <m:r>
          <m:t>[</m:t>
        </m:r>
        <m:r>
          <m:rPr>
            <m:sty m:val="p"/>
          </m:rPr>
          <m:t>log</m:t>
        </m:r>
        <m:r>
          <m:t>p(x</m:t>
        </m:r>
        <m:r>
          <m:t>|</m:t>
        </m:r>
        <m:r>
          <m:t>z)]−</m:t>
        </m:r>
        <m:sSub>
          <m:e>
            <m:r>
              <m:t>D</m:t>
            </m:r>
          </m:e>
          <m:sub>
            <m:r>
              <m:rPr>
                <m:sty m:val="p"/>
              </m:rPr>
              <m:t>KL</m:t>
            </m:r>
          </m:sub>
        </m:sSub>
        <m:r>
          <m:t>(q(z</m:t>
        </m:r>
        <m:r>
          <m:t>|</m:t>
        </m:r>
        <m:r>
          <m:t>x)</m:t>
        </m:r>
        <m:r>
          <m:t>‖</m:t>
        </m:r>
        <m:r>
          <m:t>p(z)),</m:t>
        </m:r>
      </m:oMath>
    </w:p>
    <w:p>
      <w:r>
        <w:rPr>
          <w:i w:val="0"/>
        </w:rPr>
        <w:t>whose first term is the reconstruction and whose second pulls the posterior over codes toward a fixed prior. That second term regularizes the code, but it does not fix the latent coordinate: a monotone rescaling that leaves the marginal Gaussian costs nothing under it. Whether the regularization is what buys the variational version its margin over the plain autoencoder is not settled by the comparison, because the two differ in objective, in the noise injected between encoder and decoder, and in the resulting optimization landscape, all at once. Wetzel reports the ordering; a mechanism for it would be a conjecture. What needs no conjecture is that on this ensemble neither network produced a feature the eigendecomposition did not already hold.</w:t>
      </w:r>
    </w:p>
    <w:p>
      <w:r>
        <w:rPr>
          <w:i w:val="0"/>
        </w:rPr>
        <w:t xml:space="preserve">The second result is the one that travels further. Wetzel averages the variational autoencoder's mean-squared reconstruction loss at fixed temperature and shows it changes character at </w:t>
      </w:r>
      <m:oMath>
        <m:sSub>
          <m:e>
            <m:r>
              <m:t>T</m:t>
            </m:r>
          </m:e>
          <m:sub>
            <m:r>
              <m:t>c</m:t>
            </m:r>
          </m:sub>
        </m:sSub>
      </m:oMath>
      <w:r>
        <w:rPr>
          <w:i w:val="0"/>
        </w:rPr>
        <w:t xml:space="preserve">, proposing that loss as a universal identifier for phase transitions, one that needs no order parameter. The mechanism is the residual: the loss is the variance the bottleneck fails to capture, so it responds whenever the amount of structure compressible into one number changes, whatever that structure is. That generality is exactly its weakness. A curve that bends at </w:t>
      </w:r>
      <m:oMath>
        <m:sSub>
          <m:e>
            <m:r>
              <m:t>T</m:t>
            </m:r>
          </m:e>
          <m:sub>
            <m:r>
              <m:t>c</m:t>
            </m:r>
          </m:sub>
        </m:sSub>
      </m:oMath>
      <w:r>
        <w:rPr>
          <w:i w:val="0"/>
        </w:rPr>
        <w:t xml:space="preserve"> reports that the compressibility of the ensemble changed there and says nothing about what became compressible, and the latent representations cluster, which allows phases to be identified without prior knowledge of their existence or of the Hamiltonian, while leaving each cluster unnamed.</w:t>
      </w:r>
    </w:p>
    <w:p>
      <w:pPr>
        <w:pStyle w:val="BookSection"/>
      </w:pPr>
      <w:r>
        <w:t>Similarity instead of variance</w:t>
      </w:r>
    </w:p>
    <w:p>
      <w:r>
        <w:rPr>
          <w:i w:val="0"/>
        </w:rPr>
        <w:t>If the obstacle is that variance in the supplied variables is the wrong criterion, the obvious move is to change the criterion. Joaquin F. Rodriguez-Nieva and Mathias S. Scheurer used diffusion maps, a nonlinear manifold-learning technique that starts not from a covariance matrix but from a kernel measuring similarity between whole configurations. The kernel is row-normalized into the transition matrix of a random walk on the data set, whose stationary distribution is proportional to the degree, meaning the row sum of the kernel, and whose relaxation is controlled by the eigenvalues just below unity; the corresponding slow eigenvectors provide coordinates in which Euclidean distance approximates diffusion distance, so that clusters are regions the walk leaves slowly and the number of eigenvalues near unity counts them. Nothing in this construction is restricted to two-point functions, because the kernel is evaluated on configurations rather than on sites. Applied to bare spin configurations of the two-dimensional XY model, the method clusters samples by winding number and captures the Berezinskii-Kosterlitz-Thouless transition; applied to the Ising gauge theory, it detects topological order with no manual feature engineering and no labels.</w:t>
      </w:r>
    </w:p>
    <w:p>
      <w:r>
        <w:rPr>
          <w:i w:val="0"/>
        </w:rPr>
        <w:t xml:space="preserve">The cost is that the kernel is now the modelling assumption. A similarity function encodes what counts as the same, and choosing it is choosing which distinctions the clustering can express, in the same way that choosing between </w:t>
      </w:r>
      <m:oMath>
        <m:d>
          <m:dPr>
            <m:begChr m:val="{"/>
            <m:sepChr m:val=""/>
            <m:endChr m:val="}"/>
          </m:dPr>
          <m:e>
            <m:sSub>
              <m:e>
                <m:r>
                  <m:t>S</m:t>
                </m:r>
              </m:e>
              <m:sub>
                <m:r>
                  <m:t>i</m:t>
                </m:r>
              </m:sub>
            </m:sSub>
          </m:e>
        </m:d>
      </m:oMath>
      <w:r>
        <w:rPr>
          <w:i w:val="0"/>
        </w:rPr>
        <w:t xml:space="preserve"> and </w:t>
      </w:r>
      <m:oMath>
        <m:d>
          <m:dPr>
            <m:begChr m:val="{"/>
            <m:sepChr m:val=""/>
            <m:endChr m:val="}"/>
          </m:dPr>
          <m:e>
            <m:sSubSup>
              <m:e>
                <m:r>
                  <m:t>S</m:t>
                </m:r>
              </m:e>
              <m:sub>
                <m:r>
                  <m:t>i</m:t>
                </m:r>
              </m:sub>
              <m:sup>
                <m:r>
                  <m:t>2</m:t>
                </m:r>
              </m:sup>
            </m:sSubSup>
          </m:e>
        </m:d>
      </m:oMath>
      <w:r>
        <w:rPr>
          <w:i w:val="0"/>
        </w:rPr>
        <w:t xml:space="preserve"> decided the biquadratic case. Sometimes the equivalence itself can be made the criterion. Mathias S. Scheurer and Robert-Jan Slager built an unsupervised algorithm that searches for adiabatic deformation paths between Hamiltonians and clusters them by topological equivalence class, which is parametrization-independent and agnostic to symmetry class because the definition of the classes, connectivity under gap-preserving deformation, is what the search implements rather than something the algorithm must infer.</w:t>
      </w:r>
    </w:p>
    <w:p>
      <w:pPr>
        <w:pStyle w:val="BookSection"/>
      </w:pPr>
      <w:r>
        <w:t>When there is nothing to compare against</w:t>
      </w:r>
    </w:p>
    <w:p>
      <w:r>
        <w:rPr>
          <w:i w:val="0"/>
        </w:rPr>
        <w:t>The confusion scheme still needed a sweep. Ye-Hua Liu and Evert P. L. van Nieuwenburg replaced it with a pair of cooperating networks, a guesser that proposes a labelling of the data and a learner trained on whatever the guesser proposes, with the guesser rewarded when the learner reproduces its labels. These discriminative cooperative networks detect transitions from fully unlabelled data, and reduce to the earlier scheme when the guesser's proposals are restricted to single split points. Patrick Huembeli, Alexandre Dauphin and Peter Wittek took a different route to the same freedom, using adversarial domain adaptation to train on a region of parameter space where the phases are known and adapt to unlabelled data elsewhere, deriving phase diagrams directly from ground states with no ad hoc feature engineering, demonstrated on the Ising model at finite temperature, the Bose-Hubbard model and the disordered Su-Schrieffer-Heeger model.</w:t>
      </w:r>
    </w:p>
    <w:p>
      <w:r>
        <w:rPr>
          <w:i w:val="0"/>
        </w:rPr>
        <w:t>The most economical framing arrived with Korbinian Kottmann, Patrick Huembeli, Maciej Lewenstein and Antonio Acín, who treated phase discovery as deep anomaly detection. A network is trained to reconstruct data from one region known to be a single phase; anywhere its error is anomalously large, the data are not of that phase, and the region is flagged as a candidate for a new one. This inverts the burden of proof in a way worth noticing. Supervised classification asks which of the phases a sample belongs to and must therefore be given the list; anomaly detection asks only whether a sample resembles the reference, so a phase absent from the list registers as an unexplained residual instead of being forced into the nearest available class. The price is that the reference region has to be a single phase, which is a physical judgement, and the threshold separating large error from ordinary error has to be set. Nothing else is labelled, and the entire phase diagram of the one-dimensional extended Bose-Hubbard model at integer filling was mapped this way from entanglement spectra, from tensor-network central tensors, and from low-order correlation functions of the kind an experiment can actually measure. Niklas Käming, Anna Dawid, Korbinian Kottmann, Maciej Lewenstein, Klaus Sengstock, Alexandre Dauphin and Christof Weitenberg then combined anomaly detection with influence functions, which quantify how a prediction would shift if a given training sample were reweighted, and mapped the topological phase diagram of the Haldane model from noisy finite-temperature experimental data without prior knowledge of an order parameter, extending the approach to Floquet systems. Patrick Huembeli, Alexandre Dauphin, Peter Wittek and Christian Gogolin pushed further still, running an almost entirely unsupervised adversarial game between two networks with conflicting objectives so that the machine chose which features to predict from, which produced an effective order parameter for the disorder-driven many-body-localization transition, located it from far fewer disorder realizations, and cut the numerical effort of mapping the phase diagram by roughly a factor of a hundred.</w:t>
      </w:r>
    </w:p>
    <w:p>
      <w:pPr>
        <w:pStyle w:val="BookSection"/>
      </w:pPr>
      <w:r>
        <w:t>What the boundary is made of</w:t>
      </w:r>
    </w:p>
    <w:p>
      <w:r>
        <w:rPr>
          <w:i w:val="0"/>
        </w:rPr>
        <w:t>Notice what the successful cases have in common. Principal component analysis names the thing it found because the eigenvector is a vector on the lattice and can be plotted. Diffusion maps and anomaly detection do not: they return a clustering and a reference distance, and a cluster boundary is a location. The methods in this chapter that do hand back an interpretable object get it by building the space of possible answers in beforehand. Jonas Greitemann, Ke Liu and Lode Pollet combined the theory of orientational tensors with support vector machines under a tensorial kernel, so that the decision function is a polynomial in tensor components of a chosen rank and its coefficient matrix reads directly as an explicit multipolar order parameter, which is how the method exposes hidden nematic order. Jonas Greitemann, Ke Liu, Ludovic D. C. Jaubert, Han Yan, Nic Shannon and Lode Pollet then applied it to frustrated magnets and recovered not only hidden order parameters but the emergent local constraints, the ground-state ice rules, that characterize classical spin liquids. The rank of the tensor has to be chosen first, and choosing it is a physical hypothesis about what kind of order might be present.</w:t>
      </w:r>
    </w:p>
    <w:p>
      <w:r>
        <w:rPr>
          <w:i w:val="0"/>
        </w:rPr>
        <w:t>So the trade runs in both directions. A method that assumes nothing about the form of the answer returns a boundary and no name for it; a method that returns a name has been told in advance what family of names to search. Between them sits the case nobody has settled: a machine that flags an anomalous region of a phase diagram no human has annotated, in a model where no candidate order parameter has been written down at all, and the question of what one would then do with the flag.</w:t>
      </w:r>
    </w:p>
    <w:p>
      <w:pPr>
        <w:pStyle w:val="Heading1"/>
      </w:pPr>
      <w:r>
        <w:t>References</w:t>
      </w:r>
    </w:p>
    <w:p>
      <w:pPr>
        <w:spacing w:before="120" w:after="0"/>
        <w:ind w:firstLine="0"/>
      </w:pPr>
      <w:r>
        <w:rPr>
          <w:i w:val="0"/>
        </w:rPr>
        <w:t xml:space="preserve">Arnold, Schäfer (2022). Physical Review X 12, 031044. </w:t>
      </w:r>
      <w:hyperlink r:id="rId63">
        <w:r>
          <w:rPr>
            <w:rStyle w:val="Hyperlink"/>
          </w:rPr>
          <w:t xml:space="preserve">https://doi.org/10.1103/PhysRevX.12.031044</w:t>
        </w:r>
      </w:hyperlink>
    </w:p>
    <w:p>
      <w:pPr>
        <w:spacing w:before="120" w:after="0"/>
        <w:ind w:firstLine="0"/>
      </w:pPr>
      <w:r>
        <w:rPr>
          <w:i w:val="0"/>
        </w:rPr>
        <w:t xml:space="preserve">Beach, Golubeva, Melko (2018). Physical Review B 97, 045207. </w:t>
      </w:r>
      <w:hyperlink r:id="rId64">
        <w:r>
          <w:rPr>
            <w:rStyle w:val="Hyperlink"/>
          </w:rPr>
          <w:t xml:space="preserve">https://doi.org/10.1103/PhysRevB.97.045207</w:t>
        </w:r>
      </w:hyperlink>
    </w:p>
    <w:p>
      <w:pPr>
        <w:spacing w:before="120" w:after="0"/>
        <w:ind w:firstLine="0"/>
      </w:pPr>
      <w:r>
        <w:rPr>
          <w:i w:val="0"/>
        </w:rPr>
        <w:t xml:space="preserve">Greitemann, Liu, Jaubert, Yan, Shannon, Pollet (2019). Physical Review B 100, 174408. </w:t>
      </w:r>
      <w:hyperlink r:id="rId65">
        <w:r>
          <w:rPr>
            <w:rStyle w:val="Hyperlink"/>
          </w:rPr>
          <w:t xml:space="preserve">https://doi.org/10.1103/PhysRevB.100.174408</w:t>
        </w:r>
      </w:hyperlink>
    </w:p>
    <w:p>
      <w:pPr>
        <w:spacing w:before="120" w:after="0"/>
        <w:ind w:firstLine="0"/>
      </w:pPr>
      <w:r>
        <w:rPr>
          <w:i w:val="0"/>
        </w:rPr>
        <w:t xml:space="preserve">Greitemann, Liu, Pollet (2019). Physical Review B 99, 060404(R). </w:t>
      </w:r>
      <w:hyperlink r:id="rId66">
        <w:r>
          <w:rPr>
            <w:rStyle w:val="Hyperlink"/>
          </w:rPr>
          <w:t xml:space="preserve">https://doi.org/10.1103/PhysRevB.99.060404</w:t>
        </w:r>
      </w:hyperlink>
    </w:p>
    <w:p>
      <w:pPr>
        <w:spacing w:before="120" w:after="0"/>
        <w:ind w:firstLine="0"/>
      </w:pPr>
      <w:r>
        <w:rPr>
          <w:i w:val="0"/>
        </w:rPr>
        <w:t xml:space="preserve">Hu, Singh, Scalettar (2017). Physical Review E 95, 062122. </w:t>
      </w:r>
      <w:hyperlink r:id="rId67">
        <w:r>
          <w:rPr>
            <w:rStyle w:val="Hyperlink"/>
          </w:rPr>
          <w:t xml:space="preserve">https://doi.org/10.1103/PhysRevE.95.062122</w:t>
        </w:r>
      </w:hyperlink>
    </w:p>
    <w:p>
      <w:pPr>
        <w:spacing w:before="120" w:after="0"/>
        <w:ind w:firstLine="0"/>
      </w:pPr>
      <w:r>
        <w:rPr>
          <w:i w:val="0"/>
        </w:rPr>
        <w:t xml:space="preserve">Huembeli, Dauphin, Wittek (2018). Physical Review B 97, 134109. </w:t>
      </w:r>
      <w:hyperlink r:id="rId68">
        <w:r>
          <w:rPr>
            <w:rStyle w:val="Hyperlink"/>
          </w:rPr>
          <w:t xml:space="preserve">https://doi.org/10.1103/PhysRevB.97.134109</w:t>
        </w:r>
      </w:hyperlink>
    </w:p>
    <w:p>
      <w:pPr>
        <w:spacing w:before="120" w:after="0"/>
        <w:ind w:firstLine="0"/>
      </w:pPr>
      <w:r>
        <w:rPr>
          <w:i w:val="0"/>
        </w:rPr>
        <w:t xml:space="preserve">Huembeli, Dauphin, Wittek, Gogolin (2019). Physical Review B 99, 104106. </w:t>
      </w:r>
      <w:hyperlink r:id="rId69">
        <w:r>
          <w:rPr>
            <w:rStyle w:val="Hyperlink"/>
          </w:rPr>
          <w:t xml:space="preserve">https://doi.org/10.1103/PhysRevB.99.104106</w:t>
        </w:r>
      </w:hyperlink>
    </w:p>
    <w:p>
      <w:pPr>
        <w:spacing w:before="120" w:after="0"/>
        <w:ind w:firstLine="0"/>
      </w:pPr>
      <w:r>
        <w:rPr>
          <w:i w:val="0"/>
        </w:rPr>
        <w:t xml:space="preserve">Kottmann, Huembeli, Lewenstein, Acín (2020). Physical Review Letters 125, 170603. </w:t>
      </w:r>
      <w:hyperlink r:id="rId70">
        <w:r>
          <w:rPr>
            <w:rStyle w:val="Hyperlink"/>
          </w:rPr>
          <w:t xml:space="preserve">https://doi.org/10.1103/PhysRevLett.125.170603</w:t>
        </w:r>
      </w:hyperlink>
    </w:p>
    <w:p>
      <w:pPr>
        <w:spacing w:before="120" w:after="0"/>
        <w:ind w:firstLine="0"/>
      </w:pPr>
      <w:r>
        <w:rPr>
          <w:i w:val="0"/>
        </w:rPr>
        <w:t xml:space="preserve">Käming, Dawid, Kottmann, Lewenstein, Sengstock, Dauphin, Weitenberg (2021). Machine Learning: Science and Technology 2, 035037. </w:t>
      </w:r>
      <w:hyperlink r:id="rId71">
        <w:r>
          <w:rPr>
            <w:rStyle w:val="Hyperlink"/>
          </w:rPr>
          <w:t xml:space="preserve">https://doi.org/10.1088/2632-2153/abffe7</w:t>
        </w:r>
      </w:hyperlink>
    </w:p>
    <w:p>
      <w:pPr>
        <w:spacing w:before="120" w:after="0"/>
        <w:ind w:firstLine="0"/>
      </w:pPr>
      <w:r>
        <w:rPr>
          <w:i w:val="0"/>
        </w:rPr>
        <w:t xml:space="preserve">Liu, van Nieuwenburg (2018). Physical Review Letters 120, 176401. </w:t>
      </w:r>
      <w:hyperlink r:id="rId72">
        <w:r>
          <w:rPr>
            <w:rStyle w:val="Hyperlink"/>
          </w:rPr>
          <w:t xml:space="preserve">https://doi.org/10.1103/PhysRevLett.120.176401</w:t>
        </w:r>
      </w:hyperlink>
    </w:p>
    <w:p>
      <w:pPr>
        <w:spacing w:before="120" w:after="0"/>
        <w:ind w:firstLine="0"/>
      </w:pPr>
      <w:r>
        <w:rPr>
          <w:i w:val="0"/>
        </w:rPr>
        <w:t xml:space="preserve">Rodriguez-Nieva, Scheurer (2019). Nature Physics 15, 790-795. </w:t>
      </w:r>
      <w:hyperlink r:id="rId73">
        <w:r>
          <w:rPr>
            <w:rStyle w:val="Hyperlink"/>
          </w:rPr>
          <w:t xml:space="preserve">https://doi.org/10.1038/s41567-019-0512-x</w:t>
        </w:r>
      </w:hyperlink>
    </w:p>
    <w:p>
      <w:pPr>
        <w:spacing w:before="120" w:after="0"/>
        <w:ind w:firstLine="0"/>
      </w:pPr>
      <w:r>
        <w:rPr>
          <w:i w:val="0"/>
        </w:rPr>
        <w:t xml:space="preserve">Scheurer, Slager (2020). Physical Review Letters 124, 226401. </w:t>
      </w:r>
      <w:hyperlink r:id="rId74">
        <w:r>
          <w:rPr>
            <w:rStyle w:val="Hyperlink"/>
          </w:rPr>
          <w:t xml:space="preserve">https://doi.org/10.1103/PhysRevLett.124.226401</w:t>
        </w:r>
      </w:hyperlink>
    </w:p>
    <w:p>
      <w:pPr>
        <w:spacing w:before="120" w:after="0"/>
        <w:ind w:firstLine="0"/>
      </w:pPr>
      <w:r>
        <w:rPr>
          <w:i w:val="0"/>
        </w:rPr>
        <w:t xml:space="preserve">van Nieuwenburg, Liu, Huber (2017). Nature Physics 13, 435-439. </w:t>
      </w:r>
      <w:hyperlink r:id="rId55">
        <w:r>
          <w:rPr>
            <w:rStyle w:val="Hyperlink"/>
          </w:rPr>
          <w:t xml:space="preserve">https://doi.org/10.1038/nphys4037</w:t>
        </w:r>
      </w:hyperlink>
    </w:p>
    <w:p>
      <w:pPr>
        <w:spacing w:before="120" w:after="0"/>
        <w:ind w:firstLine="0"/>
      </w:pPr>
      <w:r>
        <w:rPr>
          <w:i w:val="0"/>
        </w:rPr>
        <w:t xml:space="preserve">Wang (2016). Physical Review B 94, 195105. </w:t>
      </w:r>
      <w:hyperlink r:id="rId75">
        <w:r>
          <w:rPr>
            <w:rStyle w:val="Hyperlink"/>
          </w:rPr>
          <w:t xml:space="preserve">https://doi.org/10.1103/PhysRevB.94.195105</w:t>
        </w:r>
      </w:hyperlink>
    </w:p>
    <w:p>
      <w:pPr>
        <w:spacing w:before="120" w:after="0"/>
        <w:ind w:firstLine="0"/>
      </w:pPr>
      <w:r>
        <w:rPr>
          <w:i w:val="0"/>
        </w:rPr>
        <w:t xml:space="preserve">Wang, Zhai (2017). Physical Review B 96, 144432. </w:t>
      </w:r>
      <w:hyperlink r:id="rId76">
        <w:r>
          <w:rPr>
            <w:rStyle w:val="Hyperlink"/>
          </w:rPr>
          <w:t xml:space="preserve">https://doi.org/10.1103/PhysRevB.96.144432</w:t>
        </w:r>
      </w:hyperlink>
    </w:p>
    <w:p>
      <w:pPr>
        <w:spacing w:before="120" w:after="0"/>
        <w:ind w:firstLine="0"/>
      </w:pPr>
      <w:r>
        <w:rPr>
          <w:i w:val="0"/>
        </w:rPr>
        <w:t xml:space="preserve">Wetzel (2017). Physical Review E 96, 022140. </w:t>
      </w:r>
      <w:hyperlink r:id="rId77">
        <w:r>
          <w:rPr>
            <w:rStyle w:val="Hyperlink"/>
          </w:rPr>
          <w:t xml:space="preserve">https://doi.org/10.1103/PhysRevE.96.022140</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03/PhysRevX.12.031044" TargetMode="External"/><Relationship Id="rId64" Type="http://schemas.openxmlformats.org/officeDocument/2006/relationships/hyperlink" Target="https://doi.org/10.1103/PhysRevB.97.045207" TargetMode="External"/><Relationship Id="rId65" Type="http://schemas.openxmlformats.org/officeDocument/2006/relationships/hyperlink" Target="https://doi.org/10.1103/PhysRevB.100.174408" TargetMode="External"/><Relationship Id="rId66" Type="http://schemas.openxmlformats.org/officeDocument/2006/relationships/hyperlink" Target="https://doi.org/10.1103/PhysRevB.99.060404" TargetMode="External"/><Relationship Id="rId67" Type="http://schemas.openxmlformats.org/officeDocument/2006/relationships/hyperlink" Target="https://doi.org/10.1103/PhysRevE.95.062122" TargetMode="External"/><Relationship Id="rId68" Type="http://schemas.openxmlformats.org/officeDocument/2006/relationships/hyperlink" Target="https://doi.org/10.1103/PhysRevB.97.134109" TargetMode="External"/><Relationship Id="rId69" Type="http://schemas.openxmlformats.org/officeDocument/2006/relationships/hyperlink" Target="https://doi.org/10.1103/PhysRevB.99.104106" TargetMode="External"/><Relationship Id="rId70" Type="http://schemas.openxmlformats.org/officeDocument/2006/relationships/hyperlink" Target="https://doi.org/10.1103/PhysRevLett.125.170603" TargetMode="External"/><Relationship Id="rId71" Type="http://schemas.openxmlformats.org/officeDocument/2006/relationships/hyperlink" Target="https://doi.org/10.1088/2632-2153/abffe7" TargetMode="External"/><Relationship Id="rId72" Type="http://schemas.openxmlformats.org/officeDocument/2006/relationships/hyperlink" Target="https://doi.org/10.1103/PhysRevLett.120.176401" TargetMode="External"/><Relationship Id="rId73" Type="http://schemas.openxmlformats.org/officeDocument/2006/relationships/hyperlink" Target="https://doi.org/10.1038/s41567-019-0512-x" TargetMode="External"/><Relationship Id="rId74" Type="http://schemas.openxmlformats.org/officeDocument/2006/relationships/hyperlink" Target="https://doi.org/10.1103/PhysRevLett.124.226401" TargetMode="External"/><Relationship Id="rId75" Type="http://schemas.openxmlformats.org/officeDocument/2006/relationships/hyperlink" Target="https://doi.org/10.1103/PhysRevB.94.195105" TargetMode="External"/><Relationship Id="rId76" Type="http://schemas.openxmlformats.org/officeDocument/2006/relationships/hyperlink" Target="https://doi.org/10.1103/PhysRevB.96.144432" TargetMode="External"/><Relationship Id="rId77" Type="http://schemas.openxmlformats.org/officeDocument/2006/relationships/hyperlink" Target="https://doi.org/10.1103/PhysRevE.96.022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