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7</w:t>
      </w:r>
    </w:p>
    <w:p>
      <w:pPr>
        <w:pStyle w:val="Heading1"/>
      </w:pPr>
      <w:r>
        <w:t>What Is the Network Actually Looking At?</w:t>
      </w:r>
    </w:p>
    <w:p>
      <w:r>
        <w:rPr>
          <w:i w:val="0"/>
        </w:rPr>
        <w:t>The input to a many-body-localization classifier is not a spin configuration. Frank Schindler, Nicolas Regnault and Titus Neupert trained a single-hidden-layer perceptron on entanglement spectra of individual eigenstates of the random-field Heisenberg spin-1/2 chain, labelling examples from the deeply localized and deeply thermal regimes, and used it to locate the transition. Jordan Venderley, Vedika Khemani and Eun-Ah Kim fed spectra of the same kind to a feed-forward network and decoded two many-body-localized phases alongside a thermalizing one, with a boundary sharper than entanglement entropy alone supplies. Producing that input means diagonalizing the Hamiltonian, choosing an eigenstate and a bipartition, forming the reduced density matrix and keeping some of its largest eigenvalues, each step a modelling decision made before the network saw anything.</w:t>
      </w:r>
    </w:p>
    <w:p>
      <w:r>
        <w:rPr>
          <w:i w:val="0"/>
        </w:rPr>
        <w:t>That is not a complaint but the setting for the question this chapter asks, which is what a successful classification licenses one to assert. Accuracy measures two things, the distinguishability of the two ensembles and the reach of the function class the learner was handed, and it does not measure mechanism. Mechanism enters the record by one of two routes. Either the physics goes in before the network, as a feature map chosen and declared in advance, or it is recovered afterwards with apparatus built for the purpose by people who had begun to doubt the result. Both appear below. What follows takes the two terms of the accuracy figure in turn, asks which statistic a learner settles on when several sit near the ceiling, prices the recovery of mechanism when nothing was declared, and closes on the two responses that followed. One lets the machine search over features under an objective that punishes the obvious confound; the other replaces the network with a learner whose decision function can be written down and read.</w:t>
      </w:r>
    </w:p>
    <w:p>
      <w:pPr>
        <w:pStyle w:val="BookSection"/>
      </w:pPr>
      <w:r>
        <w:t>What accuracy is a measurement of</w:t>
      </w:r>
    </w:p>
    <w:p>
      <w:r>
        <w:rPr>
          <w:i w:val="0"/>
        </w:rPr>
        <w:t xml:space="preserve">The founding supervised result fixes the protocol. Juan Carrasquilla and Roger G. Melko trained a fully connected network with one hidden layer of a hundred sigmoid units on raw Monte Carlo configurations of the square-lattice Ising ferromagnet, tagging each one low-temperature or high-temperature according to whether its sampling temperature lay below or above the Onsager value, with no Hamiltonian, no order parameter and no preprocessing supplied. On an uncorrelated test set the network was right ninety-four percent of the time at </w:t>
      </w:r>
      <m:oMath>
        <m:r>
          <m:t>L=10</m:t>
        </m:r>
      </m:oMath>
      <w:r>
        <w:rPr>
          <w:i w:val="0"/>
        </w:rPr>
        <w:t xml:space="preserve"> and ninety-nine percent at </w:t>
      </w:r>
      <m:oMath>
        <m:r>
          <m:t>L=40</m:t>
        </m:r>
      </m:oMath>
      <w:r>
        <w:rPr>
          <w:i w:val="0"/>
        </w:rPr>
        <w:t>. This chapter is a question about what those two numbers contain.</w:t>
      </w:r>
    </w:p>
    <w:p>
      <w:r>
        <w:rPr>
          <w:i w:val="0"/>
        </w:rPr>
        <w:t xml:space="preserve">Fix the setting. Two classes are drawn with equal prior probability from densities </w:t>
      </w:r>
      <m:oMath>
        <m:sSub>
          <m:e>
            <m:r>
              <m:t>p</m:t>
            </m:r>
          </m:e>
          <m:sub>
            <m:r>
              <m:t>0</m:t>
            </m:r>
          </m:sub>
        </m:sSub>
      </m:oMath>
      <w:r>
        <w:rPr>
          <w:i w:val="0"/>
        </w:rPr>
        <w:t xml:space="preserve"> and </w:t>
      </w:r>
      <m:oMath>
        <m:sSub>
          <m:e>
            <m:r>
              <m:t>p</m:t>
            </m:r>
          </m:e>
          <m:sub>
            <m:r>
              <m:t>1</m:t>
            </m:r>
          </m:sub>
        </m:sSub>
      </m:oMath>
      <w:r>
        <w:rPr>
          <w:i w:val="0"/>
        </w:rPr>
        <w:t xml:space="preserve"> over configurations </w:t>
      </w:r>
      <m:oMath>
        <m:r>
          <m:t>x</m:t>
        </m:r>
      </m:oMath>
      <w:r>
        <w:rPr>
          <w:i w:val="0"/>
        </w:rPr>
        <w:t xml:space="preserve">. The rule minimizing total error assigns each configuration to the class of larger posterior probability, which under equal priors compares the likelihood ratio </w:t>
      </w:r>
      <m:oMath>
        <m:sSub>
          <m:e>
            <m:r>
              <m:t>p</m:t>
            </m:r>
          </m:e>
          <m:sub>
            <m:r>
              <m:t>1</m:t>
            </m:r>
          </m:sub>
        </m:sSub>
        <m:r>
          <m:t>(x)/</m:t>
        </m:r>
        <m:sSub>
          <m:e>
            <m:r>
              <m:t>p</m:t>
            </m:r>
          </m:e>
          <m:sub>
            <m:r>
              <m:t>0</m:t>
            </m:r>
          </m:sub>
        </m:sSub>
        <m:r>
          <m:t>(x)</m:t>
        </m:r>
      </m:oMath>
      <w:r>
        <w:rPr>
          <w:i w:val="0"/>
        </w:rPr>
        <w:t xml:space="preserve"> to one. That is the Bayes rule, not the Neyman-Pearson lemma, which supplies the most powerful test at a fixed false-positive rate rather than the least total error. The Bayes error is</w:t>
      </w:r>
    </w:p>
    <w:p>
      <w:pPr>
        <w:spacing w:before="200" w:after="200"/>
        <w:ind w:firstLine="0"/>
        <w:jc w:val="center"/>
        <w:contextualSpacing w:val="0"/>
      </w:pPr>
      <m:oMath>
        <m:sSup>
          <m:e>
            <m:r>
              <m:t>ε</m:t>
            </m:r>
          </m:e>
          <m:sup>
            <m:r>
              <m:t>*</m:t>
            </m:r>
          </m:sup>
        </m:sSup>
        <m:r>
          <m:t>=</m:t>
        </m:r>
        <m:f>
          <m:fPr>
            <m:type m:val="bar"/>
          </m:fPr>
          <m:num>
            <m:r>
              <m:t>1</m:t>
            </m:r>
          </m:num>
          <m:den>
            <m:r>
              <m:t>2</m:t>
            </m:r>
          </m:den>
        </m:f>
        <m:r>
          <m:t>∫min(</m:t>
        </m:r>
        <m:sSub>
          <m:e>
            <m:r>
              <m:t>p</m:t>
            </m:r>
          </m:e>
          <m:sub>
            <m:r>
              <m:t>0</m:t>
            </m:r>
          </m:sub>
        </m:sSub>
        <m:r>
          <m:t>(x),</m:t>
        </m:r>
        <m:sSub>
          <m:e>
            <m:r>
              <m:t>p</m:t>
            </m:r>
          </m:e>
          <m:sub>
            <m:r>
              <m:t>1</m:t>
            </m:r>
          </m:sub>
        </m:sSub>
        <m:r>
          <m:t>(x))</m:t>
        </m:r>
        <m:r>
          <m:t>dx=</m:t>
        </m:r>
        <m:f>
          <m:fPr>
            <m:type m:val="bar"/>
          </m:fPr>
          <m:num>
            <m:r>
              <m:t>1</m:t>
            </m:r>
          </m:num>
          <m:den>
            <m:r>
              <m:t>2</m:t>
            </m:r>
          </m:den>
        </m:f>
        <m:r>
          <m:t>(1−</m:t>
        </m:r>
        <m:f>
          <m:fPr>
            <m:type m:val="bar"/>
          </m:fPr>
          <m:num>
            <m:argPr>
              <m:scrLvl m:val="0"/>
            </m:argPr>
            <m:r>
              <m:t>1</m:t>
            </m:r>
          </m:num>
          <m:den>
            <m:argPr>
              <m:scrLvl m:val="0"/>
            </m:argPr>
            <m:r>
              <m:t>2</m:t>
            </m:r>
          </m:den>
        </m:f>
        <m:r>
          <m:t>∫|</m:t>
        </m:r>
        <m:sSub>
          <m:e>
            <m:r>
              <m:t>p</m:t>
            </m:r>
          </m:e>
          <m:sub>
            <m:r>
              <m:t>1</m:t>
            </m:r>
          </m:sub>
        </m:sSub>
        <m:r>
          <m:t>(x)−</m:t>
        </m:r>
        <m:sSub>
          <m:e>
            <m:r>
              <m:t>p</m:t>
            </m:r>
          </m:e>
          <m:sub>
            <m:r>
              <m:t>0</m:t>
            </m:r>
          </m:sub>
        </m:sSub>
        <m:r>
          <m:t>(x)|</m:t>
        </m:r>
        <m:r>
          <m:t>dx),</m:t>
        </m:r>
      </m:oMath>
    </w:p>
    <w:p>
      <w:r>
        <w:rPr>
          <w:i w:val="0"/>
        </w:rPr>
        <w:t xml:space="preserve">using </w:t>
      </w:r>
      <m:oMath>
        <m:r>
          <m:t>min(a,b)=</m:t>
        </m:r>
        <m:f>
          <m:fPr>
            <m:type m:val="bar"/>
          </m:fPr>
          <m:num>
            <m:argPr>
              <m:scrLvl m:val="0"/>
            </m:argPr>
            <m:r>
              <m:t>1</m:t>
            </m:r>
          </m:num>
          <m:den>
            <m:argPr>
              <m:scrLvl m:val="0"/>
            </m:argPr>
            <m:r>
              <m:t>2</m:t>
            </m:r>
          </m:den>
        </m:f>
        <m:r>
          <m:t>(a+b−|a−b|)</m:t>
        </m:r>
      </m:oMath>
      <w:r>
        <w:rPr>
          <w:i w:val="0"/>
        </w:rPr>
        <w:t xml:space="preserve"> and the normalization of both densities. The last integral is twice the total variation distance between the ensembles, so the best accuracy any classifier can reach is a functional of the two distributions and of nothing else. Julian Arnold and Frank Schäfer proved a parallel statement about the predictor rather than the error rate: for the detection schemes considered there, the network output in the infinite-capacity limit is a closed-form expression in the underlying data distributions. Neither statement contains the other, and both say the architecture drops out of the limit.</w:t>
      </w:r>
    </w:p>
    <w:p>
      <w:r>
        <w:rPr>
          <w:i w:val="0"/>
        </w:rPr>
        <w:t>It drops out precisely because these are optima. Minimizing over all decision rules erases every property of any particular one. A learner confined to a function class sits above that floor by a margin the class owns, set by how well its best member approximates a monotone function of the likelihood ratio and by how much of that member finite data can find. Distinguishability fixes what is available, the class fixes how much is collected, and neither quantity is a mechanism.</w:t>
      </w:r>
    </w:p>
    <w:p>
      <w:r>
        <w:rPr>
          <w:i w:val="0"/>
        </w:rPr>
        <w:t xml:space="preserve">What realizes the ceiling matters as much as its value. A statistic </w:t>
      </w:r>
      <m:oMath>
        <m:r>
          <m:t>s(x)</m:t>
        </m:r>
      </m:oMath>
      <w:r>
        <w:rPr>
          <w:i w:val="0"/>
        </w:rPr>
        <w:t xml:space="preserve"> recovers the floor exactly when the likelihood ratio is a monotone function of it. Thresholding any other statistic incurs the error of the one-dimensional problem it induces,</w:t>
      </w:r>
    </w:p>
    <w:p>
      <w:pPr>
        <w:spacing w:before="200" w:after="200"/>
        <w:ind w:firstLine="0"/>
        <w:jc w:val="center"/>
        <w:contextualSpacing w:val="0"/>
      </w:pPr>
      <m:oMath>
        <m:r>
          <m:t>ε(s)=</m:t>
        </m:r>
        <m:f>
          <m:fPr>
            <m:type m:val="bar"/>
          </m:fPr>
          <m:num>
            <m:r>
              <m:t>1</m:t>
            </m:r>
          </m:num>
          <m:den>
            <m:r>
              <m:t>2</m:t>
            </m:r>
          </m:den>
        </m:f>
        <m:r>
          <m:t>∫min(</m:t>
        </m:r>
        <m:sSub>
          <m:e>
            <m:r>
              <m:t>p</m:t>
            </m:r>
          </m:e>
          <m:sub>
            <m:r>
              <m:t>0</m:t>
            </m:r>
          </m:sub>
        </m:sSub>
        <m:r>
          <m:t>(s),</m:t>
        </m:r>
        <m:sSub>
          <m:e>
            <m:r>
              <m:t>p</m:t>
            </m:r>
          </m:e>
          <m:sub>
            <m:r>
              <m:t>1</m:t>
            </m:r>
          </m:sub>
        </m:sSub>
        <m:r>
          <m:t>(s))</m:t>
        </m:r>
        <m:r>
          <m:t>ds</m:t>
        </m:r>
        <m:r>
          <m:t>≥</m:t>
        </m:r>
        <m:sSup>
          <m:e>
            <m:r>
              <m:t>ε</m:t>
            </m:r>
          </m:e>
          <m:sup>
            <m:r>
              <m:t>*</m:t>
            </m:r>
          </m:sup>
        </m:sSup>
        <m:r>
          <m:t>,</m:t>
        </m:r>
      </m:oMath>
    </w:p>
    <w:p>
      <w:r>
        <w:rPr>
          <w:i w:val="0"/>
        </w:rPr>
        <w:t xml:space="preserve">the inequality holding because passing to a function of </w:t>
      </w:r>
      <m:oMath>
        <m:r>
          <m:t>x</m:t>
        </m:r>
      </m:oMath>
      <w:r>
        <w:rPr>
          <w:i w:val="0"/>
        </w:rPr>
        <w:t xml:space="preserve"> cannot increase total variation distance. Whether </w:t>
      </w:r>
      <m:oMath>
        <m:r>
          <m:t>ε(s)</m:t>
        </m:r>
      </m:oMath>
      <w:r>
        <w:rPr>
          <w:i w:val="0"/>
        </w:rPr>
        <w:t xml:space="preserve"> lands near the floor is a question about those two induced densities, and the behaviour of the mean of </w:t>
      </w:r>
      <m:oMath>
        <m:r>
          <m:t>s</m:t>
        </m:r>
      </m:oMath>
      <w:r>
        <w:rPr>
          <w:i w:val="0"/>
        </w:rPr>
        <w:t xml:space="preserve"> does not settle it. A statistic whose mean climbs steeply with temperature but whose value scatters widely at fixed temperature is a poor classifier, and one with a gentler mean and a narrow spread can be a much better one. What has to hold is a separation condition: the shift in the mean between the two labelled regions must be large compared with the spread at fixed temperature.</w:t>
      </w:r>
    </w:p>
    <w:p>
      <w:r>
        <w:rPr>
          <w:i w:val="0"/>
        </w:rPr>
        <w:t xml:space="preserve">For the two candidates at issue here it does hold, and it can be checked rather than assumed. Both the magnetization magnitude </w:t>
      </w:r>
      <m:oMath>
        <m:d>
          <m:dPr>
            <m:begChr m:val="|"/>
            <m:sepChr m:val=""/>
            <m:endChr m:val="|"/>
          </m:dPr>
          <m:e>
            <m:r>
              <m:t>m</m:t>
            </m:r>
          </m:e>
        </m:d>
      </m:oMath>
      <w:r>
        <w:rPr>
          <w:i w:val="0"/>
        </w:rPr>
        <w:t xml:space="preserve"> and the energy density are averages of local quantities over </w:t>
      </w:r>
      <m:oMath>
        <m:r>
          <m:t>N=</m:t>
        </m:r>
        <m:sSup>
          <m:e>
            <m:r>
              <m:t>L</m:t>
            </m:r>
          </m:e>
          <m:sup>
            <m:r>
              <m:t>2</m:t>
            </m:r>
          </m:sup>
        </m:sSup>
      </m:oMath>
      <w:r>
        <w:rPr>
          <w:i w:val="0"/>
        </w:rPr>
        <w:t xml:space="preserve"> sites. Away from </w:t>
      </w:r>
      <m:oMath>
        <m:sSub>
          <m:e>
            <m:r>
              <m:t>T</m:t>
            </m:r>
          </m:e>
          <m:sub>
            <m:r>
              <m:t>c</m:t>
            </m:r>
          </m:sub>
        </m:sSub>
      </m:oMath>
      <w:r>
        <w:rPr>
          <w:i w:val="0"/>
        </w:rPr>
        <w:t xml:space="preserve"> the correlation length is finite, so each is self-averaging with a standard deviation of order </w:t>
      </w:r>
      <m:oMath>
        <m:sSup>
          <m:e>
            <m:r>
              <m:t>N</m:t>
            </m:r>
          </m:e>
          <m:sup>
            <m:r>
              <m:t>−1/2</m:t>
            </m:r>
          </m:sup>
        </m:sSup>
      </m:oMath>
      <w:r>
        <w:rPr>
          <w:i w:val="0"/>
        </w:rPr>
        <w:t xml:space="preserve">, while their means differ by an amount of order one between a configuration drawn well below </w:t>
      </w:r>
      <m:oMath>
        <m:sSub>
          <m:e>
            <m:r>
              <m:t>T</m:t>
            </m:r>
          </m:e>
          <m:sub>
            <m:r>
              <m:t>c</m:t>
            </m:r>
          </m:sub>
        </m:sSub>
      </m:oMath>
      <w:r>
        <w:rPr>
          <w:i w:val="0"/>
        </w:rPr>
        <w:t xml:space="preserve"> and one drawn well above. Thresholding either misclassifies a fraction falling exponentially in </w:t>
      </w:r>
      <m:oMath>
        <m:r>
          <m:t>N</m:t>
        </m:r>
      </m:oMath>
      <w:r>
        <w:rPr>
          <w:i w:val="0"/>
        </w:rPr>
        <w:t xml:space="preserve">, and the residual error comes almost entirely from configurations sampled inside the critical window, where the correlation length reaches the system size and the two densities genuinely overlap. That window narrows like </w:t>
      </w:r>
      <m:oMath>
        <m:sSup>
          <m:e>
            <m:r>
              <m:t>L</m:t>
            </m:r>
          </m:e>
          <m:sup>
            <m:r>
              <m:t>−1/ν</m:t>
            </m:r>
          </m:sup>
        </m:sSup>
      </m:oMath>
      <w:r>
        <w:rPr>
          <w:i w:val="0"/>
        </w:rPr>
        <w:t xml:space="preserve">, and with </w:t>
      </w:r>
      <m:oMath>
        <m:r>
          <m:t>ν=1</m:t>
        </m:r>
      </m:oMath>
      <w:r>
        <w:rPr>
          <w:i w:val="0"/>
        </w:rPr>
        <w:t xml:space="preserve"> in two dimensions the fraction of a fixed temperature range lying inside it falls like </w:t>
      </w:r>
      <m:oMath>
        <m:f>
          <m:fPr>
            <m:type m:val="lin"/>
          </m:fPr>
          <m:num>
            <m:r>
              <m:t>1</m:t>
            </m:r>
          </m:num>
          <m:den>
            <m:r>
              <m:t>L</m:t>
            </m:r>
          </m:den>
        </m:f>
      </m:oMath>
      <w:r>
        <w:rPr>
          <w:i w:val="0"/>
        </w:rPr>
        <w:t xml:space="preserve">, roughly the rate at which six percent error at </w:t>
      </w:r>
      <m:oMath>
        <m:r>
          <m:t>L=10</m:t>
        </m:r>
      </m:oMath>
      <w:r>
        <w:rPr>
          <w:i w:val="0"/>
        </w:rPr>
        <w:t xml:space="preserve"> becomes one percent at </w:t>
      </w:r>
      <m:oMath>
        <m:r>
          <m:t>L=40</m:t>
        </m:r>
      </m:oMath>
      <w:r>
        <w:rPr>
          <w:i w:val="0"/>
        </w:rPr>
        <w:t>.</w:t>
      </w:r>
    </w:p>
    <w:p>
      <w:r>
        <w:rPr>
          <w:i w:val="0"/>
        </w:rPr>
        <w:t xml:space="preserve">Both statistics therefore sit close to the floor. They do not sit equally close, and the difference is measurable, but it is measurable in the loss under a controlled comparison, with the data and the objective held fixed and only the statistic available to the learner changed. It is not measurable in a reported accuracy figure. Ninety-nine percent at </w:t>
      </w:r>
      <m:oMath>
        <m:r>
          <m:t>L=40</m:t>
        </m:r>
      </m:oMath>
      <w:r>
        <w:rPr>
          <w:i w:val="0"/>
        </w:rPr>
        <w:t xml:space="preserve"> is what a near-optimal rule looks like, and it is equally what a rule reading the other near-optimal statistic looks like, since both are within about a percent of a floor set by the critical window rather than by either of them. The objective does have a preference between a thermometer and an order parameter, and a single number quoted at the end of a paper does not report it. Someone has to run the comparison.</w:t>
      </w:r>
    </w:p>
    <w:p>
      <w:pPr>
        <w:pStyle w:val="BookSection"/>
      </w:pPr>
      <w:r>
        <w:t>Which statistic gets found</w:t>
      </w:r>
    </w:p>
    <w:p>
      <w:r>
        <w:rPr>
          <w:i w:val="0"/>
        </w:rPr>
        <w:t xml:space="preserve">Sebastian J. Wetzel and Manuel Scherzer ran it, by bounding what a network is able to use. The instrument is a correlation-probing network: a fully convolutional subnetwork whose output neurons have a receptive field fixed by hand, an averaging layer that destroys all spatial information, and a fully connected predictor. Fixing the receptive field fixes which correlations the decision function can contain, since a neuron seeing </w:t>
      </w:r>
      <m:oMath>
        <m:r>
          <m:t>k</m:t>
        </m:r>
      </m:oMath>
      <w:r>
        <w:rPr>
          <w:i w:val="0"/>
        </w:rPr>
        <w:t xml:space="preserve"> sites reports only functions of those </w:t>
      </w:r>
      <m:oMath>
        <m:r>
          <m:t>k</m:t>
        </m:r>
      </m:oMath>
      <w:r>
        <w:rPr>
          <w:i w:val="0"/>
        </w:rPr>
        <w:t xml:space="preserve"> spins. At a receptive field of one site the decision function is provably a function of </w:t>
      </w:r>
      <m:oMath>
        <m:r>
          <m:t>(1/N)</m:t>
        </m:r>
        <m:nary>
          <m:naryPr>
            <m:chr m:val="∑"/>
            <m:limLoc m:val="subSup"/>
            <m:grow m:val="1"/>
            <m:subHide m:val="off"/>
            <m:supHide m:val="on"/>
          </m:naryPr>
          <m:sub>
            <m:r>
              <m:t>i</m:t>
            </m:r>
          </m:sub>
          <m:sup/>
          <m:e>
            <m:sSub>
              <m:e>
                <m:r>
                  <m:t>σ</m:t>
                </m:r>
              </m:e>
              <m:sub>
                <m:r>
                  <m:t>i</m:t>
                </m:r>
              </m:sub>
            </m:sSub>
          </m:e>
        </m:nary>
      </m:oMath>
      <w:r>
        <w:rPr>
          <w:i w:val="0"/>
        </w:rPr>
        <w:t xml:space="preserve"> alone, because </w:t>
      </w:r>
      <m:oMath>
        <m:sSubSup>
          <m:e>
            <m:r>
              <m:t>σ</m:t>
            </m:r>
          </m:e>
          <m:sub>
            <m:r>
              <m:t>i</m:t>
            </m:r>
          </m:sub>
          <m:sup>
            <m:r>
              <m:t>2</m:t>
            </m:r>
          </m:sup>
        </m:sSubSup>
        <m:r>
          <m:t>=1</m:t>
        </m:r>
      </m:oMath>
      <w:r>
        <w:rPr>
          <w:i w:val="0"/>
        </w:rPr>
        <w:t xml:space="preserve"> truncates the expansion in each spin at first order.</w:t>
      </w:r>
    </w:p>
    <w:p>
      <w:r>
        <w:rPr>
          <w:i w:val="0"/>
        </w:rPr>
        <w:t xml:space="preserve">Trained on Ising configurations sampled below </w:t>
      </w:r>
      <m:oMath>
        <m:r>
          <m:t>T=1.6</m:t>
        </m:r>
      </m:oMath>
      <w:r>
        <w:rPr>
          <w:i w:val="0"/>
        </w:rPr>
        <w:t xml:space="preserve"> and above </w:t>
      </w:r>
      <m:oMath>
        <m:r>
          <m:t>T=2.9</m:t>
        </m:r>
      </m:oMath>
      <w:r>
        <w:rPr>
          <w:i w:val="0"/>
        </w:rPr>
        <w:t xml:space="preserve"> at </w:t>
      </w:r>
      <m:oMath>
        <m:r>
          <m:t>L=28</m:t>
        </m:r>
      </m:oMath>
      <w:r>
        <w:rPr>
          <w:i w:val="0"/>
        </w:rPr>
        <w:t xml:space="preserve">, that one-site network gives a latent prediction perfectly correlated with </w:t>
      </w:r>
      <m:oMath>
        <m:d>
          <m:dPr>
            <m:begChr m:val="|"/>
            <m:sepChr m:val=""/>
            <m:endChr m:val="|"/>
          </m:dPr>
          <m:e>
            <m:r>
              <m:t>m</m:t>
            </m:r>
          </m:e>
        </m:d>
      </m:oMath>
      <w:r>
        <w:rPr>
          <w:i w:val="0"/>
        </w:rPr>
        <w:t xml:space="preserve">, which the derivation demands, and reported uncorrelated with the average nearest-neighbour product, which the derivation does not. Pooled across the two training windows both observables are strong functions of temperature and therefore of each other, and no function of the first can be uncorrelated with the second. Read at fixed temperature the statement is expected rather than merely possible. For any observable </w:t>
      </w:r>
      <m:oMath>
        <m:r>
          <m:t>A</m:t>
        </m:r>
      </m:oMath>
      <w:r>
        <w:rPr>
          <w:i w:val="0"/>
        </w:rPr>
        <w:t xml:space="preserve"> the equal-temperature covariance with the energy is</w:t>
      </w:r>
    </w:p>
    <w:p>
      <w:pPr>
        <w:spacing w:before="200" w:after="200"/>
        <w:ind w:firstLine="0"/>
        <w:jc w:val="center"/>
        <w:contextualSpacing w:val="0"/>
      </w:pPr>
      <m:oMath>
        <m:r>
          <m:t>⟨δA</m:t>
        </m:r>
        <m:r>
          <m:t>δE⟩=−</m:t>
        </m:r>
        <m:f>
          <m:fPr>
            <m:type m:val="bar"/>
          </m:fPr>
          <m:num>
            <m:r>
              <m:t>∂⟨A⟩</m:t>
            </m:r>
          </m:num>
          <m:den>
            <m:r>
              <m:t>∂β</m:t>
            </m:r>
          </m:den>
        </m:f>
        <m:r>
          <m:t>=</m:t>
        </m:r>
        <m:sSub>
          <m:e>
            <m:r>
              <m:t>k</m:t>
            </m:r>
          </m:e>
          <m:sub>
            <m:r>
              <m:t>B</m:t>
            </m:r>
          </m:sub>
        </m:sSub>
        <m:sSup>
          <m:e>
            <m:r>
              <m:t>T</m:t>
            </m:r>
          </m:e>
          <m:sup>
            <m:r>
              <m:t>2</m:t>
            </m:r>
          </m:sup>
        </m:sSup>
        <m:f>
          <m:fPr>
            <m:type m:val="bar"/>
          </m:fPr>
          <m:num>
            <m:r>
              <m:t>∂⟨A⟩</m:t>
            </m:r>
          </m:num>
          <m:den>
            <m:r>
              <m:t>∂T</m:t>
            </m:r>
          </m:den>
        </m:f>
        <m:r>
          <m:t>,</m:t>
        </m:r>
      </m:oMath>
    </w:p>
    <w:p>
      <w:r>
        <w:rPr>
          <w:i w:val="0"/>
        </w:rPr>
        <w:t xml:space="preserve">so the two fluctuations decouple wherever the mean of </w:t>
      </w:r>
      <m:oMath>
        <m:r>
          <m:t>A</m:t>
        </m:r>
      </m:oMath>
      <w:r>
        <w:rPr>
          <w:i w:val="0"/>
        </w:rPr>
        <w:t xml:space="preserve"> is flat in temperature. Deep in the ordered window </w:t>
      </w:r>
      <m:oMath>
        <m:d>
          <m:dPr>
            <m:begChr m:val="|"/>
            <m:sepChr m:val=""/>
            <m:endChr m:val="|"/>
          </m:dPr>
          <m:e>
            <m:r>
              <m:t>m</m:t>
            </m:r>
          </m:e>
        </m:d>
      </m:oMath>
      <w:r>
        <w:rPr>
          <w:i w:val="0"/>
        </w:rPr>
        <w:t xml:space="preserve"> is nearly saturated and deep in the disordered window it is small and slowly varying, so within either window the observables fluctuate almost independently while across the pair they move together. The reported correlation structure is a within-window statement, and the derivation supplies only its first half.</w:t>
      </w:r>
    </w:p>
    <w:p>
      <w:r>
        <w:rPr>
          <w:i w:val="0"/>
        </w:rPr>
        <w:t xml:space="preserve">Widen the field to two adjacent sites and the correlations invert: the prediction tracks the average nearest-neighbour product, which multiplied by </w:t>
      </w:r>
      <m:oMath>
        <m:r>
          <m:t>−2J</m:t>
        </m:r>
      </m:oMath>
      <w:r>
        <w:rPr>
          <w:i w:val="0"/>
        </w:rPr>
        <w:t xml:space="preserve"> is the energy per site, the square lattice carrying two bonds for every site. The loss falls sharply and the crossing tightens from </w:t>
      </w:r>
      <m:oMath>
        <m:r>
          <m:t>T=2.5±0.5</m:t>
        </m:r>
      </m:oMath>
      <w:r>
        <w:rPr>
          <w:i w:val="0"/>
        </w:rPr>
        <w:t xml:space="preserve"> to </w:t>
      </w:r>
      <m:oMath>
        <m:r>
          <m:t>T=2.25±0.25</m:t>
        </m:r>
      </m:oMath>
      <w:r>
        <w:rPr>
          <w:i w:val="0"/>
        </w:rPr>
        <w:t xml:space="preserve">. Widening to the full </w:t>
      </w:r>
      <m:oMath>
        <m:r>
          <m:t>28×28</m:t>
        </m:r>
      </m:oMath>
      <w:r>
        <w:rPr>
          <w:i w:val="0"/>
        </w:rPr>
        <w:t xml:space="preserve"> field drops the loss no further, so whatever an unrestricted convolutional network does, it does with the magnetization and the nearest-neighbour energy and nothing else. That the loss falls at all settles what the accuracy figure could not. The two statistics are not interchangeable to the objective, the energy is the better one, and the margin is visible only because the receptive field was the single thing varied.</w:t>
      </w:r>
    </w:p>
    <w:p>
      <w:r>
        <w:rPr>
          <w:i w:val="0"/>
        </w:rPr>
        <w:t xml:space="preserve">Which of the two a given network settles on is fixed first by what its layers can express and only then by the objective's preference. Kouji Kashiwa, Yuta Kikuchi and Akio Tomiya trained networks on Ising configurations labelled by discretized temperature at twenty couplings from </w:t>
      </w:r>
      <m:oMath>
        <m:r>
          <m:t>K=0.05</m:t>
        </m:r>
      </m:oMath>
      <w:r>
        <w:rPr>
          <w:i w:val="0"/>
        </w:rPr>
        <w:t xml:space="preserve"> to </w:t>
      </w:r>
      <m:oMath>
        <m:r>
          <m:t>K=1.0</m:t>
        </m:r>
      </m:oMath>
      <w:r>
        <w:rPr>
          <w:i w:val="0"/>
        </w:rPr>
        <w:t xml:space="preserve"> at </w:t>
      </w:r>
      <m:oMath>
        <m:r>
          <m:t>L=16</m:t>
        </m:r>
      </m:oMath>
      <w:r>
        <w:rPr>
          <w:i w:val="0"/>
        </w:rPr>
        <w:t xml:space="preserve">, never naming a phase, and dissected the weights. The first-layer outputs of a fully connected network correlate with the magnetization per site, and the second-layer weights change structure at the exact critical coupling </w:t>
      </w:r>
      <m:oMath>
        <m:sSub>
          <m:e>
            <m:r>
              <m:t>K</m:t>
            </m:r>
          </m:e>
          <m:sub>
            <m:r>
              <m:t>c</m:t>
            </m:r>
          </m:sub>
        </m:sSub>
        <m:r>
          <m:t>=0.4407</m:t>
        </m:r>
      </m:oMath>
      <w:r>
        <w:rPr>
          <w:i w:val="0"/>
        </w:rPr>
        <w:t xml:space="preserve">; on identical data a convolutional network's first-layer outputs are proportional to the internal energy instead. The explanation Kashiwa, Kikuchi and Tomiya give is about margins: away from </w:t>
      </w:r>
      <m:oMath>
        <m:sSub>
          <m:e>
            <m:r>
              <m:t>T</m:t>
            </m:r>
          </m:e>
          <m:sub>
            <m:r>
              <m:t>c</m:t>
            </m:r>
          </m:sub>
        </m:sSub>
      </m:oMath>
      <w:r>
        <w:rPr>
          <w:i w:val="0"/>
        </w:rPr>
        <w:t xml:space="preserve"> the internal energy varies far more strongly with temperature than </w:t>
      </w:r>
      <m:oMath>
        <m:d>
          <m:dPr>
            <m:begChr m:val="|"/>
            <m:sepChr m:val=""/>
            <m:endChr m:val="|"/>
          </m:dPr>
          <m:e>
            <m:r>
              <m:t>m</m:t>
            </m:r>
          </m:e>
        </m:d>
      </m:oMath>
      <w:r>
        <w:rPr>
          <w:i w:val="0"/>
        </w:rPr>
        <w:t>, so a network optimizing a temperature prediction prefers it, which is also why the convolutional network attains roughly twice the temperature-prediction accuracy. That argument ranks the two candidates, and ranks them the same way for both networks, so by itself it cannot explain why the networks differ.</w:t>
      </w:r>
    </w:p>
    <w:p>
      <w:r>
        <w:rPr>
          <w:i w:val="0"/>
        </w:rPr>
        <w:t xml:space="preserve">What differs is the menu. The first layer of the fully connected network computes </w:t>
      </w:r>
      <m:oMath>
        <m:sSub>
          <m:e>
            <m:r>
              <m:t>x</m:t>
            </m:r>
          </m:e>
          <m:sub>
            <m:r>
              <m:t>a</m:t>
            </m:r>
          </m:sub>
        </m:sSub>
        <m:r>
          <m:t>=</m:t>
        </m:r>
        <m:nary>
          <m:naryPr>
            <m:chr m:val="∑"/>
            <m:limLoc m:val="subSup"/>
            <m:grow m:val="1"/>
            <m:subHide m:val="off"/>
            <m:supHide m:val="on"/>
          </m:naryPr>
          <m:sub>
            <m:r>
              <m:t>i</m:t>
            </m:r>
          </m:sub>
          <m:sup/>
          <m:e>
            <m:sSub>
              <m:e>
                <m:r>
                  <m:t>w</m:t>
                </m:r>
              </m:e>
              <m:sub>
                <m:r>
                  <m:t>ai</m:t>
                </m:r>
              </m:sub>
            </m:sSub>
          </m:e>
        </m:nary>
        <m:sSub>
          <m:e>
            <m:r>
              <m:t>σ</m:t>
            </m:r>
          </m:e>
          <m:sub>
            <m:r>
              <m:t>i</m:t>
            </m:r>
          </m:sub>
        </m:sSub>
        <m:r>
          <m:t>+</m:t>
        </m:r>
        <m:sSub>
          <m:e>
            <m:r>
              <m:t>b</m:t>
            </m:r>
          </m:e>
          <m:sub>
            <m:r>
              <m:t>a</m:t>
            </m:r>
          </m:sub>
        </m:sSub>
      </m:oMath>
      <w:r>
        <w:rPr>
          <w:i w:val="0"/>
        </w:rPr>
        <w:t xml:space="preserve">, a linear functional of the spins, and the hidden layer in that dissection was narrowed to three units, so every later layer is a function of three linear functionals and of nothing else. The internal energy is a sum of products </w:t>
      </w:r>
      <m:oMath>
        <m:sSub>
          <m:e>
            <m:r>
              <m:t>σ</m:t>
            </m:r>
          </m:e>
          <m:sub>
            <m:r>
              <m:t>i</m:t>
            </m:r>
          </m:sub>
        </m:sSub>
        <m:sSub>
          <m:e>
            <m:r>
              <m:t>σ</m:t>
            </m:r>
          </m:e>
          <m:sub>
            <m:r>
              <m:t>j</m:t>
            </m:r>
          </m:sub>
        </m:sSub>
      </m:oMath>
      <w:r>
        <w:rPr>
          <w:i w:val="0"/>
        </w:rPr>
        <w:t xml:space="preserve"> over bonds, quadratic in the spins, and no linear functional of a configuration is proportional to it; the only linear functional carrying what the temperature label needs is the uniform sum, which is the magnetization. A convolutional filter spanning two adjacent sites, followed by a pointwise nonlinearity, does contain the products, by exactly the counting that made the one-site probing network a function of the mean spin. The physics decides which statistic is the better thermometer, the architecture decides whether that statistic is on the menu at all, and the factor of two in accuracy is evidence for both halves at once.</w:t>
      </w:r>
    </w:p>
    <w:p>
      <w:r>
        <w:rPr>
          <w:i w:val="0"/>
        </w:rPr>
        <w:t xml:space="preserve">The sampling algorithm moves the ceiling rather than the menu. The low-temperature training data of Carrasquilla and Melko came from the Wolff cluster algorithm, and Philippe Suchsland and Stefan Wessel noted that Wolff updates produce strongly polarized configurations containing no extended domain walls. Include a significant fraction of domain-wall configurations, as local spin updates naturally do, and the hidden-layer activations show no clear overall relation to the magnetization except at large </w:t>
      </w:r>
      <m:oMath>
        <m:d>
          <m:dPr>
            <m:begChr m:val="|"/>
            <m:sepChr m:val=""/>
            <m:endChr m:val="|"/>
          </m:dPr>
          <m:e>
            <m:r>
              <m:t>m</m:t>
            </m:r>
          </m:e>
        </m:d>
      </m:oMath>
      <w:r>
        <w:rPr>
          <w:i w:val="0"/>
        </w:rPr>
        <w:t xml:space="preserve">, exhibiting instead traces of a linear relation to the configurational energy, the classification then resting on a combined representation of the two. The update rule is part of </w:t>
      </w:r>
      <m:oMath>
        <m:sSub>
          <m:e>
            <m:r>
              <m:t>p</m:t>
            </m:r>
          </m:e>
          <m:sub>
            <m:r>
              <m:t>0</m:t>
            </m:r>
          </m:sub>
        </m:sSub>
      </m:oMath>
      <w:r>
        <w:rPr>
          <w:i w:val="0"/>
        </w:rPr>
        <w:t>, so changing it moves the floor and the statistic that reaches it together. Two training sets a physicist would describe in the same words produce networks that have learned different functions.</w:t>
      </w:r>
    </w:p>
    <w:p>
      <w:pPr>
        <w:pStyle w:val="BookSection"/>
      </w:pPr>
      <w:r>
        <w:t>The reach of the function class</w:t>
      </w:r>
    </w:p>
    <w:p>
      <w:r>
        <w:rPr>
          <w:i w:val="0"/>
        </w:rPr>
        <w:t>The second term is the function class, and principal component analysis makes it sharp because its class is exactly the linear functionals of the input. Wenjian Hu, Rajiv R. P. Singh and Richard T. Scalettar applied principal component analysis and autoencoders to five models, including the square-lattice Ising ferromagnet, a biquadratic-exchange spin-one Ising model and the two-dimensional XY model. Much of it works: transition temperatures come out with reasonable accuracy, first-order transitions are distinguishable from second-order ones and from crossovers, and the components map onto Fourier modes and order parameters whose size dependence yields critical exponents. Two cases fail, one with an exact explanation and one with half of one, and the asymmetry is the more useful lesson.</w:t>
      </w:r>
    </w:p>
    <w:p>
      <w:r>
        <w:rPr>
          <w:i w:val="0"/>
        </w:rPr>
        <w:t xml:space="preserve">Spin-one variables </w:t>
      </w:r>
      <m:oMath>
        <m:sSub>
          <m:e>
            <m:r>
              <m:t>S</m:t>
            </m:r>
          </m:e>
          <m:sub>
            <m:r>
              <m:t>i</m:t>
            </m:r>
          </m:sub>
        </m:sSub>
        <m:r>
          <m:t>∈{−1,0,+1}</m:t>
        </m:r>
      </m:oMath>
      <w:r>
        <w:rPr>
          <w:i w:val="0"/>
        </w:rPr>
        <w:t xml:space="preserve"> interact in the biquadratic model through a coupling in </w:t>
      </w:r>
      <m:oMath>
        <m:sSubSup>
          <m:e>
            <m:r>
              <m:t>S</m:t>
            </m:r>
          </m:e>
          <m:sub>
            <m:r>
              <m:t>i</m:t>
            </m:r>
          </m:sub>
          <m:sup>
            <m:r>
              <m:t>2</m:t>
            </m:r>
          </m:sup>
        </m:sSubSup>
        <m:sSubSup>
          <m:e>
            <m:r>
              <m:t>S</m:t>
            </m:r>
          </m:e>
          <m:sub>
            <m:r>
              <m:t>j</m:t>
            </m:r>
          </m:sub>
          <m:sup>
            <m:r>
              <m:t>2</m:t>
            </m:r>
          </m:sup>
        </m:sSubSup>
      </m:oMath>
      <w:r>
        <w:rPr>
          <w:i w:val="0"/>
        </w:rPr>
        <w:t xml:space="preserve">, so the energy depends on the occupations </w:t>
      </w:r>
      <m:oMath>
        <m:sSub>
          <m:e>
            <m:r>
              <m:t>n</m:t>
            </m:r>
          </m:e>
          <m:sub>
            <m:r>
              <m:t>i</m:t>
            </m:r>
          </m:sub>
        </m:sSub>
        <m:r>
          <m:t>=</m:t>
        </m:r>
        <m:sSubSup>
          <m:e>
            <m:r>
              <m:t>S</m:t>
            </m:r>
          </m:e>
          <m:sub>
            <m:r>
              <m:t>i</m:t>
            </m:r>
          </m:sub>
          <m:sup>
            <m:r>
              <m:t>2</m:t>
            </m:r>
          </m:sup>
        </m:sSubSup>
        <m:r>
          <m:t>∈{0,1}</m:t>
        </m:r>
      </m:oMath>
      <w:r>
        <w:rPr>
          <w:i w:val="0"/>
        </w:rPr>
        <w:t xml:space="preserve"> and not at all on the signs. Write </w:t>
      </w:r>
      <m:oMath>
        <m:sSub>
          <m:e>
            <m:r>
              <m:t>S</m:t>
            </m:r>
          </m:e>
          <m:sub>
            <m:r>
              <m:t>i</m:t>
            </m:r>
          </m:sub>
        </m:sSub>
        <m:r>
          <m:t>=</m:t>
        </m:r>
        <m:sSub>
          <m:e>
            <m:r>
              <m:t>ϵ</m:t>
            </m:r>
          </m:e>
          <m:sub>
            <m:r>
              <m:t>i</m:t>
            </m:r>
          </m:sub>
        </m:sSub>
        <m:sSub>
          <m:e>
            <m:r>
              <m:t>n</m:t>
            </m:r>
          </m:e>
          <m:sub>
            <m:r>
              <m:t>i</m:t>
            </m:r>
          </m:sub>
        </m:sSub>
      </m:oMath>
      <w:r>
        <w:rPr>
          <w:i w:val="0"/>
        </w:rPr>
        <w:t xml:space="preserve"> with </w:t>
      </w:r>
      <m:oMath>
        <m:sSub>
          <m:e>
            <m:r>
              <m:t>ϵ</m:t>
            </m:r>
          </m:e>
          <m:sub>
            <m:r>
              <m:t>i</m:t>
            </m:r>
          </m:sub>
        </m:sSub>
        <m:r>
          <m:t>=±1</m:t>
        </m:r>
      </m:oMath>
      <w:r>
        <w:rPr>
          <w:i w:val="0"/>
        </w:rPr>
        <w:t>. The Gibbs measure factorizes, the occupations carrying all of the Boltzmann weight and the signs on occupied sites being free and independently unbiased, so averaging the signs at fixed occupations gives</w:t>
      </w:r>
    </w:p>
    <w:p>
      <w:pPr>
        <w:spacing w:before="200" w:after="200"/>
        <w:ind w:firstLine="0"/>
        <w:jc w:val="center"/>
        <w:contextualSpacing w:val="0"/>
      </w:pPr>
      <m:oMath>
        <m:r>
          <m:t>⟨</m:t>
        </m:r>
        <m:sSub>
          <m:e>
            <m:r>
              <m:t>S</m:t>
            </m:r>
          </m:e>
          <m:sub>
            <m:r>
              <m:t>i</m:t>
            </m:r>
          </m:sub>
        </m:sSub>
        <m:r>
          <m:t>⟩=0,</m:t>
        </m:r>
        <m:r>
          <m:t>⟨</m:t>
        </m:r>
        <m:sSub>
          <m:e>
            <m:r>
              <m:t>S</m:t>
            </m:r>
          </m:e>
          <m:sub>
            <m:r>
              <m:t>i</m:t>
            </m:r>
          </m:sub>
        </m:sSub>
        <m:sSub>
          <m:e>
            <m:r>
              <m:t>S</m:t>
            </m:r>
          </m:e>
          <m:sub>
            <m:r>
              <m:t>j</m:t>
            </m:r>
          </m:sub>
        </m:sSub>
        <m:r>
          <m:t>⟩=\langle</m:t>
        </m:r>
        <m:sSub>
          <m:e>
            <m:r>
              <m:t>n</m:t>
            </m:r>
          </m:e>
          <m:sub>
            <m:r>
              <m:t>i</m:t>
            </m:r>
          </m:sub>
        </m:sSub>
        <m:sSub>
          <m:e>
            <m:r>
              <m:t>n</m:t>
            </m:r>
          </m:e>
          <m:sub>
            <m:r>
              <m:t>j</m:t>
            </m:r>
          </m:sub>
        </m:sSub>
        <m:r>
          <m:t>⟨</m:t>
        </m:r>
        <m:sSub>
          <m:e>
            <m:r>
              <m:t>ϵ</m:t>
            </m:r>
          </m:e>
          <m:sub>
            <m:r>
              <m:t>i</m:t>
            </m:r>
          </m:sub>
        </m:sSub>
        <m:sSub>
          <m:e>
            <m:r>
              <m:t>ϵ</m:t>
            </m:r>
          </m:e>
          <m:sub>
            <m:r>
              <m:t>j</m:t>
            </m:r>
          </m:sub>
        </m:sSub>
        <m:sSub>
          <m:e>
            <m:r>
              <m:t>⟩</m:t>
            </m:r>
          </m:e>
          <m:sub>
            <m:r>
              <m:t>ϵ∣n</m:t>
            </m:r>
          </m:sub>
        </m:sSub>
        <m:r>
          <m:t>\rangle=</m:t>
        </m:r>
        <m:sSub>
          <m:e>
            <m:r>
              <m:t>δ</m:t>
            </m:r>
          </m:e>
          <m:sub>
            <m:r>
              <m:t>ij</m:t>
            </m:r>
          </m:sub>
        </m:sSub>
        <m:r>
          <m:t>⟨</m:t>
        </m:r>
        <m:sSub>
          <m:e>
            <m:r>
              <m:t>n</m:t>
            </m:r>
          </m:e>
          <m:sub>
            <m:r>
              <m:t>i</m:t>
            </m:r>
          </m:sub>
        </m:sSub>
        <m:r>
          <m:t>⟩.</m:t>
        </m:r>
      </m:oMath>
    </w:p>
    <w:p>
      <w:r>
        <w:rPr>
          <w:i w:val="0"/>
        </w:rPr>
        <w:t xml:space="preserve">The covariance matrix of the raw variables is exactly diagonal, and translational invariance makes it a multiple of the identity: at any temperature all of its eigenvalues are equal, however sharp the arrangement of the charges </w:t>
      </w:r>
      <m:oMath>
        <m:sSub>
          <m:e>
            <m:r>
              <m:t>n</m:t>
            </m:r>
          </m:e>
          <m:sub>
            <m:r>
              <m:t>i</m:t>
            </m:r>
          </m:sub>
        </m:sSub>
      </m:oMath>
      <w:r>
        <w:rPr>
          <w:i w:val="0"/>
        </w:rPr>
        <w:t xml:space="preserve"> has become. Hu, Singh and Scalettar report exactly this, no dominant principal component and a projection mixing all temperatures together. The same sign freedom gives the model a macroscopically degenerate ground state and, as the same authors establish, no phase transition at all, so the blindness is not a missed transition. It is that charge correlations present in every configuration, and strengthening as temperature falls, leave no trace in a spectrum made degenerate by the identity above rather than by any property of the state. Feeding </w:t>
      </w:r>
      <m:oMath>
        <m:d>
          <m:dPr>
            <m:begChr m:val="{"/>
            <m:sepChr m:val=""/>
            <m:endChr m:val="}"/>
          </m:dPr>
          <m:e>
            <m:sSubSup>
              <m:e>
                <m:r>
                  <m:t>S</m:t>
                </m:r>
              </m:e>
              <m:sub>
                <m:r>
                  <m:t>i</m:t>
                </m:r>
              </m:sub>
              <m:sup>
                <m:r>
                  <m:t>2</m:t>
                </m:r>
              </m:sup>
            </m:sSubSup>
          </m:e>
        </m:d>
      </m:oMath>
      <w:r>
        <w:rPr>
          <w:i w:val="0"/>
        </w:rPr>
        <w:t xml:space="preserve"> restores a dominant component, and the derivation says how far. Translational invariance makes the occupation covariance diagonal in Fourier modes, so the components are plane waves and the eigenvalues are the charge structure factor; which wavevector leads is a statement about the sign structure of the charge correlations and not about symmetry. Staggered correlations put the leading mode at the corner of the Brillouin zone and uniform ones at its centre, and nothing in the argument excludes the uniform mode in advance, the total charge being unconserved and its fluctuations not small by fiat.</w:t>
      </w:r>
    </w:p>
    <w:p>
      <w:r>
        <w:rPr>
          <w:i w:val="0"/>
        </w:rPr>
        <w:t xml:space="preserve">The XY failure has a different structure and a weaker resolution. Assign to each plaquette the winding number </w:t>
      </w:r>
      <m:oMath>
        <m:sSub>
          <m:e>
            <m:r>
              <m:t>v</m:t>
            </m:r>
          </m:e>
          <m:sub>
            <m:r>
              <m:t>p</m:t>
            </m:r>
          </m:sub>
        </m:sSub>
        <m:r>
          <m:t>∈{−1,0,+1}</m:t>
        </m:r>
      </m:oMath>
      <w:r>
        <w:rPr>
          <w:i w:val="0"/>
        </w:rPr>
        <w:t xml:space="preserve"> defined by </w:t>
      </w:r>
      <m:oMath>
        <m:r>
          <m:t>2π</m:t>
        </m:r>
        <m:sSub>
          <m:e>
            <m:r>
              <m:t>v</m:t>
            </m:r>
          </m:e>
          <m:sub>
            <m:r>
              <m:t>p</m:t>
            </m:r>
          </m:sub>
        </m:sSub>
        <m:r>
          <m:t>=</m:t>
        </m:r>
        <m:nary>
          <m:naryPr>
            <m:chr m:val="∑"/>
            <m:limLoc m:val="subSup"/>
            <m:grow m:val="1"/>
            <m:subHide m:val="off"/>
            <m:supHide m:val="on"/>
          </m:naryPr>
          <m:sub>
            <m:r>
              <m:t>⟨ij⟩∈p</m:t>
            </m:r>
          </m:sub>
          <m:sup/>
          <m:e>
            <m:r>
              <m:t>Δ</m:t>
            </m:r>
          </m:e>
        </m:nary>
        <m:sSub>
          <m:e>
            <m:r>
              <m:t>θ</m:t>
            </m:r>
          </m:e>
          <m:sub>
            <m:r>
              <m:t>ij</m:t>
            </m:r>
          </m:sub>
        </m:sSub>
      </m:oMath>
      <w:r>
        <w:rPr>
          <w:i w:val="0"/>
        </w:rPr>
        <w:t xml:space="preserve">, each bond phase difference reduced to </w:t>
      </w:r>
      <m:oMath>
        <m:r>
          <m:t>(−π,π]</m:t>
        </m:r>
      </m:oMath>
      <w:r>
        <w:rPr>
          <w:i w:val="0"/>
        </w:rPr>
        <w:t xml:space="preserve">. On a torus every bond lies in two plaquettes and is traversed in opposite senses, so the contributions cancel in pairs and </w:t>
      </w:r>
      <m:oMath>
        <m:nary>
          <m:naryPr>
            <m:chr m:val="∑"/>
            <m:limLoc m:val="subSup"/>
            <m:grow m:val="1"/>
            <m:subHide m:val="off"/>
            <m:supHide m:val="on"/>
          </m:naryPr>
          <m:sub>
            <m:r>
              <m:t>p</m:t>
            </m:r>
          </m:sub>
          <m:sup/>
          <m:e>
            <m:sSub>
              <m:e>
                <m:r>
                  <m:t>v</m:t>
                </m:r>
              </m:e>
              <m:sub>
                <m:r>
                  <m:t>p</m:t>
                </m:r>
              </m:sub>
            </m:sSub>
          </m:e>
        </m:nary>
        <m:r>
          <m:t>=0</m:t>
        </m:r>
      </m:oMath>
      <w:r>
        <w:rPr>
          <w:i w:val="0"/>
        </w:rPr>
        <w:t xml:space="preserve"> identically, configuration by configuration. The uniform weight vector, the direction that carried the magnetization in the Ising case, therefore has exactly zero variance, killed by an identity rather than by thermodynamics. That is the whole of what the identity gives. It says nothing about the rest of the spectrum, whereas the reported failure is that no other direction in the signed vorticity carries dominant variance either, which Hu, Singh and Scalettar establish empirically and which nothing above derives. Replacing </w:t>
      </w:r>
      <m:oMath>
        <m:sSub>
          <m:e>
            <m:r>
              <m:t>v</m:t>
            </m:r>
          </m:e>
          <m:sub>
            <m:r>
              <m:t>p</m:t>
            </m:r>
          </m:sub>
        </m:sSub>
      </m:oMath>
      <w:r>
        <w:rPr>
          <w:i w:val="0"/>
        </w:rPr>
        <w:t xml:space="preserve"> by </w:t>
      </w:r>
      <m:oMath>
        <m:d>
          <m:dPr>
            <m:begChr m:val="|"/>
            <m:sepChr m:val=""/>
            <m:endChr m:val="|"/>
          </m:dPr>
          <m:e>
            <m:sSub>
              <m:e>
                <m:r>
                  <m:t>v</m:t>
                </m:r>
              </m:e>
              <m:sub>
                <m:r>
                  <m:t>p</m:t>
                </m:r>
              </m:sub>
            </m:sSub>
          </m:e>
        </m:d>
      </m:oMath>
      <w:r>
        <w:rPr>
          <w:i w:val="0"/>
        </w:rPr>
        <w:t xml:space="preserve"> removes the sum rule and a dominant component reappears, though the recovered signal, the same authors write, appears more like a crossover than a true phase transition, and seeing the Berezinskii-Kosterlitz-Thouless unbinding transition may, in the same authors' judgement, be difficult in principal component analysis or any machine-learning technique.</w:t>
      </w:r>
    </w:p>
    <w:p>
      <w:r>
        <w:rPr>
          <w:i w:val="0"/>
        </w:rPr>
        <w:t xml:space="preserve">Note what the two repairs have in common. Here </w:t>
      </w:r>
      <m:oMath>
        <m:sSubSup>
          <m:e>
            <m:r>
              <m:t>S</m:t>
            </m:r>
          </m:e>
          <m:sub>
            <m:r>
              <m:t>i</m:t>
            </m:r>
          </m:sub>
          <m:sup>
            <m:r>
              <m:t>2</m:t>
            </m:r>
          </m:sup>
        </m:sSubSup>
      </m:oMath>
      <w:r>
        <w:rPr>
          <w:i w:val="0"/>
        </w:rPr>
        <w:t xml:space="preserve"> is a pointwise function of </w:t>
      </w:r>
      <m:oMath>
        <m:sSub>
          <m:e>
            <m:r>
              <m:t>S</m:t>
            </m:r>
          </m:e>
          <m:sub>
            <m:r>
              <m:t>i</m:t>
            </m:r>
          </m:sub>
        </m:sSub>
      </m:oMath>
      <w:r>
        <w:rPr>
          <w:i w:val="0"/>
        </w:rPr>
        <w:t xml:space="preserve"> and there </w:t>
      </w:r>
      <m:oMath>
        <m:d>
          <m:dPr>
            <m:begChr m:val="|"/>
            <m:sepChr m:val=""/>
            <m:endChr m:val="|"/>
          </m:dPr>
          <m:e>
            <m:sSub>
              <m:e>
                <m:r>
                  <m:t>v</m:t>
                </m:r>
              </m:e>
              <m:sub>
                <m:r>
                  <m:t>p</m:t>
                </m:r>
              </m:sub>
            </m:sSub>
          </m:e>
        </m:d>
      </m:oMath>
      <w:r>
        <w:rPr>
          <w:i w:val="0"/>
        </w:rPr>
        <w:t xml:space="preserve"> is a pointwise function of </w:t>
      </w:r>
      <m:oMath>
        <m:sSub>
          <m:e>
            <m:r>
              <m:t>v</m:t>
            </m:r>
          </m:e>
          <m:sub>
            <m:r>
              <m:t>p</m:t>
            </m:r>
          </m:sub>
        </m:sSub>
      </m:oMath>
      <w:r>
        <w:rPr>
          <w:i w:val="0"/>
        </w:rPr>
        <w:t>, so the raw input to each failing run already determined the repaired input. Neither adds information; each moves one function of the data inside the reach of a class fixed before the data arrived, and since a linear method can form neither a square nor an absolute value, a person formed it by hand and the method was then declared successful. The step that genuinely enlarges the reach lies one layer earlier. A winding number is a nonlinear functional of the angles around a closed path, with a branch choice made separately for each bond difference, and no linear operation on the angles returns it. Nothing in a spectrum of principal components announces which kind of step was taken on the way in.</w:t>
      </w:r>
    </w:p>
    <w:p>
      <w:r>
        <w:rPr>
          <w:i w:val="0"/>
        </w:rPr>
        <w:t xml:space="preserve">The honest version of the same manoeuvre states the step in the open and in advance. Yi Zhang and Eun-Ah Kim built quantum loop topography as an explicit preprocessing stage: for each site a set of two-point operators whose supports close into loops is evaluated, each factor at an independent Monte Carlo step, and the results stacked into a multi-dimensional image with one loop per channel. Which loops enter is decided by the response function that defines the phase, here the Hall conductivity, whose Kubo formula is a sum over closed paths. The classifier reading that image is a fully connected network with one hidden layer, and it separates Chern insulators and fractional Chern insulators from trivial ones, giving what Zhang and Kim describe as the first machine-learned phase diagram containing a topological quantum phase transition. Yi Zhang, Roger G. Melko and Eun-Ah Kim extended the construction to quasiparticle statistics, with loop observables sensitive to the mutual statistics of spinons and visons, locating the boundary of a </w:t>
      </w:r>
      <m:oMath>
        <m:sSub>
          <m:e>
            <m:r>
              <m:t>Z</m:t>
            </m:r>
          </m:e>
          <m:sub>
            <m:r>
              <m:t>2</m:t>
            </m:r>
          </m:sub>
        </m:sSub>
      </m:oMath>
      <w:r>
        <w:rPr>
          <w:i w:val="0"/>
        </w:rPr>
        <w:t xml:space="preserve"> quantum spin liquid with no Wilson loop and no topological entanglement entropy anywhere. The topological content was computed before the network was consulted and the network supplied a threshold, which is the first of the two routes and not a defect: the choice of loops is exposed and can be argued about, and what the classifier performs is a likelihood-ratio test between hypotheses that physicists wrote down.</w:t>
      </w:r>
    </w:p>
    <w:p>
      <w:pPr>
        <w:pStyle w:val="BookSection"/>
      </w:pPr>
      <w:r>
        <w:t>What it costs to establish mechanism afterwards</w:t>
      </w:r>
    </w:p>
    <w:p>
      <w:r>
        <w:rPr>
          <w:i w:val="0"/>
        </w:rPr>
        <w:t>When nothing is declared in advance the mechanism has to be recovered later, at a cost no accuracy figure shows. The first bill came due in an appendix of the Carrasquilla and Melko paper itself. A convolutional network fed raw bond spins separates the ground-state manifold of the two-dimensional Ising gauge theory from infinite-temperature configurations perfectly, where the fully connected network of the same paper cannot beat chance. Nothing was engineered in that pipeline and nothing about the result invites a question. Carrasquilla and Melko asked one anyway, from two sides. Flipping one spin every few plaquettes preserves the topological order while violating the local constraints, and accuracy collapses to chance; cutting ground states into pieces and restitching pieces drawn from different states destroys the topological degeneracy while preserving the local constraints almost everywhere, and the network still calls the results ground states with high confidence. The two ablations bracket the decision function and force the conclusion, stated in that paper's own supplement, that local constraints are the only features the network relies on. It was not detecting topological order at all.</w:t>
      </w:r>
    </w:p>
    <w:p>
      <w:r>
        <w:rPr>
          <w:i w:val="0"/>
        </w:rPr>
        <w:t>Here, unlike the case of the magnetization and the energy, no comparison run on the original test set could have settled the question. Satisfied local constraints and topological order coincide on every configuration in the ground-state manifold and are absent together at infinite temperature, so the two hypotheses assign the same label to every sample the classifier was ever shown, and a loss comparison between them returns a tie. Separating them needs configurations on which they disagree, and no such configuration occurs in either ensemble. They had to be manufactured, by authors who by then suspected the answer, and the verdict appeared in a supplement rather than in the abstract.</w:t>
      </w:r>
    </w:p>
    <w:p>
      <w:r>
        <w:rPr>
          <w:i w:val="0"/>
        </w:rPr>
        <w:t>A year later Matthew J. S. Beach, Anna Golubeva and Roger G. Melko measured the same cost on the two-dimensional XY model, as the object of a paper rather than an appendix to one. A single-layer network fails to classify the phases; a convolutional network classifies easily, but by learning the global magnetization, a finite-size pseudo-order-parameter rather than the defects; and significant feature engineering of the raw spin states is required before features of the vortex configurations can convincingly be claimed responsible. A purpose-designed deep network learns vortices without that engineering, and is not necessarily the more accurate classifier, especially below roughly a thousand spins. Here the loss does separate the candidates and separates them the wrong way round, ranking the mechanism a physicist would call correct below one that reads a quantity with no thermodynamic limit.</w:t>
      </w:r>
    </w:p>
    <w:p>
      <w:pPr>
        <w:pStyle w:val="BookSection"/>
      </w:pPr>
      <w:r>
        <w:t>Letting the machine pick</w:t>
      </w:r>
    </w:p>
    <w:p>
      <w:r>
        <w:rPr>
          <w:i w:val="0"/>
        </w:rPr>
        <w:t>If the confound is that the sampling parameter leaks into the data, one can train against it. Patrick Huembeli, Alexandre Dauphin and Peter Wittek brought adversarial domain adaptation to phase detection: a feature extractor feeds two heads, one predicting the phase label and one predicting which region of parameter space the sample came from, and the extractor is trained to help the first while defeating the second. The surviving features predict the phase and are at the same time statistically indistinguishable between a labelled source region and an unlabelled target region. Huembeli, Dauphin and Wittek derived phase diagrams directly from ground states without ad hoc feature engineering, on the finite-temperature Ising, Bose-Hubbard and disordered Su-Schrieffer-Heeger models. The adversarial head suppresses exactly the nuisance channel identified above, a feature encoding where a sample was drawn rather than which phase it belongs to.</w:t>
      </w:r>
    </w:p>
    <w:p>
      <w:r>
        <w:rPr>
          <w:i w:val="0"/>
        </w:rPr>
        <w:t>Patrick Huembeli, Alexandre Dauphin, Peter Wittek and Christian Gogolin then pushed the same idea past supervision, in an adversarial game between two networks with conflicting objectives that the authors describe as almost entirely unsupervised, in which the machine itself chooses which features to predict from. Applied to the disorder-driven many-body-localization transition it returns a new effective order parameter, and pins the transition down from far fewer disorder realizations, cutting the numerical effort by roughly two orders of magnitude.</w:t>
      </w:r>
    </w:p>
    <w:p>
      <w:r>
        <w:rPr>
          <w:i w:val="0"/>
        </w:rPr>
        <w:t>Set that beside the studies this chapter opened with. Schindler, Regnault and Neupert and, separately, Venderley, Khemani and Kim located the same transition from entanglement spectra chosen in advance, so the resulting boundary is a statement about that diagnostic, while the adversarial arrangement searches over candidate features instead of scoring a nominated one. The saving in numerical effort is evidence that the search paid, not a per-sample gain in discriminating power, which would need the two protocols to draw comparable independent samples with comparable estimator variance.</w:t>
      </w:r>
    </w:p>
    <w:p>
      <w:r>
        <w:rPr>
          <w:i w:val="0"/>
        </w:rPr>
        <w:t>Two limitations belong with the result. A search over features is a search over functions of whatever was handed in, so the representation question is narrowed and not dissolved. And what the procedure returns is an effective order parameter realized as a network, a function one can evaluate but not read, so the transition is characterized operationally and not in the sense a physicist means when asking what separates the two sides.</w:t>
      </w:r>
    </w:p>
    <w:p>
      <w:pPr>
        <w:pStyle w:val="BookSection"/>
      </w:pPr>
      <w:r>
        <w:t>A decision function with coefficients</w:t>
      </w:r>
    </w:p>
    <w:p>
      <w:r>
        <w:rPr>
          <w:i w:val="0"/>
        </w:rPr>
        <w:t>That second limitation is not forced, because a learner can be chosen whose solution is an expression. For a support vector machine the decision function is the finite sum</w:t>
      </w:r>
    </w:p>
    <w:p>
      <w:pPr>
        <w:spacing w:before="200" w:after="200"/>
        <w:ind w:firstLine="0"/>
        <w:jc w:val="center"/>
        <w:contextualSpacing w:val="0"/>
      </w:pPr>
      <m:oMath>
        <m:r>
          <m:t>d(x)=</m:t>
        </m:r>
        <m:nary>
          <m:naryPr>
            <m:chr m:val="∑"/>
            <m:limLoc m:val="subSup"/>
            <m:grow m:val="1"/>
            <m:subHide m:val="off"/>
            <m:supHide m:val="on"/>
          </m:naryPr>
          <m:sub>
            <m:r>
              <m:t>i</m:t>
            </m:r>
          </m:sub>
          <m:sup/>
          <m:e>
            <m:sSub>
              <m:e>
                <m:r>
                  <m:t>α</m:t>
                </m:r>
              </m:e>
              <m:sub>
                <m:r>
                  <m:t>i</m:t>
                </m:r>
              </m:sub>
            </m:sSub>
          </m:e>
        </m:nary>
        <m:sSub>
          <m:e>
            <m:r>
              <m:t>y</m:t>
            </m:r>
          </m:e>
          <m:sub>
            <m:r>
              <m:t>i</m:t>
            </m:r>
          </m:sub>
        </m:sSub>
        <m:r>
          <m:t>K(</m:t>
        </m:r>
        <m:sSub>
          <m:e>
            <m:r>
              <m:t>x</m:t>
            </m:r>
          </m:e>
          <m:sub>
            <m:r>
              <m:t>i</m:t>
            </m:r>
          </m:sub>
        </m:sSub>
        <m:r>
          <m:t>,x)+b</m:t>
        </m:r>
      </m:oMath>
    </w:p>
    <w:p>
      <w:r>
        <w:rPr>
          <w:i w:val="0"/>
        </w:rPr>
        <w:t xml:space="preserve">over training samples, with weights </w:t>
      </w:r>
      <m:oMath>
        <m:sSub>
          <m:e>
            <m:r>
              <m:t>α</m:t>
            </m:r>
          </m:e>
          <m:sub>
            <m:r>
              <m:t>i</m:t>
            </m:r>
          </m:sub>
        </m:sSub>
      </m:oMath>
      <w:r>
        <w:rPr>
          <w:i w:val="0"/>
        </w:rPr>
        <w:t xml:space="preserve"> that vanish for all but the support vectors. When the kernel is a polynomial in features </w:t>
      </w:r>
      <m:oMath>
        <m:r>
          <m:t>ϕ(x)</m:t>
        </m:r>
      </m:oMath>
      <w:r>
        <w:rPr>
          <w:i w:val="0"/>
        </w:rPr>
        <w:t xml:space="preserve">, the sum expands into a polynomial in </w:t>
      </w:r>
      <m:oMath>
        <m:r>
          <m:t>ϕ</m:t>
        </m:r>
      </m:oMath>
      <w:r>
        <w:rPr>
          <w:i w:val="0"/>
        </w:rPr>
        <w:t xml:space="preserve"> whose coefficients follow from the support vectors. A kernel quadratic in the features gives</w:t>
      </w:r>
    </w:p>
    <w:p>
      <w:pPr>
        <w:spacing w:before="200" w:after="200"/>
        <w:ind w:firstLine="0"/>
        <w:jc w:val="center"/>
        <w:contextualSpacing w:val="0"/>
      </w:pPr>
      <m:oMath>
        <m:r>
          <m:t>d(x)=</m:t>
        </m:r>
        <m:nary>
          <m:naryPr>
            <m:chr m:val="∑"/>
            <m:limLoc m:val="subSup"/>
            <m:grow m:val="1"/>
            <m:subHide m:val="off"/>
            <m:supHide m:val="on"/>
          </m:naryPr>
          <m:sub>
            <m:r>
              <m:t>μν</m:t>
            </m:r>
          </m:sub>
          <m:sup/>
          <m:e>
            <m:sSub>
              <m:e>
                <m:r>
                  <m:t>C</m:t>
                </m:r>
              </m:e>
              <m:sub>
                <m:r>
                  <m:t>μν</m:t>
                </m:r>
              </m:sub>
            </m:sSub>
          </m:e>
        </m:nary>
        <m:sSub>
          <m:e>
            <m:r>
              <m:t>ϕ</m:t>
            </m:r>
          </m:e>
          <m:sub>
            <m:r>
              <m:t>μ</m:t>
            </m:r>
          </m:sub>
        </m:sSub>
        <m:r>
          <m:t>(x)</m:t>
        </m:r>
        <m:sSub>
          <m:e>
            <m:r>
              <m:t>ϕ</m:t>
            </m:r>
          </m:e>
          <m:sub>
            <m:r>
              <m:t>ν</m:t>
            </m:r>
          </m:sub>
        </m:sSub>
        <m:r>
          <m:t>(x)+b,</m:t>
        </m:r>
        <m:sSub>
          <m:e>
            <m:r>
              <m:t>C</m:t>
            </m:r>
          </m:e>
          <m:sub>
            <m:r>
              <m:t>μν</m:t>
            </m:r>
          </m:sub>
        </m:sSub>
        <m:r>
          <m:t>=</m:t>
        </m:r>
        <m:nary>
          <m:naryPr>
            <m:chr m:val="∑"/>
            <m:limLoc m:val="subSup"/>
            <m:grow m:val="1"/>
            <m:subHide m:val="off"/>
            <m:supHide m:val="on"/>
          </m:naryPr>
          <m:sub>
            <m:r>
              <m:t>i</m:t>
            </m:r>
          </m:sub>
          <m:sup/>
          <m:e>
            <m:sSub>
              <m:e>
                <m:r>
                  <m:t>α</m:t>
                </m:r>
              </m:e>
              <m:sub>
                <m:r>
                  <m:t>i</m:t>
                </m:r>
              </m:sub>
            </m:sSub>
          </m:e>
        </m:nary>
        <m:sSub>
          <m:e>
            <m:r>
              <m:t>y</m:t>
            </m:r>
          </m:e>
          <m:sub>
            <m:r>
              <m:t>i</m:t>
            </m:r>
          </m:sub>
        </m:sSub>
        <m:sSub>
          <m:e>
            <m:r>
              <m:t>ϕ</m:t>
            </m:r>
          </m:e>
          <m:sub>
            <m:r>
              <m:t>μ</m:t>
            </m:r>
          </m:sub>
        </m:sSub>
        <m:r>
          <m:t>(</m:t>
        </m:r>
        <m:sSub>
          <m:e>
            <m:r>
              <m:t>x</m:t>
            </m:r>
          </m:e>
          <m:sub>
            <m:r>
              <m:t>i</m:t>
            </m:r>
          </m:sub>
        </m:sSub>
        <m:r>
          <m:t>)</m:t>
        </m:r>
        <m:sSub>
          <m:e>
            <m:r>
              <m:t>ϕ</m:t>
            </m:r>
          </m:e>
          <m:sub>
            <m:r>
              <m:t>ν</m:t>
            </m:r>
          </m:sub>
        </m:sSub>
        <m:r>
          <m:t>(</m:t>
        </m:r>
        <m:sSub>
          <m:e>
            <m:r>
              <m:t>x</m:t>
            </m:r>
          </m:e>
          <m:sub>
            <m:r>
              <m:t>i</m:t>
            </m:r>
          </m:sub>
        </m:sSub>
        <m:r>
          <m:t>),</m:t>
        </m:r>
      </m:oMath>
    </w:p>
    <w:p>
      <w:r>
        <w:rPr>
          <w:i w:val="0"/>
        </w:rPr>
        <w:t xml:space="preserve">so the trained model is a matrix that can be printed. Pedro Ponte and Roger G. Melko showed what such a matrix contains on Ising data, where the quadratic kernel reaches about ninety-seven percent mean test accuracy at </w:t>
      </w:r>
      <m:oMath>
        <m:r>
          <m:t>L=40</m:t>
        </m:r>
      </m:oMath>
      <w:r>
        <w:rPr>
          <w:i w:val="0"/>
        </w:rPr>
        <w:t xml:space="preserve"> from a few dozen training samples and its decision function coincides with the squared magnetization per spin, and where the gauge theory refuses every kernel of degree below four and converges at degree four on the four-spin plaquette term.</w:t>
      </w:r>
    </w:p>
    <w:p>
      <w:r>
        <w:rPr>
          <w:i w:val="0"/>
        </w:rPr>
        <w:t xml:space="preserve">Jonas Greitemann, Ke Liu and Lode Pollet made that structure carry unknown physics by choosing </w:t>
      </w:r>
      <m:oMath>
        <m:r>
          <m:t>ϕ</m:t>
        </m:r>
      </m:oMath>
      <w:r>
        <w:rPr>
          <w:i w:val="0"/>
        </w:rPr>
        <w:t xml:space="preserve"> to be the orientational tensors of the local spin directions, the monomials of the spin components up to a chosen rank. The kernel built from those features is the tensorial kernel, and the coefficient matrix of the decision function is directly interpretable as an explicit multipolar order parameter. It was used to detect hidden multipolar order of nematic type, where reading the matrix matters most: such an order parameter is a specific contraction of specific tensor components, and knowing that some function separates the phases is useless without knowing which contraction.</w:t>
      </w:r>
    </w:p>
    <w:p>
      <w:r>
        <w:rPr>
          <w:i w:val="0"/>
        </w:rPr>
        <w:t>The extension is the more striking result. Jonas Greitemann, Ke Liu, Ludovic D. C. Jaubert, Han Yan, Nic Shannon and Lode Pollet applied tensorial kernel support vector machines to frustrated magnets and found that the method identifies not only hidden order parameters but also the emergent local constraints, the ground-state ice rules, that characterize classical spin liquids. A constraint is not an order parameter, and the distinction is the one the gauge-theory episode turned on. There the finding that a network relied on local constraints had to be extracted by building adversarial configurations and watching accuracy collapse. Here the constraint comes out of the fit as an expression, in the ordinary course of training, with nothing to suspect in advance.</w:t>
      </w:r>
    </w:p>
    <w:p>
      <w:r>
        <w:rPr>
          <w:i w:val="0"/>
        </w:rPr>
        <w:t>The readability is bought rather than free. A tensorial kernel needs a rank fixed before training, and that choice sets which multipoles are representable, exactly as the receptive field bounded which correlations the probing network of Wetzel and Scherzer could contain. The prior has moved from the architecture into the feature map, where it is written down and can be varied. What has not moved is the requirement that something be chosen.</w:t>
      </w:r>
    </w:p>
    <w:p>
      <w:r>
        <w:rPr>
          <w:i w:val="0"/>
        </w:rPr>
        <w:t>The standard defence of the network is capacity. A kernel machine with a fixed feature map expresses only what that map spans, while a sufficiently deep network approximates anything, so the readable learner should fail on the first genuinely complicated function it meets. Nothing surveyed here was that function, because in each case what stopped a simple learner was itself simple and nameable. On the gauge theory the two ensembles agree exactly through third order in the spins, which is why every polynomial kernel below degree four guesses and a quartic kernel finds the plaquette term. On the biquadratic model the raw covariance matrix is degenerate by an identity, and squaring one variable removes the degeneracy. On the XY model a sum rule annihilates the one direction a linear method would otherwise have found, and what stands in the way of the remaining directions is still not known. Every missing function was of low degree in some namable set of features, and the work lay in noticing which set. How many models, and how many candidate feature maps, would have to be worked through before the readable learner runs out of room is a count nobody has attempted.</w:t>
      </w:r>
    </w:p>
    <w:p>
      <w:pPr>
        <w:pStyle w:val="Heading1"/>
      </w:pPr>
      <w:r>
        <w:t>References</w:t>
      </w:r>
    </w:p>
    <w:p>
      <w:pPr>
        <w:spacing w:before="120" w:after="0"/>
        <w:ind w:firstLine="0"/>
      </w:pPr>
      <w:r>
        <w:rPr>
          <w:i w:val="0"/>
        </w:rPr>
        <w:t xml:space="preserve">Arnold, Schäfer (2022). Physical Review X 12, 031044. </w:t>
      </w:r>
      <w:hyperlink r:id="rId63">
        <w:r>
          <w:rPr>
            <w:rStyle w:val="Hyperlink"/>
          </w:rPr>
          <w:t xml:space="preserve">https://doi.org/10.1103/PhysRevX.12.031044</w:t>
        </w:r>
      </w:hyperlink>
    </w:p>
    <w:p>
      <w:pPr>
        <w:spacing w:before="120" w:after="0"/>
        <w:ind w:firstLine="0"/>
      </w:pPr>
      <w:r>
        <w:rPr>
          <w:i w:val="0"/>
        </w:rPr>
        <w:t xml:space="preserve">Beach, Golubeva, Melko (2018). Physical Review B 97, 045207. </w:t>
      </w:r>
      <w:hyperlink r:id="rId64">
        <w:r>
          <w:rPr>
            <w:rStyle w:val="Hyperlink"/>
          </w:rPr>
          <w:t xml:space="preserve">https://doi.org/10.1103/PhysRevB.97.045207</w:t>
        </w:r>
      </w:hyperlink>
    </w:p>
    <w:p>
      <w:pPr>
        <w:spacing w:before="120" w:after="0"/>
        <w:ind w:firstLine="0"/>
      </w:pPr>
      <w:r>
        <w:rPr>
          <w:i w:val="0"/>
        </w:rPr>
        <w:t xml:space="preserve">Carrasquilla, Melko (2017). Nature Physics 13, 431-434. </w:t>
      </w:r>
      <w:hyperlink r:id="rId53">
        <w:r>
          <w:rPr>
            <w:rStyle w:val="Hyperlink"/>
          </w:rPr>
          <w:t xml:space="preserve">https://doi.org/10.1038/nphys4035</w:t>
        </w:r>
      </w:hyperlink>
    </w:p>
    <w:p>
      <w:pPr>
        <w:spacing w:before="120" w:after="0"/>
        <w:ind w:firstLine="0"/>
      </w:pPr>
      <w:r>
        <w:rPr>
          <w:i w:val="0"/>
        </w:rPr>
        <w:t xml:space="preserve">Greitemann, Liu, Jaubert, Yan, Shannon, Pollet (2019). Physical Review B 100, 174408. </w:t>
      </w:r>
      <w:hyperlink r:id="rId65">
        <w:r>
          <w:rPr>
            <w:rStyle w:val="Hyperlink"/>
          </w:rPr>
          <w:t xml:space="preserve">https://doi.org/10.1103/PhysRevB.100.174408</w:t>
        </w:r>
      </w:hyperlink>
    </w:p>
    <w:p>
      <w:pPr>
        <w:spacing w:before="120" w:after="0"/>
        <w:ind w:firstLine="0"/>
      </w:pPr>
      <w:r>
        <w:rPr>
          <w:i w:val="0"/>
        </w:rPr>
        <w:t xml:space="preserve">Greitemann, Liu, Pollet (2019). Physical Review B 99, 060404(R). </w:t>
      </w:r>
      <w:hyperlink r:id="rId66">
        <w:r>
          <w:rPr>
            <w:rStyle w:val="Hyperlink"/>
          </w:rPr>
          <w:t xml:space="preserve">https://doi.org/10.1103/PhysRevB.99.060404</w:t>
        </w:r>
      </w:hyperlink>
    </w:p>
    <w:p>
      <w:pPr>
        <w:spacing w:before="120" w:after="0"/>
        <w:ind w:firstLine="0"/>
      </w:pPr>
      <w:r>
        <w:rPr>
          <w:i w:val="0"/>
        </w:rPr>
        <w:t xml:space="preserve">Hu, Singh, Scalettar (2017). Physical Review E 95, 062122. </w:t>
      </w:r>
      <w:hyperlink r:id="rId67">
        <w:r>
          <w:rPr>
            <w:rStyle w:val="Hyperlink"/>
          </w:rPr>
          <w:t xml:space="preserve">https://doi.org/10.1103/PhysRevE.95.062122</w:t>
        </w:r>
      </w:hyperlink>
    </w:p>
    <w:p>
      <w:pPr>
        <w:spacing w:before="120" w:after="0"/>
        <w:ind w:firstLine="0"/>
      </w:pPr>
      <w:r>
        <w:rPr>
          <w:i w:val="0"/>
        </w:rPr>
        <w:t xml:space="preserve">Huembeli, Dauphin, Wittek (2018). Physical Review B 97, 134109. </w:t>
      </w:r>
      <w:hyperlink r:id="rId68">
        <w:r>
          <w:rPr>
            <w:rStyle w:val="Hyperlink"/>
          </w:rPr>
          <w:t xml:space="preserve">https://doi.org/10.1103/PhysRevB.97.134109</w:t>
        </w:r>
      </w:hyperlink>
    </w:p>
    <w:p>
      <w:pPr>
        <w:spacing w:before="120" w:after="0"/>
        <w:ind w:firstLine="0"/>
      </w:pPr>
      <w:r>
        <w:rPr>
          <w:i w:val="0"/>
        </w:rPr>
        <w:t xml:space="preserve">Huembeli, Dauphin, Wittek, Gogolin (2019). Physical Review B 99, 104106. </w:t>
      </w:r>
      <w:hyperlink r:id="rId69">
        <w:r>
          <w:rPr>
            <w:rStyle w:val="Hyperlink"/>
          </w:rPr>
          <w:t xml:space="preserve">https://doi.org/10.1103/PhysRevB.99.104106</w:t>
        </w:r>
      </w:hyperlink>
    </w:p>
    <w:p>
      <w:pPr>
        <w:spacing w:before="120" w:after="0"/>
        <w:ind w:firstLine="0"/>
      </w:pPr>
      <w:r>
        <w:rPr>
          <w:i w:val="0"/>
        </w:rPr>
        <w:t xml:space="preserve">Kashiwa, Kikuchi, Tomiya (2019). Progress of Theoretical and Experimental Physics 2019, 083A04. </w:t>
      </w:r>
      <w:hyperlink r:id="rId70">
        <w:r>
          <w:rPr>
            <w:rStyle w:val="Hyperlink"/>
          </w:rPr>
          <w:t xml:space="preserve">https://doi.org/10.1093/ptep/ptz082</w:t>
        </w:r>
      </w:hyperlink>
    </w:p>
    <w:p>
      <w:pPr>
        <w:spacing w:before="120" w:after="0"/>
        <w:ind w:firstLine="0"/>
      </w:pPr>
      <w:r>
        <w:rPr>
          <w:i w:val="0"/>
        </w:rPr>
        <w:t xml:space="preserve">Ponte, Melko (2017). Physical Review B 96, 205146. </w:t>
      </w:r>
      <w:hyperlink r:id="rId71">
        <w:r>
          <w:rPr>
            <w:rStyle w:val="Hyperlink"/>
          </w:rPr>
          <w:t xml:space="preserve">https://doi.org/10.1103/PhysRevB.96.205146</w:t>
        </w:r>
      </w:hyperlink>
    </w:p>
    <w:p>
      <w:pPr>
        <w:spacing w:before="120" w:after="0"/>
        <w:ind w:firstLine="0"/>
      </w:pPr>
      <w:r>
        <w:rPr>
          <w:i w:val="0"/>
        </w:rPr>
        <w:t xml:space="preserve">Schindler, Regnault, Neupert (2017). Physical Review B 95, 245134. </w:t>
      </w:r>
      <w:hyperlink r:id="rId72">
        <w:r>
          <w:rPr>
            <w:rStyle w:val="Hyperlink"/>
          </w:rPr>
          <w:t xml:space="preserve">https://doi.org/10.1103/PhysRevB.95.245134</w:t>
        </w:r>
      </w:hyperlink>
    </w:p>
    <w:p>
      <w:pPr>
        <w:spacing w:before="120" w:after="0"/>
        <w:ind w:firstLine="0"/>
      </w:pPr>
      <w:r>
        <w:rPr>
          <w:i w:val="0"/>
        </w:rPr>
        <w:t xml:space="preserve">Suchsland, Wessel (2018). Physical Review B 97, 174435. </w:t>
      </w:r>
      <w:hyperlink r:id="rId58">
        <w:r>
          <w:rPr>
            <w:rStyle w:val="Hyperlink"/>
          </w:rPr>
          <w:t xml:space="preserve">https://doi.org/10.1103/PhysRevB.97.174435</w:t>
        </w:r>
      </w:hyperlink>
    </w:p>
    <w:p>
      <w:pPr>
        <w:spacing w:before="120" w:after="0"/>
        <w:ind w:firstLine="0"/>
      </w:pPr>
      <w:r>
        <w:rPr>
          <w:i w:val="0"/>
        </w:rPr>
        <w:t xml:space="preserve">Venderley, Khemani, Kim (2018). Physical Review Letters 120, 257204. </w:t>
      </w:r>
      <w:hyperlink r:id="rId73">
        <w:r>
          <w:rPr>
            <w:rStyle w:val="Hyperlink"/>
          </w:rPr>
          <w:t xml:space="preserve">https://doi.org/10.1103/PhysRevLett.120.257204</w:t>
        </w:r>
      </w:hyperlink>
    </w:p>
    <w:p>
      <w:pPr>
        <w:spacing w:before="120" w:after="0"/>
        <w:ind w:firstLine="0"/>
      </w:pPr>
      <w:r>
        <w:rPr>
          <w:i w:val="0"/>
        </w:rPr>
        <w:t xml:space="preserve">Wetzel, Scherzer (2017). Physical Review B 96, 184410. </w:t>
      </w:r>
      <w:hyperlink r:id="rId56">
        <w:r>
          <w:rPr>
            <w:rStyle w:val="Hyperlink"/>
          </w:rPr>
          <w:t xml:space="preserve">https://doi.org/10.1103/PhysRevB.96.184410</w:t>
        </w:r>
      </w:hyperlink>
    </w:p>
    <w:p>
      <w:pPr>
        <w:spacing w:before="120" w:after="0"/>
        <w:ind w:firstLine="0"/>
      </w:pPr>
      <w:r>
        <w:rPr>
          <w:i w:val="0"/>
        </w:rPr>
        <w:t xml:space="preserve">Zhang, Kim (2017). Physical Review Letters 118, 216401. </w:t>
      </w:r>
      <w:hyperlink r:id="rId74">
        <w:r>
          <w:rPr>
            <w:rStyle w:val="Hyperlink"/>
          </w:rPr>
          <w:t xml:space="preserve">https://doi.org/10.1103/PhysRevLett.118.216401</w:t>
        </w:r>
      </w:hyperlink>
    </w:p>
    <w:p>
      <w:pPr>
        <w:spacing w:before="120" w:after="0"/>
        <w:ind w:firstLine="0"/>
      </w:pPr>
      <w:r>
        <w:rPr>
          <w:i w:val="0"/>
        </w:rPr>
        <w:t xml:space="preserve">Zhang, Melko, Kim (2017). Physical Review B 96, 245119. </w:t>
      </w:r>
      <w:hyperlink r:id="rId75">
        <w:r>
          <w:rPr>
            <w:rStyle w:val="Hyperlink"/>
          </w:rPr>
          <w:t xml:space="preserve">https://doi.org/10.1103/PhysRevB.96.245119</w:t>
        </w:r>
      </w:hyperlink>
    </w:p>
    <w:sectPr w:rsidR="007C37E4" w:rsidRPr="008E07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8B5B96"/>
    <w:multiLevelType w:val="hybridMultilevel"/>
    <w:tmpl w:val="C0A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672072D2"/>
    <w:multiLevelType w:val="multilevel"/>
    <w:tmpl w:val="4F26E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0319588">
    <w:abstractNumId w:val="1"/>
  </w:num>
  <w:num w:numId="2" w16cid:durableId="6585061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693E"/>
    <w:rsid w:val="000059B6"/>
    <w:rsid w:val="00011D75"/>
    <w:rsid w:val="0009176D"/>
    <w:rsid w:val="001300C4"/>
    <w:rsid w:val="003E438B"/>
    <w:rsid w:val="0061693E"/>
    <w:rsid w:val="006E401A"/>
    <w:rsid w:val="00777342"/>
    <w:rsid w:val="007C37E4"/>
    <w:rsid w:val="008E0704"/>
    <w:rsid w:val="00B53BBD"/>
    <w:rsid w:val="00C40D96"/>
    <w:rsid w:val="00DA562F"/>
    <w:rsid w:val="00F31A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CF657"/>
  <w15:chartTrackingRefBased/>
  <w15:docId w15:val="{295E243A-8DB0-4905-B258-D9314E811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562F"/>
    <w:pPr>
      <w:keepNext/>
      <w:keepLines/>
      <w:spacing w:before="360" w:after="80" w:line="240" w:lineRule="auto"/>
      <w:ind w:firstLine="720"/>
      <w:contextualSpacing/>
      <w:outlineLvl w:val="0"/>
    </w:pPr>
    <w:rPr>
      <w:rFonts w:ascii="Garamond" w:eastAsiaTheme="majorEastAsia" w:hAnsi="Garamond" w:cstheme="majorBidi"/>
    </w:rPr>
  </w:style>
  <w:style w:type="paragraph" w:styleId="Heading1">
    <w:name w:val="heading 1"/>
    <w:basedOn w:val="Normal"/>
    <w:next w:val="Normal"/>
    <w:link w:val="Heading1Char"/>
    <w:uiPriority w:val="9"/>
    <w:qFormat/>
    <w:rsid w:val="003E438B"/>
    <w:pPr>
      <w:ind w:firstLine="0"/>
      <w:jc w:val="center"/>
    </w:pPr>
    <w:rPr>
      <w:b/>
      <w:bCs/>
      <w:sz w:val="48"/>
      <w:szCs w:val="48"/>
    </w:rPr>
  </w:style>
  <w:style w:type="paragraph" w:styleId="Heading2">
    <w:name w:val="heading 2"/>
    <w:basedOn w:val="Normal"/>
    <w:next w:val="Normal"/>
    <w:link w:val="Heading2Char"/>
    <w:uiPriority w:val="9"/>
    <w:semiHidden/>
    <w:unhideWhenUsed/>
    <w:qFormat/>
    <w:rsid w:val="0061693E"/>
    <w:pPr>
      <w:spacing w:before="160"/>
      <w:outlineLvl w:val="1"/>
    </w:pPr>
    <w:rPr>
      <w:rFonts w:asciiTheme="majorHAnsi" w:hAnsiTheme="majorHAnsi"/>
      <w:color w:val="0F4761" w:themeColor="accent1" w:themeShade="BF"/>
      <w:sz w:val="32"/>
      <w:szCs w:val="32"/>
    </w:rPr>
  </w:style>
  <w:style w:type="paragraph" w:styleId="Heading3">
    <w:name w:val="heading 3"/>
    <w:basedOn w:val="Normal"/>
    <w:next w:val="Normal"/>
    <w:link w:val="Heading3Char"/>
    <w:uiPriority w:val="9"/>
    <w:unhideWhenUsed/>
    <w:qFormat/>
    <w:rsid w:val="0061693E"/>
    <w:pPr>
      <w:spacing w:before="160"/>
      <w:outlineLvl w:val="2"/>
    </w:pPr>
    <w:rPr>
      <w:color w:val="0F4761" w:themeColor="accent1" w:themeShade="BF"/>
      <w:sz w:val="28"/>
      <w:szCs w:val="28"/>
    </w:rPr>
  </w:style>
  <w:style w:type="paragraph" w:styleId="Heading4">
    <w:name w:val="heading 4"/>
    <w:basedOn w:val="Normal"/>
    <w:next w:val="Normal"/>
    <w:link w:val="Heading4Char"/>
    <w:uiPriority w:val="9"/>
    <w:semiHidden/>
    <w:unhideWhenUsed/>
    <w:qFormat/>
    <w:rsid w:val="0061693E"/>
    <w:pPr>
      <w:spacing w:before="80" w:after="40"/>
      <w:outlineLvl w:val="3"/>
    </w:pPr>
    <w:rPr>
      <w:i/>
      <w:iCs/>
      <w:color w:val="0F4761" w:themeColor="accent1" w:themeShade="BF"/>
    </w:rPr>
  </w:style>
  <w:style w:type="paragraph" w:styleId="Heading5">
    <w:name w:val="heading 5"/>
    <w:basedOn w:val="Normal"/>
    <w:next w:val="Normal"/>
    <w:link w:val="Heading5Char"/>
    <w:uiPriority w:val="9"/>
    <w:semiHidden/>
    <w:unhideWhenUsed/>
    <w:qFormat/>
    <w:rsid w:val="0061693E"/>
    <w:pPr>
      <w:spacing w:before="80" w:after="40"/>
      <w:outlineLvl w:val="4"/>
    </w:pPr>
    <w:rPr>
      <w:color w:val="0F4761" w:themeColor="accent1" w:themeShade="BF"/>
    </w:rPr>
  </w:style>
  <w:style w:type="paragraph" w:styleId="Heading6">
    <w:name w:val="heading 6"/>
    <w:basedOn w:val="Normal"/>
    <w:next w:val="Normal"/>
    <w:link w:val="Heading6Char"/>
    <w:uiPriority w:val="9"/>
    <w:semiHidden/>
    <w:unhideWhenUsed/>
    <w:qFormat/>
    <w:rsid w:val="0061693E"/>
    <w:pPr>
      <w:spacing w:before="40" w:after="0"/>
      <w:outlineLvl w:val="5"/>
    </w:pPr>
    <w:rPr>
      <w:i/>
      <w:iCs/>
      <w:color w:val="595959" w:themeColor="text1" w:themeTint="A6"/>
    </w:rPr>
  </w:style>
  <w:style w:type="paragraph" w:styleId="Heading7">
    <w:name w:val="heading 7"/>
    <w:basedOn w:val="Normal"/>
    <w:next w:val="Normal"/>
    <w:link w:val="Heading7Char"/>
    <w:uiPriority w:val="9"/>
    <w:semiHidden/>
    <w:unhideWhenUsed/>
    <w:qFormat/>
    <w:rsid w:val="0061693E"/>
    <w:pPr>
      <w:spacing w:before="40" w:after="0"/>
      <w:outlineLvl w:val="6"/>
    </w:pPr>
    <w:rPr>
      <w:color w:val="595959" w:themeColor="text1" w:themeTint="A6"/>
    </w:rPr>
  </w:style>
  <w:style w:type="paragraph" w:styleId="Heading8">
    <w:name w:val="heading 8"/>
    <w:basedOn w:val="Normal"/>
    <w:next w:val="Normal"/>
    <w:link w:val="Heading8Char"/>
    <w:uiPriority w:val="9"/>
    <w:semiHidden/>
    <w:unhideWhenUsed/>
    <w:qFormat/>
    <w:rsid w:val="0061693E"/>
    <w:pPr>
      <w:spacing w:after="0"/>
      <w:outlineLvl w:val="7"/>
    </w:pPr>
    <w:rPr>
      <w:i/>
      <w:iCs/>
      <w:color w:val="272727" w:themeColor="text1" w:themeTint="D8"/>
    </w:rPr>
  </w:style>
  <w:style w:type="paragraph" w:styleId="Heading9">
    <w:name w:val="heading 9"/>
    <w:basedOn w:val="Normal"/>
    <w:next w:val="Normal"/>
    <w:link w:val="Heading9Char"/>
    <w:uiPriority w:val="9"/>
    <w:semiHidden/>
    <w:unhideWhenUsed/>
    <w:qFormat/>
    <w:rsid w:val="0061693E"/>
    <w:pPr>
      <w:spacing w:after="0"/>
      <w:outlineLvl w:val="8"/>
    </w:pPr>
    <w:rPr>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438B"/>
    <w:rPr>
      <w:rFonts w:ascii="Garamond" w:eastAsiaTheme="majorEastAsia" w:hAnsi="Garamond" w:cstheme="majorBidi"/>
      <w:b/>
      <w:bCs/>
      <w:sz w:val="48"/>
      <w:szCs w:val="48"/>
    </w:rPr>
  </w:style>
  <w:style w:type="character" w:customStyle="1" w:styleId="Heading2Char">
    <w:name w:val="Heading 2 Char"/>
    <w:basedOn w:val="DefaultParagraphFont"/>
    <w:link w:val="Heading2"/>
    <w:uiPriority w:val="9"/>
    <w:semiHidden/>
    <w:rsid w:val="006169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169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69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69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69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69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69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693E"/>
    <w:rPr>
      <w:rFonts w:eastAsiaTheme="majorEastAsia" w:cstheme="majorBidi"/>
      <w:color w:val="272727" w:themeColor="text1" w:themeTint="D8"/>
    </w:rPr>
  </w:style>
  <w:style w:type="paragraph" w:styleId="Title">
    <w:name w:val="Title"/>
    <w:basedOn w:val="Normal"/>
    <w:next w:val="Normal"/>
    <w:link w:val="TitleChar"/>
    <w:uiPriority w:val="10"/>
    <w:qFormat/>
    <w:rsid w:val="00777342"/>
    <w:pPr>
      <w:jc w:val="center"/>
    </w:pPr>
    <w:rPr>
      <w:spacing w:val="-10"/>
      <w:kern w:val="28"/>
      <w:sz w:val="96"/>
      <w:szCs w:val="96"/>
    </w:rPr>
  </w:style>
  <w:style w:type="character" w:customStyle="1" w:styleId="TitleChar">
    <w:name w:val="Title Char"/>
    <w:basedOn w:val="DefaultParagraphFont"/>
    <w:link w:val="Title"/>
    <w:uiPriority w:val="10"/>
    <w:rsid w:val="00777342"/>
    <w:rPr>
      <w:rFonts w:ascii="Garamond" w:eastAsiaTheme="majorEastAsia" w:hAnsi="Garamond" w:cstheme="majorBidi"/>
      <w:b/>
      <w:bCs/>
      <w:spacing w:val="-10"/>
      <w:kern w:val="28"/>
      <w:sz w:val="96"/>
      <w:szCs w:val="96"/>
    </w:rPr>
  </w:style>
  <w:style w:type="paragraph" w:styleId="Subtitle">
    <w:name w:val="Subtitle"/>
    <w:basedOn w:val="Normal"/>
    <w:next w:val="Normal"/>
    <w:link w:val="SubtitleChar"/>
    <w:uiPriority w:val="11"/>
    <w:qFormat/>
    <w:rsid w:val="0061693E"/>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sid w:val="006169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693E"/>
    <w:pPr>
      <w:spacing w:before="160"/>
      <w:jc w:val="center"/>
    </w:pPr>
    <w:rPr>
      <w:i/>
      <w:iCs/>
      <w:color w:val="404040" w:themeColor="text1" w:themeTint="BF"/>
    </w:rPr>
  </w:style>
  <w:style w:type="character" w:customStyle="1" w:styleId="QuoteChar">
    <w:name w:val="Quote Char"/>
    <w:basedOn w:val="DefaultParagraphFont"/>
    <w:link w:val="Quote"/>
    <w:uiPriority w:val="29"/>
    <w:rsid w:val="0061693E"/>
    <w:rPr>
      <w:i/>
      <w:iCs/>
      <w:color w:val="404040" w:themeColor="text1" w:themeTint="BF"/>
    </w:rPr>
  </w:style>
  <w:style w:type="paragraph" w:styleId="ListParagraph">
    <w:name w:val="List Paragraph"/>
    <w:basedOn w:val="Normal"/>
    <w:uiPriority w:val="34"/>
    <w:qFormat/>
    <w:rsid w:val="0061693E"/>
    <w:pPr>
      <w:ind w:left="720"/>
    </w:pPr>
  </w:style>
  <w:style w:type="character" w:styleId="IntenseEmphasis">
    <w:name w:val="Intense Emphasis"/>
    <w:basedOn w:val="DefaultParagraphFont"/>
    <w:uiPriority w:val="21"/>
    <w:qFormat/>
    <w:rsid w:val="0061693E"/>
    <w:rPr>
      <w:i/>
      <w:iCs/>
      <w:color w:val="0F4761" w:themeColor="accent1" w:themeShade="BF"/>
    </w:rPr>
  </w:style>
  <w:style w:type="paragraph" w:styleId="IntenseQuote">
    <w:name w:val="Intense Quote"/>
    <w:basedOn w:val="Normal"/>
    <w:next w:val="Normal"/>
    <w:link w:val="IntenseQuoteChar"/>
    <w:uiPriority w:val="30"/>
    <w:qFormat/>
    <w:rsid w:val="0061693E"/>
    <w:pPr>
      <w:pBdr>
        <w:top w:val="single" w:sz="4" w:space="10" w:color="0F4761" w:themeColor="accent1" w:themeShade="BF"/>
        <w:bottom w:val="single" w:sz="4" w:space="10" w:color="0F4761" w:themeColor="accent1" w:themeShade="BF"/>
      </w:pBdr>
      <w:spacing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693E"/>
    <w:rPr>
      <w:i/>
      <w:iCs/>
      <w:color w:val="0F4761" w:themeColor="accent1" w:themeShade="BF"/>
    </w:rPr>
  </w:style>
  <w:style w:type="character" w:styleId="IntenseReference">
    <w:name w:val="Intense Reference"/>
    <w:basedOn w:val="DefaultParagraphFont"/>
    <w:uiPriority w:val="32"/>
    <w:qFormat/>
    <w:rsid w:val="0061693E"/>
    <w:rPr>
      <w:b/>
      <w:bCs/>
      <w:smallCaps/>
      <w:color w:val="0F4761" w:themeColor="accent1" w:themeShade="BF"/>
      <w:spacing w:val="5"/>
    </w:rPr>
  </w:style>
  <w:style w:type="paragraph" w:customStyle="1" w:styleId="msonormal0">
    <w:name w:val="msonormal"/>
    <w:basedOn w:val="Normal"/>
    <w:rsid w:val="0061693E"/>
    <w:pPr>
      <w:spacing w:before="100" w:beforeAutospacing="1" w:after="100" w:afterAutospacing="1"/>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61693E"/>
    <w:pPr>
      <w:spacing w:before="100" w:beforeAutospacing="1" w:after="100" w:afterAutospacing="1"/>
    </w:pPr>
    <w:rPr>
      <w:rFonts w:ascii="Times New Roman" w:eastAsia="Times New Roman" w:hAnsi="Times New Roman" w:cs="Times New Roman"/>
      <w:kern w:val="0"/>
      <w14:ligatures w14:val="none"/>
    </w:rPr>
  </w:style>
  <w:style w:type="character" w:customStyle="1" w:styleId="math-inline">
    <w:name w:val="math-inline"/>
    <w:basedOn w:val="DefaultParagraphFont"/>
    <w:rsid w:val="0061693E"/>
  </w:style>
  <w:style w:type="character" w:styleId="Hyperlink">
    <w:name w:val="Hyperlink"/>
    <w:basedOn w:val="DefaultParagraphFont"/>
    <w:uiPriority w:val="99"/>
    <w:unhideWhenUsed/>
    <w:rsid w:val="0061693E"/>
    <w:rPr>
      <w:color w:val="0000FF"/>
      <w:u w:val="single"/>
    </w:rPr>
  </w:style>
  <w:style w:type="character" w:styleId="FollowedHyperlink">
    <w:name w:val="FollowedHyperlink"/>
    <w:basedOn w:val="DefaultParagraphFont"/>
    <w:uiPriority w:val="99"/>
    <w:semiHidden/>
    <w:unhideWhenUsed/>
    <w:rsid w:val="0061693E"/>
    <w:rPr>
      <w:color w:val="800080"/>
      <w:u w:val="single"/>
    </w:rPr>
  </w:style>
  <w:style w:type="character" w:styleId="UnresolvedMention">
    <w:name w:val="Unresolved Mention"/>
    <w:basedOn w:val="DefaultParagraphFont"/>
    <w:uiPriority w:val="99"/>
    <w:semiHidden/>
    <w:unhideWhenUsed/>
    <w:rsid w:val="0061693E"/>
    <w:rPr>
      <w:color w:val="605E5C"/>
      <w:shd w:val="clear" w:color="auto" w:fill="E1DFDD"/>
    </w:rPr>
  </w:style>
  <w:style w:type="paragraph" w:customStyle="1" w:styleId="BookSection">
    <w:name w:val="BookSection"/>
    <w:basedOn w:val="Normal"/>
    <w:pPr>
      <w:keepNext/>
      <w:spacing w:before="320" w:after="80"/>
      <w:ind w:firstLine="0"/>
    </w:pPr>
    <w:rPr>
      <w:rFonts w:ascii="Garamond" w:hAnsi="Garamond"/>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mazon.com/dp/B0FG1WRVBB" TargetMode="External"/><Relationship Id="rId18" Type="http://schemas.openxmlformats.org/officeDocument/2006/relationships/hyperlink" Target="https://www.amazon.com/Thinking-Web-Berners-Lee-G%C3%B6del-Turing/dp/0471768146?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26" Type="http://schemas.openxmlformats.org/officeDocument/2006/relationships/hyperlink" Target="https://doi.org/10.2475/ajs.s3-16.96.441" TargetMode="External"/><Relationship Id="rId39" Type="http://schemas.openxmlformats.org/officeDocument/2006/relationships/hyperlink" Target="https://doi.org/10.1063/1.1744102" TargetMode="External"/><Relationship Id="rId21" Type="http://schemas.openxmlformats.org/officeDocument/2006/relationships/hyperlink" Target="https://www.amazon.com/Video-Producing-Internet-Broadband-Technologies/dp/0201703149?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34" Type="http://schemas.openxmlformats.org/officeDocument/2006/relationships/hyperlink" Target="https://doi.org/10.1103/PhysRev.65.117" TargetMode="External"/><Relationship Id="rId42" Type="http://schemas.openxmlformats.org/officeDocument/2006/relationships/hyperlink" Target="https://doi.org/10.1063/1.1734338" TargetMode="External"/><Relationship Id="rId47" Type="http://schemas.openxmlformats.org/officeDocument/2006/relationships/hyperlink" Target="https://doi.org/10.1103/PhysRevB.4.3174" TargetMode="External"/><Relationship Id="rId50" Type="http://schemas.openxmlformats.org/officeDocument/2006/relationships/hyperlink" Target="https://doi.org/10.1103/RevModPhys.46.597" TargetMode="External"/><Relationship Id="rId55" Type="http://schemas.openxmlformats.org/officeDocument/2006/relationships/hyperlink" Target="https://doi.org/10.1038/nphys4037" TargetMode="External"/><Relationship Id="rId7" Type="http://schemas.openxmlformats.org/officeDocument/2006/relationships/hyperlink" Target="https://www.amazon.com/dp/B0FF2RXNSH" TargetMode="External"/><Relationship Id="rId2" Type="http://schemas.openxmlformats.org/officeDocument/2006/relationships/styles" Target="styles.xml"/><Relationship Id="rId16" Type="http://schemas.openxmlformats.org/officeDocument/2006/relationships/hyperlink" Target="https://www.amazon.com/dp/B0F8667YMW" TargetMode="External"/><Relationship Id="rId29" Type="http://schemas.openxmlformats.org/officeDocument/2006/relationships/hyperlink" Target="https://arxiv.org/abs/1612.03062" TargetMode="External"/><Relationship Id="rId11" Type="http://schemas.openxmlformats.org/officeDocument/2006/relationships/hyperlink" Target="https://www.amazon.com/dp/B0FKRHJNKV" TargetMode="External"/><Relationship Id="rId24" Type="http://schemas.openxmlformats.org/officeDocument/2006/relationships/image" Target="media/image2.svg"/><Relationship Id="rId32" Type="http://schemas.openxmlformats.org/officeDocument/2006/relationships/hyperlink" Target="https://doi.org/10.1007/BF02980577" TargetMode="External"/><Relationship Id="rId37" Type="http://schemas.openxmlformats.org/officeDocument/2006/relationships/hyperlink" Target="https://doi.org/10.1103/PhysRev.87.404" TargetMode="External"/><Relationship Id="rId40" Type="http://schemas.openxmlformats.org/officeDocument/2006/relationships/hyperlink" Target="https://jetp.ras.ru/cgi-bin/e/index/e/9/3/p571?a=list" TargetMode="External"/><Relationship Id="rId45" Type="http://schemas.openxmlformats.org/officeDocument/2006/relationships/hyperlink" Target="https://doi.org/10.1103/PhysicsPhysiqueFizika.2.263" TargetMode="External"/><Relationship Id="rId53" Type="http://schemas.openxmlformats.org/officeDocument/2006/relationships/hyperlink" Target="https://doi.org/10.1038/nphys4035" TargetMode="External"/><Relationship Id="rId58" Type="http://schemas.openxmlformats.org/officeDocument/2006/relationships/hyperlink" Target="https://doi.org/10.1103/PhysRevB.97.174435" TargetMode="External"/><Relationship Id="rId5" Type="http://schemas.openxmlformats.org/officeDocument/2006/relationships/hyperlink" Target="https://www.hpeteralesso.com/" TargetMode="External"/><Relationship Id="rId61" Type="http://schemas.openxmlformats.org/officeDocument/2006/relationships/fontTable" Target="fontTable.xml"/><Relationship Id="rId19" Type="http://schemas.openxmlformats.org/officeDocument/2006/relationships/hyperlink" Target="https://www.amazon.com/Developing-Semantic-Services-H-Peter-Alesso-ebook/dp/B07YYNL4KT?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14" Type="http://schemas.openxmlformats.org/officeDocument/2006/relationships/hyperlink" Target="https://www.amazon.com/dp/B0FCV28PMM" TargetMode="External"/><Relationship Id="rId22" Type="http://schemas.openxmlformats.org/officeDocument/2006/relationships/hyperlink" Target="http://www.hpeteralesso.com" TargetMode="External"/><Relationship Id="rId27" Type="http://schemas.openxmlformats.org/officeDocument/2006/relationships/hyperlink" Target="https://gallica.bnf.fr/ark:/12148/bpt6k3414331n.image" TargetMode="External"/><Relationship Id="rId30" Type="http://schemas.openxmlformats.org/officeDocument/2006/relationships/hyperlink" Target="https://doi.org/10.1140/epjst/e2016-60344-y" TargetMode="External"/><Relationship Id="rId35" Type="http://schemas.openxmlformats.org/officeDocument/2006/relationships/hyperlink" Target="https://doi.org/10.1063/1.1724033" TargetMode="External"/><Relationship Id="rId43" Type="http://schemas.openxmlformats.org/officeDocument/2006/relationships/hyperlink" Target="https://books.google.com/books/about/Lectures_in_Theoretical_Physics_Vol_7c.html?id=W6-lXwAACAAJ" TargetMode="External"/><Relationship Id="rId48" Type="http://schemas.openxmlformats.org/officeDocument/2006/relationships/hyperlink" Target="https://doi.org/10.1103/PhysRevLett.28.240" TargetMode="External"/><Relationship Id="rId56" Type="http://schemas.openxmlformats.org/officeDocument/2006/relationships/hyperlink" Target="https://doi.org/10.1103/PhysRevB.96.184410" TargetMode="External"/><Relationship Id="rId8" Type="http://schemas.openxmlformats.org/officeDocument/2006/relationships/hyperlink" Target="https://www.amazon.com/dp/B0FBR8B2W9" TargetMode="External"/><Relationship Id="rId51" Type="http://schemas.openxmlformats.org/officeDocument/2006/relationships/hyperlink" Target="https://doi.org/10.1103/PhysRevLett.47.1" TargetMode="External"/><Relationship Id="rId3" Type="http://schemas.openxmlformats.org/officeDocument/2006/relationships/settings" Target="settings.xml"/><Relationship Id="rId12" Type="http://schemas.openxmlformats.org/officeDocument/2006/relationships/hyperlink" Target="https://www.amazon.com/dp/B0FH5S9WQR" TargetMode="External"/><Relationship Id="rId17" Type="http://schemas.openxmlformats.org/officeDocument/2006/relationships/hyperlink" Target="https://www.amazon.com/Connections-Patterns-Discovery-Wiley-IEEE-ebook/dp/B0017T9E6O?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25" Type="http://schemas.openxmlformats.org/officeDocument/2006/relationships/hyperlink" Target="https://www.ai-hive.net/" TargetMode="External"/><Relationship Id="rId33" Type="http://schemas.openxmlformats.org/officeDocument/2006/relationships/hyperlink" Target="https://doi.org/10.1017/S0305004100019174" TargetMode="External"/><Relationship Id="rId38" Type="http://schemas.openxmlformats.org/officeDocument/2006/relationships/hyperlink" Target="https://doi.org/10.1103/PhysRev.87.410" TargetMode="External"/><Relationship Id="rId46" Type="http://schemas.openxmlformats.org/officeDocument/2006/relationships/hyperlink" Target="https://doi.org/10.1103/PhysRev.185.832" TargetMode="External"/><Relationship Id="rId59" Type="http://schemas.openxmlformats.org/officeDocument/2006/relationships/hyperlink" Target="https://doi.org/10.4007/annals.2021.194.1.3" TargetMode="External"/><Relationship Id="rId20" Type="http://schemas.openxmlformats.org/officeDocument/2006/relationships/hyperlink" Target="https://www.amazon.com/Intelligent-Wireless-Web-Peter-Alesso/dp/0201730634?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41" Type="http://schemas.openxmlformats.org/officeDocument/2006/relationships/hyperlink" Target="https://garfield.library.upenn.edu/histcomp/fisher-me_auth-citing/node/46.html" TargetMode="External"/><Relationship Id="rId54" Type="http://schemas.openxmlformats.org/officeDocument/2006/relationships/hyperlink" Target="https://doi.org/10.1103/PhysRevX.7.031038" TargetMode="External"/><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amazon.com/dp/B0FLSP5DM3" TargetMode="External"/><Relationship Id="rId15" Type="http://schemas.openxmlformats.org/officeDocument/2006/relationships/hyperlink" Target="https://www.amazon.com/dp/B0FCNB5VK9" TargetMode="External"/><Relationship Id="rId23" Type="http://schemas.openxmlformats.org/officeDocument/2006/relationships/image" Target="media/image1.png"/><Relationship Id="rId28" Type="http://schemas.openxmlformats.org/officeDocument/2006/relationships/hyperlink" Target="https://doi.org/10.1002/andp.18501550306" TargetMode="External"/><Relationship Id="rId36" Type="http://schemas.openxmlformats.org/officeDocument/2006/relationships/hyperlink" Target="https://doi.org/10.1103/PhysRev.85.808" TargetMode="External"/><Relationship Id="rId49" Type="http://schemas.openxmlformats.org/officeDocument/2006/relationships/hyperlink" Target="https://doi.org/10.1103/PhysRevLett.28.1516" TargetMode="External"/><Relationship Id="rId57" Type="http://schemas.openxmlformats.org/officeDocument/2006/relationships/hyperlink" Target="https://doi.org/10.1103/PhysRevE.98.022138" TargetMode="External"/><Relationship Id="rId10" Type="http://schemas.openxmlformats.org/officeDocument/2006/relationships/hyperlink" Target="https://www.amazon.com/dp/B0FJBD36BV" TargetMode="External"/><Relationship Id="rId31" Type="http://schemas.openxmlformats.org/officeDocument/2006/relationships/hyperlink" Target="https://doi.org/10.1016/B978-0-08-010586-4.50034-1" TargetMode="External"/><Relationship Id="rId44" Type="http://schemas.openxmlformats.org/officeDocument/2006/relationships/hyperlink" Target="https://doi.org/10.1063/1.1696618" TargetMode="External"/><Relationship Id="rId52" Type="http://schemas.openxmlformats.org/officeDocument/2006/relationships/hyperlink" Target="https://doi.org/10.1007/BF01213009" TargetMode="External"/><Relationship Id="rId60" Type="http://schemas.openxmlformats.org/officeDocument/2006/relationships/hyperlink" Target="https://doi.org/10.1103/PhysRevE.108.L032102" TargetMode="External"/><Relationship Id="rId4" Type="http://schemas.openxmlformats.org/officeDocument/2006/relationships/webSettings" Target="webSettings.xml"/><Relationship Id="rId9" Type="http://schemas.openxmlformats.org/officeDocument/2006/relationships/hyperlink" Target="https://www.amazon.com/dp/B0FP8KYXNF" TargetMode="External"/><Relationship Id="rId63" Type="http://schemas.openxmlformats.org/officeDocument/2006/relationships/hyperlink" Target="https://doi.org/10.1103/PhysRevX.12.031044" TargetMode="External"/><Relationship Id="rId64" Type="http://schemas.openxmlformats.org/officeDocument/2006/relationships/hyperlink" Target="https://doi.org/10.1103/PhysRevB.97.045207" TargetMode="External"/><Relationship Id="rId65" Type="http://schemas.openxmlformats.org/officeDocument/2006/relationships/hyperlink" Target="https://doi.org/10.1103/PhysRevB.100.174408" TargetMode="External"/><Relationship Id="rId66" Type="http://schemas.openxmlformats.org/officeDocument/2006/relationships/hyperlink" Target="https://doi.org/10.1103/PhysRevB.99.060404" TargetMode="External"/><Relationship Id="rId67" Type="http://schemas.openxmlformats.org/officeDocument/2006/relationships/hyperlink" Target="https://doi.org/10.1103/PhysRevE.95.062122" TargetMode="External"/><Relationship Id="rId68" Type="http://schemas.openxmlformats.org/officeDocument/2006/relationships/hyperlink" Target="https://doi.org/10.1103/PhysRevB.97.134109" TargetMode="External"/><Relationship Id="rId69" Type="http://schemas.openxmlformats.org/officeDocument/2006/relationships/hyperlink" Target="https://doi.org/10.1103/PhysRevB.99.104106" TargetMode="External"/><Relationship Id="rId70" Type="http://schemas.openxmlformats.org/officeDocument/2006/relationships/hyperlink" Target="https://doi.org/10.1093/ptep/ptz082" TargetMode="External"/><Relationship Id="rId71" Type="http://schemas.openxmlformats.org/officeDocument/2006/relationships/hyperlink" Target="https://doi.org/10.1103/PhysRevB.96.205146" TargetMode="External"/><Relationship Id="rId72" Type="http://schemas.openxmlformats.org/officeDocument/2006/relationships/hyperlink" Target="https://doi.org/10.1103/PhysRevB.95.245134" TargetMode="External"/><Relationship Id="rId73" Type="http://schemas.openxmlformats.org/officeDocument/2006/relationships/hyperlink" Target="https://doi.org/10.1103/PhysRevLett.120.257204" TargetMode="External"/><Relationship Id="rId74" Type="http://schemas.openxmlformats.org/officeDocument/2006/relationships/hyperlink" Target="https://doi.org/10.1103/PhysRevLett.118.216401" TargetMode="External"/><Relationship Id="rId75" Type="http://schemas.openxmlformats.org/officeDocument/2006/relationships/hyperlink" Target="https://doi.org/10.1103/PhysRevB.96.24511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15</Pages>
  <Words>6924</Words>
  <Characters>39473</Characters>
  <Application>Microsoft Office Word</Application>
  <DocSecurity>0</DocSecurity>
  <Lines>328</Lines>
  <Paragraphs>92</Paragraphs>
  <ScaleCrop>false</ScaleCrop>
  <Company/>
  <LinksUpToDate>false</LinksUpToDate>
  <CharactersWithSpaces>46305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Alesso</dc:creator>
  <cp:keywords/>
  <dc:description/>
  <cp:lastModifiedBy>Harry Alesso</cp:lastModifiedBy>
  <cp:revision>8</cp:revision>
  <dcterms:created xsi:type="dcterms:W3CDTF">2026-08-23T17:29:00Z</dcterms:created>
  <dcterms:modified xsi:type="dcterms:W3CDTF">2026-08-23T18:20:00Z</dcterms:modified>
</cp:coreProperties>
</file>