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9</w:t>
      </w:r>
    </w:p>
    <w:p>
      <w:pPr>
        <w:pStyle w:val="Heading1"/>
      </w:pPr>
      <w:r>
        <w:t>: Quantum Mechanics Without the Electrons</w:t>
      </w:r>
    </w:p>
    <w:p>
      <w:pPr>
        <w:pStyle w:val="BookSection"/>
      </w:pPr>
      <w:r>
        <w:t>The arithmetic that blocked the field</w:t>
      </w:r>
    </w:p>
    <w:p>
      <w:r>
        <w:rPr>
          <w:i w:val="0"/>
        </w:rPr>
        <w:t>Ge</w:t>
      </w:r>
      <m:oMath>
        <m:sSub>
          <m:e>
            <m:r>
              <m:t/>
            </m:r>
          </m:e>
          <m:sub>
            <m:r>
              <m:t>2</m:t>
            </m:r>
          </m:sub>
        </m:sSub>
      </m:oMath>
      <w:r>
        <w:rPr>
          <w:i w:val="0"/>
        </w:rPr>
        <w:t>Sb</w:t>
      </w:r>
      <m:oMath>
        <m:sSub>
          <m:e>
            <m:r>
              <m:t/>
            </m:r>
          </m:e>
          <m:sub>
            <m:r>
              <m:t>2</m:t>
            </m:r>
          </m:sub>
        </m:sSub>
      </m:oMath>
      <w:r>
        <w:rPr>
          <w:i w:val="0"/>
        </w:rPr>
        <w:t>Te</w:t>
      </w:r>
      <m:oMath>
        <m:sSub>
          <m:e>
            <m:r>
              <m:t/>
            </m:r>
          </m:e>
          <m:sub>
            <m:r>
              <m:t>5</m:t>
            </m:r>
          </m:sub>
        </m:sSub>
      </m:oMath>
      <w:r>
        <w:rPr>
          <w:i w:val="0"/>
        </w:rPr>
        <w:t xml:space="preserve"> stores a bit as a phase. Amorphous is one state, crystalline the other, and writing the cell means driving a first-order transition on demand in a volume a few tens of nanometres across. Simulating that honestly needs a box large enough to hold a critical nucleus and a trajectory long enough for one to appear. Omar Abou El Kheir, Luigi Bonati, Michele Parrinello and Marco Bernasconi did exactly this in 2024, running systems of more than ten thousand atoms for more than one hundred nanoseconds to resolve the crystallization kinetics across the temperature range a memory device actually visits. Molecular dynamics has to resolve atomic vibration, which fixes the timestep at the femtosecond scale, so one hundred nanoseconds is of order </w:t>
      </w:r>
      <m:oMath>
        <m:sSup>
          <m:e>
            <m:r>
              <m:t>10</m:t>
            </m:r>
          </m:e>
          <m:sup>
            <m:r>
              <m:t>8</m:t>
            </m:r>
          </m:sup>
        </m:sSup>
      </m:oMath>
      <w:r>
        <w:rPr>
          <w:i w:val="0"/>
        </w:rPr>
        <w:t xml:space="preserve"> steps, each requiring a fresh set of three times </w:t>
      </w:r>
      <m:oMath>
        <m:sSup>
          <m:e>
            <m:r>
              <m:t>10</m:t>
            </m:r>
          </m:e>
          <m:sup>
            <m:r>
              <m:t>4</m:t>
            </m:r>
          </m:sup>
        </m:sSup>
      </m:oMath>
      <w:r>
        <w:rPr>
          <w:i w:val="0"/>
        </w:rPr>
        <w:t xml:space="preserve"> force components. A density functional theory calculation on ten thousand atoms costs minutes of wall time per step on a large parallel machine at best. Minutes apiece, </w:t>
      </w:r>
      <m:oMath>
        <m:sSup>
          <m:e>
            <m:r>
              <m:t>10</m:t>
            </m:r>
          </m:e>
          <m:sup>
            <m:r>
              <m:t>8</m:t>
            </m:r>
          </m:sup>
        </m:sSup>
      </m:oMath>
      <w:r>
        <w:rPr>
          <w:i w:val="0"/>
        </w:rPr>
        <w:t xml:space="preserve"> times over, is of order a century of continuous running: the trajectory does not happen.</w:t>
      </w:r>
    </w:p>
    <w:p>
      <w:r>
        <w:rPr>
          <w:i w:val="0"/>
        </w:rPr>
        <w:t>The obvious escape is an empirical potential with a fixed functional form, costing microseconds per step rather than minutes. Why that escape was closed for decades is worth stating quantitatively, since it sets the accuracy target everything in this chapter is built to hit.</w:t>
      </w:r>
    </w:p>
    <w:p>
      <w:r>
        <w:rPr>
          <w:i w:val="0"/>
        </w:rPr>
        <w:t xml:space="preserve">Take the classical nucleation theory expression for the free energy of a cluster of </w:t>
      </w:r>
      <m:oMath>
        <m:r>
          <m:t>n</m:t>
        </m:r>
      </m:oMath>
      <w:r>
        <w:rPr>
          <w:i w:val="0"/>
        </w:rPr>
        <w:t xml:space="preserve"> atoms of the new phase inside the old. The bulk term is proportional to the chemical potential difference </w:t>
      </w:r>
      <m:oMath>
        <m:r>
          <m:t>Δμ</m:t>
        </m:r>
      </m:oMath>
      <w:r>
        <w:rPr>
          <w:i w:val="0"/>
        </w:rPr>
        <w:t xml:space="preserve"> per atom, the surface term to the interfacial free energy </w:t>
      </w:r>
      <m:oMath>
        <m:r>
          <m:t>γ</m:t>
        </m:r>
      </m:oMath>
      <w:r>
        <w:rPr>
          <w:i w:val="0"/>
        </w:rPr>
        <w:t xml:space="preserve"> times an area growing as </w:t>
      </w:r>
      <m:oMath>
        <m:sSup>
          <m:e>
            <m:r>
              <m:t>n</m:t>
            </m:r>
          </m:e>
          <m:sup>
            <m:f>
              <m:fPr>
                <m:type m:val="lin"/>
              </m:fPr>
              <m:num>
                <m:r>
                  <m:t>2</m:t>
                </m:r>
              </m:num>
              <m:den>
                <m:r>
                  <m:t>3</m:t>
                </m:r>
              </m:den>
            </m:f>
          </m:sup>
        </m:sSup>
      </m:oMath>
      <w:r>
        <w:rPr>
          <w:i w:val="0"/>
        </w:rPr>
        <w:t>,</w:t>
      </w:r>
    </w:p>
    <w:p>
      <w:pPr>
        <w:spacing w:before="200" w:after="200"/>
        <w:ind w:firstLine="0"/>
        <w:jc w:val="center"/>
        <w:contextualSpacing w:val="0"/>
      </w:pPr>
      <m:oMath>
        <m:r>
          <m:t>ΔG(n)=−n</m:t>
        </m:r>
        <m:r>
          <m:t>Δμ+γ</m:t>
        </m:r>
        <m:r>
          <m:t>(36π</m:t>
        </m:r>
        <m:sSup>
          <m:e>
            <m:r>
              <m:t>v</m:t>
            </m:r>
          </m:e>
          <m:sup>
            <m:r>
              <m:t>2</m:t>
            </m:r>
          </m:sup>
        </m:sSup>
        <m:sSup>
          <m:e>
            <m:r>
              <m:t>)</m:t>
            </m:r>
          </m:e>
          <m:sup>
            <m:f>
              <m:fPr>
                <m:type m:val="lin"/>
              </m:fPr>
              <m:num>
                <m:r>
                  <m:t>1</m:t>
                </m:r>
              </m:num>
              <m:den>
                <m:r>
                  <m:t>3</m:t>
                </m:r>
              </m:den>
            </m:f>
          </m:sup>
        </m:sSup>
        <m:sSup>
          <m:e>
            <m:r>
              <m:t>n</m:t>
            </m:r>
          </m:e>
          <m:sup>
            <m:f>
              <m:fPr>
                <m:type m:val="lin"/>
              </m:fPr>
              <m:num>
                <m:r>
                  <m:t>2</m:t>
                </m:r>
              </m:num>
              <m:den>
                <m:r>
                  <m:t>3</m:t>
                </m:r>
              </m:den>
            </m:f>
          </m:sup>
        </m:sSup>
        <m:r>
          <m:t>,</m:t>
        </m:r>
      </m:oMath>
    </w:p>
    <w:p>
      <w:r>
        <w:rPr>
          <w:i w:val="0"/>
        </w:rPr>
        <w:t xml:space="preserve">with </w:t>
      </w:r>
      <m:oMath>
        <m:r>
          <m:t>v</m:t>
        </m:r>
      </m:oMath>
      <w:r>
        <w:rPr>
          <w:i w:val="0"/>
        </w:rPr>
        <w:t xml:space="preserve"> the volume per atom in the nucleus. Setting </w:t>
      </w:r>
      <m:oMath>
        <m:r>
          <m:t>dΔG/dn=0</m:t>
        </m:r>
      </m:oMath>
      <w:r>
        <w:rPr>
          <w:i w:val="0"/>
        </w:rPr>
        <w:t xml:space="preserve"> gives the critical size, and substituting back gives the barrier</w:t>
      </w:r>
    </w:p>
    <w:p>
      <w:pPr>
        <w:spacing w:before="200" w:after="200"/>
        <w:ind w:firstLine="0"/>
        <w:jc w:val="center"/>
        <w:contextualSpacing w:val="0"/>
      </w:pPr>
      <m:oMath>
        <m:r>
          <m:t>Δ</m:t>
        </m:r>
        <m:sSup>
          <m:e>
            <m:r>
              <m:t>G</m:t>
            </m:r>
          </m:e>
          <m:sup>
            <m:r>
              <m:t>*</m:t>
            </m:r>
          </m:sup>
        </m:sSup>
        <m:r>
          <m:t>=</m:t>
        </m:r>
        <m:f>
          <m:fPr>
            <m:type m:val="bar"/>
          </m:fPr>
          <m:num>
            <m:r>
              <m:t>16π</m:t>
            </m:r>
            <m:sSup>
              <m:e>
                <m:r>
                  <m:t>γ</m:t>
                </m:r>
              </m:e>
              <m:sup>
                <m:r>
                  <m:t>3</m:t>
                </m:r>
              </m:sup>
            </m:sSup>
            <m:sSup>
              <m:e>
                <m:r>
                  <m:t>v</m:t>
                </m:r>
              </m:e>
              <m:sup>
                <m:r>
                  <m:t>2</m:t>
                </m:r>
              </m:sup>
            </m:sSup>
          </m:num>
          <m:den>
            <m:r>
              <m:t>3</m:t>
            </m:r>
            <m:r>
              <m:t>Δ</m:t>
            </m:r>
            <m:sSup>
              <m:e>
                <m:r>
                  <m:t>μ</m:t>
                </m:r>
              </m:e>
              <m:sup>
                <m:r>
                  <m:t>2</m:t>
                </m:r>
              </m:sup>
            </m:sSup>
          </m:den>
        </m:f>
        <m:r>
          <m:t>,</m:t>
        </m:r>
      </m:oMath>
    </w:p>
    <w:p>
      <w:r>
        <w:rPr>
          <w:i w:val="0"/>
        </w:rPr>
        <w:t xml:space="preserve">the standard result of classical nucleation theory, and the rate follows as </w:t>
      </w:r>
      <m:oMath>
        <m:r>
          <m:t>J=</m:t>
        </m:r>
        <m:sSub>
          <m:e>
            <m:r>
              <m:t>J</m:t>
            </m:r>
          </m:e>
          <m:sub>
            <m:r>
              <m:t>0</m:t>
            </m:r>
          </m:sub>
        </m:sSub>
        <m:r>
          <m:rPr>
            <m:sty m:val="p"/>
          </m:rPr>
          <m:t>exp</m:t>
        </m:r>
        <m:r>
          <m:t>(−Δ</m:t>
        </m:r>
        <m:sSup>
          <m:e>
            <m:r>
              <m:t>G</m:t>
            </m:r>
          </m:e>
          <m:sup>
            <m:r>
              <m:t>*</m:t>
            </m:r>
          </m:sup>
        </m:sSup>
        <m:r>
          <m:t>/</m:t>
        </m:r>
        <m:sSub>
          <m:e>
            <m:r>
              <m:t>k</m:t>
            </m:r>
          </m:e>
          <m:sub>
            <m:r>
              <m:t>B</m:t>
            </m:r>
          </m:sub>
        </m:sSub>
        <m:r>
          <m:t>T)</m:t>
        </m:r>
      </m:oMath>
      <w:r>
        <w:rPr>
          <w:i w:val="0"/>
        </w:rPr>
        <w:t>. Now differentiate the logarithm of the rate with respect to the driving force:</w:t>
      </w:r>
    </w:p>
    <w:p>
      <w:pPr>
        <w:spacing w:before="200" w:after="200"/>
        <w:ind w:firstLine="0"/>
        <w:jc w:val="center"/>
        <w:contextualSpacing w:val="0"/>
      </w:pPr>
      <m:oMath>
        <m:r>
          <m:t>δ</m:t>
        </m:r>
        <m:r>
          <m:rPr>
            <m:sty m:val="p"/>
          </m:rPr>
          <m:t>ln</m:t>
        </m:r>
        <m:r>
          <m:t>J=</m:t>
        </m:r>
        <m:f>
          <m:fPr>
            <m:type m:val="bar"/>
          </m:fPr>
          <m:num>
            <m:r>
              <m:t>2</m:t>
            </m:r>
            <m:r>
              <m:t>Δ</m:t>
            </m:r>
            <m:sSup>
              <m:e>
                <m:r>
                  <m:t>G</m:t>
                </m:r>
              </m:e>
              <m:sup>
                <m:r>
                  <m:t>*</m:t>
                </m:r>
              </m:sup>
            </m:sSup>
          </m:num>
          <m:den>
            <m:sSub>
              <m:e>
                <m:r>
                  <m:t>k</m:t>
                </m:r>
              </m:e>
              <m:sub>
                <m:r>
                  <m:t>B</m:t>
                </m:r>
              </m:sub>
            </m:sSub>
            <m:r>
              <m:t>T</m:t>
            </m:r>
          </m:den>
        </m:f>
        <m:f>
          <m:fPr>
            <m:type m:val="bar"/>
          </m:fPr>
          <m:num>
            <m:r>
              <m:t>δΔμ</m:t>
            </m:r>
          </m:num>
          <m:den>
            <m:r>
              <m:t>Δμ</m:t>
            </m:r>
          </m:den>
        </m:f>
        <m:r>
          <m:t>.</m:t>
        </m:r>
      </m:oMath>
    </w:p>
    <w:p>
      <w:r>
        <w:rPr>
          <w:i w:val="0"/>
        </w:rPr>
        <w:t xml:space="preserve">Barriers of interest are tens of </w:t>
      </w:r>
      <m:oMath>
        <m:sSub>
          <m:e>
            <m:r>
              <m:t>k</m:t>
            </m:r>
          </m:e>
          <m:sub>
            <m:r>
              <m:t>B</m:t>
            </m:r>
          </m:sub>
        </m:sSub>
        <m:r>
          <m:t>T</m:t>
        </m:r>
      </m:oMath>
      <w:r>
        <w:rPr>
          <w:i w:val="0"/>
        </w:rPr>
        <w:t xml:space="preserve">. Take </w:t>
      </w:r>
      <m:oMath>
        <m:r>
          <m:t>Δ</m:t>
        </m:r>
        <m:sSup>
          <m:e>
            <m:r>
              <m:t>G</m:t>
            </m:r>
          </m:e>
          <m:sup>
            <m:r>
              <m:t>*</m:t>
            </m:r>
          </m:sup>
        </m:sSup>
        <m:r>
          <m:t>/</m:t>
        </m:r>
        <m:sSub>
          <m:e>
            <m:r>
              <m:t>k</m:t>
            </m:r>
          </m:e>
          <m:sub>
            <m:r>
              <m:t>B</m:t>
            </m:r>
          </m:sub>
        </m:sSub>
        <m:r>
          <m:t>T≈40</m:t>
        </m:r>
      </m:oMath>
      <w:r>
        <w:rPr>
          <w:i w:val="0"/>
        </w:rPr>
        <w:t xml:space="preserve">, observable on a laboratory timescale but not instantaneous. A ten percent error in </w:t>
      </w:r>
      <m:oMath>
        <m:r>
          <m:t>Δμ</m:t>
        </m:r>
      </m:oMath>
      <w:r>
        <w:rPr>
          <w:i w:val="0"/>
        </w:rPr>
        <w:t xml:space="preserve"> then moves the rate by a factor of </w:t>
      </w:r>
      <m:oMath>
        <m:sSup>
          <m:e>
            <m:r>
              <m:t>e</m:t>
            </m:r>
          </m:e>
          <m:sup>
            <m:r>
              <m:t>8</m:t>
            </m:r>
          </m:sup>
        </m:sSup>
      </m:oMath>
      <w:r>
        <w:rPr>
          <w:i w:val="0"/>
        </w:rPr>
        <w:t xml:space="preserve">, roughly three and a half orders of magnitude. And at the modest supercoolings where nucleation is actually measured, </w:t>
      </w:r>
      <m:oMath>
        <m:r>
          <m:t>Δμ</m:t>
        </m:r>
      </m:oMath>
      <w:r>
        <w:rPr>
          <w:i w:val="0"/>
        </w:rPr>
        <w:t xml:space="preserve"> itself is only a few meV per atom. Ten percent of a few meV is a fraction of one meV per atom. The interfacial free energy enters cubed and is worse: a five percent error in </w:t>
      </w:r>
      <m:oMath>
        <m:r>
          <m:t>γ</m:t>
        </m:r>
      </m:oMath>
      <w:r>
        <w:rPr>
          <w:i w:val="0"/>
        </w:rPr>
        <w:t xml:space="preserve"> moves the barrier by fifteen percent, which at forty </w:t>
      </w:r>
      <m:oMath>
        <m:sSub>
          <m:e>
            <m:r>
              <m:t>k</m:t>
            </m:r>
          </m:e>
          <m:sub>
            <m:r>
              <m:t>B</m:t>
            </m:r>
          </m:sub>
        </m:sSub>
        <m:r>
          <m:t>T</m:t>
        </m:r>
      </m:oMath>
      <w:r>
        <w:rPr>
          <w:i w:val="0"/>
        </w:rPr>
        <w:t xml:space="preserve"> is another factor of hundreds in the rate.</w:t>
      </w:r>
    </w:p>
    <w:p>
      <w:r>
        <w:rPr>
          <w:i w:val="0"/>
        </w:rPr>
        <w:t xml:space="preserve">One qualification belongs with that target, because the end of this chapter turns on it. What must be right to a fraction of a meV per atom is a difference between two phases, not the absolute energy of either, and such differences enjoy a cancellation that absolute energies do not: a model wrong in the same way for liquid and for crystal leaves </w:t>
      </w:r>
      <m:oMath>
        <m:r>
          <m:t>Δμ</m:t>
        </m:r>
      </m:oMath>
      <w:r>
        <w:rPr>
          <w:i w:val="0"/>
        </w:rPr>
        <w:t xml:space="preserve"> intact. The demand is therefore weaker than a sub-meV root-mean-square error on total energies, which no fitted model delivers and none of the work below claims. It is also more fragile, since the cancellation assumes errors correlated across two very different environments, and nothing in the fitting enforces it.</w:t>
      </w:r>
    </w:p>
    <w:p>
      <w:r>
        <w:rPr>
          <w:i w:val="0"/>
        </w:rPr>
        <w:t>So the two requirements are set by the same physics and pull opposite ways. Nucleation demands sizes and timescales that forbid solving the electronic structure problem, while the energetics of competing phases demand an accuracy that historically only solving it could deliver. The resolution described in this chapter was not a faster way to solve the Kohn-Sham equations. It was to stop solving them at run time and regress on their output instead, using a functional form flexible enough to have no meaningful bias of its own, local enough to evaluate in linear time, and built so that the symmetries of the underlying physics are exact rather than learned.</w:t>
      </w:r>
    </w:p>
    <w:p>
      <w:pPr>
        <w:pStyle w:val="BookSection"/>
      </w:pPr>
      <w:r>
        <w:t>Learning the energy one atom at a time</w:t>
      </w:r>
    </w:p>
    <w:p>
      <w:r>
        <w:rPr>
          <w:i w:val="0"/>
        </w:rPr>
        <w:t xml:space="preserve">The first of those three properties is the easy one. A network of sufficient width approximates any continuous function, so one taking the coordinates of </w:t>
      </w:r>
      <m:oMath>
        <m:r>
          <m:t>N</m:t>
        </m:r>
      </m:oMath>
      <w:r>
        <w:rPr>
          <w:i w:val="0"/>
        </w:rPr>
        <w:t xml:space="preserve"> atoms and returning a total energy has no built-in functional bias. It also has no use. Its input dimension is fixed at </w:t>
      </w:r>
      <m:oMath>
        <m:r>
          <m:t>3N</m:t>
        </m:r>
      </m:oMath>
      <w:r>
        <w:rPr>
          <w:i w:val="0"/>
        </w:rPr>
        <w:t>, so a model trained on one system size cannot be evaluated on another; its output changes if you translate or rotate the system, or relabel two identical atoms; and it must learn from data that energy is extensive.</w:t>
      </w:r>
    </w:p>
    <w:p>
      <w:r>
        <w:rPr>
          <w:i w:val="0"/>
        </w:rPr>
        <w:t>Jörg Behler and Michele Parrinello removed all of these obstacles at once in 2007 by changing what is being fitted. Rather than one function of the whole configuration, the total energy is written as a sum of atomic contributions,</w:t>
      </w:r>
    </w:p>
    <w:p>
      <w:pPr>
        <w:spacing w:before="200" w:after="200"/>
        <w:ind w:firstLine="0"/>
        <w:jc w:val="center"/>
        <w:contextualSpacing w:val="0"/>
      </w:pPr>
      <m:oMath>
        <m:r>
          <m:t>E=</m:t>
        </m:r>
        <m:nary>
          <m:naryPr>
            <m:chr m:val="∑"/>
            <m:limLoc m:val="subSup"/>
            <m:grow m:val="1"/>
            <m:subHide m:val="off"/>
            <m:supHide m:val="off"/>
          </m:naryPr>
          <m:sub>
            <m:r>
              <m:t>i=1</m:t>
            </m:r>
          </m:sub>
          <m:sup>
            <m:r>
              <m:t>N</m:t>
            </m:r>
          </m:sup>
          <m:e>
            <m:sSub>
              <m:e>
                <m:r>
                  <m:t>E</m:t>
                </m:r>
              </m:e>
              <m:sub>
                <m:r>
                  <m:t>i</m:t>
                </m:r>
              </m:sub>
            </m:sSub>
          </m:e>
        </m:nary>
        <m:r>
          <m:t>({</m:t>
        </m:r>
        <m:sSub>
          <m:e>
            <m:r>
              <m:rPr>
                <m:sty m:val="b"/>
              </m:rPr>
              <m:t>r</m:t>
            </m:r>
          </m:e>
          <m:sub>
            <m:r>
              <m:t>ij</m:t>
            </m:r>
          </m:sub>
        </m:sSub>
        <m:r>
          <m:t>:</m:t>
        </m:r>
        <m:sSub>
          <m:e>
            <m:r>
              <m:t>r</m:t>
            </m:r>
          </m:e>
          <m:sub>
            <m:r>
              <m:t>ij</m:t>
            </m:r>
          </m:sub>
        </m:sSub>
        <m:r>
          <m:t>&lt;</m:t>
        </m:r>
        <m:sSub>
          <m:e>
            <m:r>
              <m:t>r</m:t>
            </m:r>
          </m:e>
          <m:sub>
            <m:r>
              <m:t>c</m:t>
            </m:r>
          </m:sub>
        </m:sSub>
        <m:r>
          <m:t>}),</m:t>
        </m:r>
      </m:oMath>
    </w:p>
    <w:p>
      <w:r>
        <w:rPr>
          <w:i w:val="0"/>
        </w:rPr>
        <w:t xml:space="preserve">where each </w:t>
      </w:r>
      <m:oMath>
        <m:sSub>
          <m:e>
            <m:r>
              <m:t>E</m:t>
            </m:r>
          </m:e>
          <m:sub>
            <m:r>
              <m:t>i</m:t>
            </m:r>
          </m:sub>
        </m:sSub>
      </m:oMath>
      <w:r>
        <w:rPr>
          <w:i w:val="0"/>
        </w:rPr>
        <w:t xml:space="preserve"> depends only on the neighbours of atom </w:t>
      </w:r>
      <m:oMath>
        <m:r>
          <m:t>i</m:t>
        </m:r>
      </m:oMath>
      <w:r>
        <w:rPr>
          <w:i w:val="0"/>
        </w:rPr>
        <w:t xml:space="preserve"> within a cutoff radius </w:t>
      </w:r>
      <m:oMath>
        <m:sSub>
          <m:e>
            <m:r>
              <m:t>r</m:t>
            </m:r>
          </m:e>
          <m:sub>
            <m:r>
              <m:t>c</m:t>
            </m:r>
          </m:sub>
        </m:sSub>
      </m:oMath>
      <w:r>
        <w:rPr>
          <w:i w:val="0"/>
        </w:rPr>
        <w:t xml:space="preserve">, and the same network, with the same weights, evaluates every atom of a given element. Extensivity is then exact by construction, the cost is linear in </w:t>
      </w:r>
      <m:oMath>
        <m:r>
          <m:t>N</m:t>
        </m:r>
      </m:oMath>
      <w:r>
        <w:rPr>
          <w:i w:val="0"/>
        </w:rPr>
        <w:t xml:space="preserve"> because each atom has a bounded number of neighbours, and the model transfers between system sizes without retraining.</w:t>
      </w:r>
    </w:p>
    <w:p>
      <w:r>
        <w:rPr>
          <w:i w:val="0"/>
        </w:rPr>
        <w:t xml:space="preserve">The remaining problem is the input to </w:t>
      </w:r>
      <m:oMath>
        <m:sSub>
          <m:e>
            <m:r>
              <m:t>E</m:t>
            </m:r>
          </m:e>
          <m:sub>
            <m:r>
              <m:t>i</m:t>
            </m:r>
          </m:sub>
        </m:sSub>
      </m:oMath>
      <w:r>
        <w:rPr>
          <w:i w:val="0"/>
        </w:rPr>
        <w:t xml:space="preserve">. Cartesian neighbour coordinates rotate and permute; the energy does not. Behler and Parrinello therefore fed the network symmetry functions, fixed scalar functions of the neighbourhood invariant under translation, rotation and permutation of identical atoms. A radial one has the form </w:t>
      </w:r>
      <m:oMath>
        <m:sSub>
          <m:e>
            <m:r>
              <m:t>G</m:t>
            </m:r>
          </m:e>
          <m:sub>
            <m:r>
              <m:t>i</m:t>
            </m:r>
          </m:sub>
        </m:sSub>
        <m:r>
          <m:t>=</m:t>
        </m:r>
        <m:nary>
          <m:naryPr>
            <m:chr m:val="∑"/>
            <m:limLoc m:val="subSup"/>
            <m:grow m:val="1"/>
            <m:subHide m:val="off"/>
            <m:supHide m:val="on"/>
          </m:naryPr>
          <m:sub>
            <m:r>
              <m:t>j≠i</m:t>
            </m:r>
          </m:sub>
          <m:sup/>
          <m:e>
            <m:sSup>
              <m:e>
                <m:r>
                  <m:t>e</m:t>
                </m:r>
              </m:e>
              <m:sup>
                <m:r>
                  <m:t>−η(</m:t>
                </m:r>
                <m:sSub>
                  <m:e>
                    <m:r>
                      <m:t>r</m:t>
                    </m:r>
                  </m:e>
                  <m:sub>
                    <m:r>
                      <m:t>ij</m:t>
                    </m:r>
                  </m:sub>
                </m:sSub>
                <m:r>
                  <m:t>−</m:t>
                </m:r>
                <m:sSub>
                  <m:e>
                    <m:r>
                      <m:t>r</m:t>
                    </m:r>
                  </m:e>
                  <m:sub>
                    <m:r>
                      <m:t>s</m:t>
                    </m:r>
                  </m:sub>
                </m:sSub>
                <m:sSup>
                  <m:e>
                    <m:r>
                      <m:t>)</m:t>
                    </m:r>
                  </m:e>
                  <m:sup>
                    <m:r>
                      <m:t>2</m:t>
                    </m:r>
                  </m:sup>
                </m:sSup>
              </m:sup>
            </m:sSup>
          </m:e>
        </m:nary>
        <m:sSub>
          <m:e>
            <m:r>
              <m:t>f</m:t>
            </m:r>
          </m:e>
          <m:sub>
            <m:r>
              <m:t>c</m:t>
            </m:r>
          </m:sub>
        </m:sSub>
        <m:r>
          <m:t>(</m:t>
        </m:r>
        <m:sSub>
          <m:e>
            <m:r>
              <m:t>r</m:t>
            </m:r>
          </m:e>
          <m:sub>
            <m:r>
              <m:t>ij</m:t>
            </m:r>
          </m:sub>
        </m:sSub>
        <m:r>
          <m:t>)</m:t>
        </m:r>
      </m:oMath>
      <w:r>
        <w:rPr>
          <w:i w:val="0"/>
        </w:rPr>
        <w:t xml:space="preserve">, a sum over neighbours of a Gaussian window centred at distance </w:t>
      </w:r>
      <m:oMath>
        <m:sSub>
          <m:e>
            <m:r>
              <m:t>r</m:t>
            </m:r>
          </m:e>
          <m:sub>
            <m:r>
              <m:t>s</m:t>
            </m:r>
          </m:sub>
        </m:sSub>
      </m:oMath>
      <w:r>
        <w:rPr>
          <w:i w:val="0"/>
        </w:rPr>
        <w:t xml:space="preserve">. Angular information requires a function of neighbour pairs, and the form that became standard in the symmetry-function literature that followed is </w:t>
      </w:r>
      <m:oMath>
        <m:sSub>
          <m:e>
            <m:r>
              <m:t>G</m:t>
            </m:r>
          </m:e>
          <m:sub>
            <m:r>
              <m:t>i</m:t>
            </m:r>
          </m:sub>
        </m:sSub>
        <m:r>
          <m:t>=</m:t>
        </m:r>
        <m:sSup>
          <m:e>
            <m:r>
              <m:t>2</m:t>
            </m:r>
          </m:e>
          <m:sup>
            <m:r>
              <m:t>1−ζ</m:t>
            </m:r>
          </m:sup>
        </m:sSup>
        <m:nary>
          <m:naryPr>
            <m:chr m:val="∑"/>
            <m:limLoc m:val="subSup"/>
            <m:grow m:val="1"/>
            <m:subHide m:val="off"/>
            <m:supHide m:val="on"/>
          </m:naryPr>
          <m:sub>
            <m:r>
              <m:t>j,k≠i</m:t>
            </m:r>
          </m:sub>
          <m:sup/>
          <m:e>
            <m:r>
              <m:t>(1+λ</m:t>
            </m:r>
            <m:r>
              <m:rPr>
                <m:sty m:val="p"/>
              </m:rPr>
              <m:t>cos</m:t>
            </m:r>
          </m:e>
        </m:nary>
        <m:sSub>
          <m:e>
            <m:r>
              <m:t>θ</m:t>
            </m:r>
          </m:e>
          <m:sub>
            <m:r>
              <m:t>ijk</m:t>
            </m:r>
          </m:sub>
        </m:sSub>
        <m:sSup>
          <m:e>
            <m:r>
              <m:t>)</m:t>
            </m:r>
          </m:e>
          <m:sup>
            <m:r>
              <m:t>ζ</m:t>
            </m:r>
          </m:sup>
        </m:sSup>
        <m:sSup>
          <m:e>
            <m:r>
              <m:t>e</m:t>
            </m:r>
          </m:e>
          <m:sup>
            <m:r>
              <m:t>−η(</m:t>
            </m:r>
            <m:sSubSup>
              <m:e>
                <m:r>
                  <m:t>r</m:t>
                </m:r>
              </m:e>
              <m:sub>
                <m:r>
                  <m:t>ij</m:t>
                </m:r>
              </m:sub>
              <m:sup>
                <m:r>
                  <m:t>2</m:t>
                </m:r>
              </m:sup>
            </m:sSubSup>
            <m:r>
              <m:t>+</m:t>
            </m:r>
            <m:sSubSup>
              <m:e>
                <m:r>
                  <m:t>r</m:t>
                </m:r>
              </m:e>
              <m:sub>
                <m:r>
                  <m:t>ik</m:t>
                </m:r>
              </m:sub>
              <m:sup>
                <m:r>
                  <m:t>2</m:t>
                </m:r>
              </m:sup>
            </m:sSubSup>
            <m:r>
              <m:t>+</m:t>
            </m:r>
            <m:sSubSup>
              <m:e>
                <m:r>
                  <m:t>r</m:t>
                </m:r>
              </m:e>
              <m:sub>
                <m:r>
                  <m:t>jk</m:t>
                </m:r>
              </m:sub>
              <m:sup>
                <m:r>
                  <m:t>2</m:t>
                </m:r>
              </m:sup>
            </m:sSubSup>
            <m:r>
              <m:t>)</m:t>
            </m:r>
          </m:sup>
        </m:sSup>
        <m:sSub>
          <m:e>
            <m:r>
              <m:t>f</m:t>
            </m:r>
          </m:e>
          <m:sub>
            <m:r>
              <m:t>c</m:t>
            </m:r>
          </m:sub>
        </m:sSub>
        <m:sSub>
          <m:e>
            <m:r>
              <m:t>f</m:t>
            </m:r>
          </m:e>
          <m:sub>
            <m:r>
              <m:t>c</m:t>
            </m:r>
          </m:sub>
        </m:sSub>
        <m:sSub>
          <m:e>
            <m:r>
              <m:t>f</m:t>
            </m:r>
          </m:e>
          <m:sub>
            <m:r>
              <m:t>c</m:t>
            </m:r>
          </m:sub>
        </m:sSub>
      </m:oMath>
      <w:r>
        <w:rPr>
          <w:i w:val="0"/>
        </w:rPr>
        <w:t xml:space="preserve">, a sum over neighbour pairs weighted by the angle they subtend at atom </w:t>
      </w:r>
      <m:oMath>
        <m:r>
          <m:t>i</m:t>
        </m:r>
      </m:oMath>
      <w:r>
        <w:rPr>
          <w:i w:val="0"/>
        </w:rPr>
        <w:t xml:space="preserve">. Summing over neighbours enforces permutational invariance; using only distances and angles enforces rotational and translational invariance; the cutoff </w:t>
      </w:r>
      <m:oMath>
        <m:sSub>
          <m:e>
            <m:r>
              <m:t>f</m:t>
            </m:r>
          </m:e>
          <m:sub>
            <m:r>
              <m:t>c</m:t>
            </m:r>
          </m:sub>
        </m:sSub>
      </m:oMath>
      <w:r>
        <w:rPr>
          <w:i w:val="0"/>
        </w:rPr>
        <w:t xml:space="preserve"> goes smoothly to zero at </w:t>
      </w:r>
      <m:oMath>
        <m:sSub>
          <m:e>
            <m:r>
              <m:t>r</m:t>
            </m:r>
          </m:e>
          <m:sub>
            <m:r>
              <m:t>c</m:t>
            </m:r>
          </m:sub>
        </m:sSub>
      </m:oMath>
      <w:r>
        <w:rPr>
          <w:i w:val="0"/>
        </w:rPr>
        <w:t xml:space="preserve"> so that atoms entering and leaving the sphere do not produce discontinuous forces. A set of such functions with different </w:t>
      </w:r>
      <m:oMath>
        <m:r>
          <m:t>η</m:t>
        </m:r>
      </m:oMath>
      <w:r>
        <w:rPr>
          <w:i w:val="0"/>
        </w:rPr>
        <w:t xml:space="preserve">, </w:t>
      </w:r>
      <m:oMath>
        <m:sSub>
          <m:e>
            <m:r>
              <m:t>r</m:t>
            </m:r>
          </m:e>
          <m:sub>
            <m:r>
              <m:t>s</m:t>
            </m:r>
          </m:sub>
        </m:sSub>
      </m:oMath>
      <w:r>
        <w:rPr>
          <w:i w:val="0"/>
        </w:rPr>
        <w:t xml:space="preserve">, </w:t>
      </w:r>
      <m:oMath>
        <m:r>
          <m:t>ζ</m:t>
        </m:r>
      </m:oMath>
      <w:r>
        <w:rPr>
          <w:i w:val="0"/>
        </w:rPr>
        <w:t xml:space="preserve"> and </w:t>
      </w:r>
      <m:oMath>
        <m:r>
          <m:t>λ</m:t>
        </m:r>
      </m:oMath>
      <w:r>
        <w:rPr>
          <w:i w:val="0"/>
        </w:rPr>
        <w:t xml:space="preserve"> fingerprints the local environment. Because the total energy is an analytic function of the coordinates, forces come from differentiating it, which makes the model conservative: energy is conserved in dynamics, as a model predicting forces directly cannot guarantee. Behler and Parrinello demonstrated the construction on bulk silicon at a cost several orders of magnitude below the density functional theory it reproduced.</w:t>
      </w:r>
    </w:p>
    <w:p>
      <w:r>
        <w:rPr>
          <w:i w:val="0"/>
        </w:rPr>
        <w:t>In 2010 Albert P. Bartók, Mike C. Payne, Risi Kondor and Gábor Csányi posed the same problem as regression of a different kind. Bartók and Payne were in the Cavendish Laboratory at Cambridge, Csányi in the Cambridge Engineering Laboratory, Kondor at the Center for the Mathematics of Information at the California Institute of Technology. Their Gaussian Approximation Potentials place a Gaussian process prior over the atomic energy function and condition it on quantum-mechanical data, so a new environment's prediction is a weighted sum of kernel similarities to environments in the training set,</w:t>
      </w:r>
    </w:p>
    <w:p>
      <w:pPr>
        <w:spacing w:before="200" w:after="200"/>
        <w:ind w:firstLine="0"/>
        <w:jc w:val="center"/>
        <w:contextualSpacing w:val="0"/>
      </w:pPr>
      <m:oMath>
        <m:sSub>
          <m:e>
            <m:r>
              <m:t>E</m:t>
            </m:r>
          </m:e>
          <m:sub>
            <m:r>
              <m:t>i</m:t>
            </m:r>
          </m:sub>
        </m:sSub>
        <m:r>
          <m:t>=</m:t>
        </m:r>
        <m:nary>
          <m:naryPr>
            <m:chr m:val="∑"/>
            <m:limLoc m:val="subSup"/>
            <m:grow m:val="1"/>
            <m:subHide m:val="off"/>
            <m:supHide m:val="on"/>
          </m:naryPr>
          <m:sub>
            <m:r>
              <m:t>s</m:t>
            </m:r>
          </m:sub>
          <m:sup/>
          <m:e>
            <m:sSub>
              <m:e>
                <m:r>
                  <m:t>α</m:t>
                </m:r>
              </m:e>
              <m:sub>
                <m:r>
                  <m:t>s</m:t>
                </m:r>
              </m:sub>
            </m:sSub>
          </m:e>
        </m:nary>
        <m:r>
          <m:t>K(</m:t>
        </m:r>
        <m:sSub>
          <m:e>
            <m:r>
              <m:rPr>
                <m:sty m:val="b"/>
              </m:rPr>
              <m:t>d</m:t>
            </m:r>
          </m:e>
          <m:sub>
            <m:r>
              <m:t>i</m:t>
            </m:r>
          </m:sub>
        </m:sSub>
        <m:r>
          <m:t>,</m:t>
        </m:r>
        <m:sSub>
          <m:e>
            <m:r>
              <m:rPr>
                <m:sty m:val="b"/>
              </m:rPr>
              <m:t>d</m:t>
            </m:r>
          </m:e>
          <m:sub>
            <m:r>
              <m:t>s</m:t>
            </m:r>
          </m:sub>
        </m:sSub>
        <m:r>
          <m:t>),</m:t>
        </m:r>
      </m:oMath>
    </w:p>
    <w:p>
      <w:r>
        <w:rPr>
          <w:i w:val="0"/>
        </w:rPr>
        <w:t xml:space="preserve">with </w:t>
      </w:r>
      <m:oMath>
        <m:r>
          <m:rPr>
            <m:sty m:val="b"/>
          </m:rPr>
          <m:t>d</m:t>
        </m:r>
      </m:oMath>
      <w:r>
        <w:rPr>
          <w:i w:val="0"/>
        </w:rPr>
        <w:t xml:space="preserve"> a rotationally invariant descriptor of the neighbour density and </w:t>
      </w:r>
      <m:oMath>
        <m:r>
          <m:rPr>
            <m:sty m:val="bi"/>
          </m:rPr>
          <m:t>α</m:t>
        </m:r>
      </m:oMath>
      <w:r>
        <w:rPr>
          <w:i w:val="0"/>
        </w:rPr>
        <w:t xml:space="preserve"> fixed by a linear solve against the training energies and forces. Two features matter here. Forces are derivatives of the energy and therefore linear functionals of it, so a Gaussian process on energies induces a joint process on energies and forces and both can be fitted at once; since one DFT calculation on </w:t>
      </w:r>
      <m:oMath>
        <m:r>
          <m:t>N</m:t>
        </m:r>
      </m:oMath>
      <w:r>
        <w:rPr>
          <w:i w:val="0"/>
        </w:rPr>
        <w:t xml:space="preserve"> atoms yields </w:t>
      </w:r>
      <m:oMath>
        <m:r>
          <m:t>3N</m:t>
        </m:r>
      </m:oMath>
      <w:r>
        <w:rPr>
          <w:i w:val="0"/>
        </w:rPr>
        <w:t xml:space="preserve"> force components against a single energy, force data dominate and training sets can be small. And the posterior carries a variance, an estimate of how far a new environment sits from anything the model has seen, which becomes the central issue at the end of this chapter. The 2010 paper carried the title this chapter borrows: the accuracy of quantum mechanics, without the electrons.</w:t>
      </w:r>
    </w:p>
    <w:p>
      <w:r>
        <w:rPr>
          <w:i w:val="0"/>
        </w:rPr>
        <w:t>Neither architecture is a model of bonding. Both are interpolators in a high-dimensional space of local environments, and the practical question is whether the space has been covered. Bartók, together with James Kermode, Noam Bernstein and Csányi, answered it for one element in 2018 with a general-purpose silicon potential that reproduces DFT reference results simultaneously for the crystalline, liquid and amorphous bulk phases and for point, line and planar defects. Simultaneity is the point: a potential describing the crystal but not the melt cannot be used for melting, since the free energy difference that drives melting is a difference between the two.</w:t>
      </w:r>
    </w:p>
    <w:p>
      <w:pPr>
        <w:pStyle w:val="BookSection"/>
      </w:pPr>
      <w:r>
        <w:t>Scale and symmetry</w:t>
      </w:r>
    </w:p>
    <w:p>
      <w:r>
        <w:rPr>
          <w:i w:val="0"/>
        </w:rPr>
        <w:t xml:space="preserve">Two developments then pushed in different directions on the same object. Linfeng Zhang, Jiequn Han, Han Wang, Roberto Car and Weinan E introduced Deep Potential Molecular Dynamics in 2018, a deep neural network many-body potential that keeps the atomic decomposition but reaches invariance differently. Rather than compressing the neighbourhood into scalar fingerprints, each network receives the neighbour coordinates themselves, written in a local frame constructed from selected neighbours of the central atom. The frame rotates with the environment, so rotating the whole system leaves the input numbers unchanged; only relative coordinates appear, so translations drop out; identical neighbours enter in a canonical order, so relabelling them changes nothing. Symmetry is thereby a property of the parameterization rather than something the network must learn from data, cost stays linear in system size, and the fitted model reproduces its ab initio training data essentially exactly. Linear scaling is the property that matters for what follows: the nucleation studies later in this chapter run cells of a hundred thousand atoms and more, and any cost growing faster than </w:t>
      </w:r>
      <m:oMath>
        <m:r>
          <m:t>N</m:t>
        </m:r>
      </m:oMath>
      <w:r>
        <w:rPr>
          <w:i w:val="0"/>
        </w:rPr>
        <w:t xml:space="preserve"> closes those sizes off however cheap a single atomic evaluation becomes.</w:t>
      </w:r>
    </w:p>
    <w:p>
      <w:r>
        <w:rPr>
          <w:i w:val="0"/>
        </w:rPr>
        <w:t xml:space="preserve">The other direction was data efficiency. Invariant descriptors throw information away: a scalar fingerprint records the shape of the environment but not its orientation, so a network built on invariants must relearn directional relationships at every layer. Simon Batzner, Albert Musaelian, Lixin Sun, Mario Geiger, Jonathan P. Mailoa, Mordechai Kornbluth, Nicola Molinari, Tess E. Smidt and Boris Kozinsky introduced NequIP in 2022, a graph neural network whose internal features are not invariant but equivariant: they are labelled by angular momentum and transform under rotation as the irreducible representations of </w:t>
      </w:r>
      <m:oMath>
        <m:r>
          <m:t>E(3)</m:t>
        </m:r>
      </m:oMath>
      <w:r>
        <w:rPr>
          <w:i w:val="0"/>
        </w:rPr>
        <w:t>, combining through tensor products with Clebsch-Gordan coefficients so that equivariance survives layer by layer. Only at the final readout is a scalar taken. The reported consequence was up to three orders of magnitude less training data at matched or better accuracy, which matters because every training point is a DFT calculation.</w:t>
      </w:r>
    </w:p>
    <w:p>
      <w:r>
        <w:rPr>
          <w:i w:val="0"/>
        </w:rPr>
        <w:t>Equivariant message passing has a cost: each step enlarges the effective receptive field and requires communication between atoms, awkward when a simulation is spread over many processors. Albert Musaelian, Batzner, Anders Johansson, Sun, Cameron J. Owen, Kornbluth and Kozinsky answered this with Allegro in 2023, which keeps equivariant features but is strictly local: many-body correlations are built by iterating tensor products of learned equivariant features on a single atom-pair basis, with no atom-centred message passing, so the model parallelizes and very large systems become accessible.</w:t>
      </w:r>
    </w:p>
    <w:p>
      <w:r>
        <w:rPr>
          <w:i w:val="0"/>
        </w:rPr>
        <w:t>Ilyes Batatia, Dávid Péter Kovács, Gregor N. C. Simm, Christoph Ortner and Csányi attacked the same limitation from the other side in 2022 with MACE. A conventional message-passing layer aggregates pairwise messages, so a single layer encodes only two-body information and higher body order has to be reached by stacking layers. MACE forms products of the aggregated features within a layer, so each message carries a chosen body order directly and higher correlations are reached inside a layer rather than by adding more of them. The result is accuracy at smaller depth, and therefore faster inference.</w:t>
      </w:r>
    </w:p>
    <w:p>
      <w:r>
        <w:rPr>
          <w:i w:val="0"/>
        </w:rPr>
        <w:t>That efficiency underwrote a change in how potentials are obtained. Batatia and a large collaboration released MACE-MP-0, a single general-purpose model trained on the Materials Project Trajectory dataset, roughly 1.6 million DFT structures drawn from about 146,000 inorganic materials, which runs stable molecular dynamics across solids, liquids, gases, chemical reactions and interfaces without system-specific fitting, and can be fine-tuned on a handful of application-specific points to reach ab initio accuracy. A practitioner who in 2012 would have spent months assembling a training set for one compound now downloads a model.</w:t>
      </w:r>
    </w:p>
    <w:p>
      <w:pPr>
        <w:pStyle w:val="BookSection"/>
      </w:pPr>
      <w:r>
        <w:t>Sampling a transition that will not happen on its own</w:t>
      </w:r>
    </w:p>
    <w:p>
      <w:r>
        <w:rPr>
          <w:i w:val="0"/>
        </w:rPr>
        <w:t xml:space="preserve">An accurate, cheap, linear-scaling potential is necessary and not sufficient. A first-order transition in an unbiased simulation of a metastable phase is a rare event: the system waits at the bottom of a free-energy basin for a time growing exponentially in </w:t>
      </w:r>
      <m:oMath>
        <m:r>
          <m:t>Δ</m:t>
        </m:r>
        <m:sSup>
          <m:e>
            <m:r>
              <m:t>G</m:t>
            </m:r>
          </m:e>
          <m:sup>
            <m:r>
              <m:t>*</m:t>
            </m:r>
          </m:sup>
        </m:sSup>
        <m:r>
          <m:t>/</m:t>
        </m:r>
        <m:sSub>
          <m:e>
            <m:r>
              <m:t>k</m:t>
            </m:r>
          </m:e>
          <m:sub>
            <m:r>
              <m:t>B</m:t>
            </m:r>
          </m:sub>
        </m:sSub>
        <m:r>
          <m:t>T</m:t>
        </m:r>
      </m:oMath>
      <w:r>
        <w:rPr>
          <w:i w:val="0"/>
        </w:rPr>
        <w:t>, and at the barrier heights quoted above it will not cross during any affordable trajectory.</w:t>
      </w:r>
    </w:p>
    <w:p>
      <w:r>
        <w:rPr>
          <w:i w:val="0"/>
        </w:rPr>
        <w:t xml:space="preserve">The standard remedy is history-dependent biasing. Alessandro Laio and Michele Parrinello introduced metadynamics in 2002, in which a bias potential is built during the run by depositing Gaussians at the current value of a chosen collective variable </w:t>
      </w:r>
      <m:oMath>
        <m:r>
          <m:t>s</m:t>
        </m:r>
      </m:oMath>
      <w:r>
        <w:rPr>
          <w:i w:val="0"/>
        </w:rPr>
        <w:t>,</w:t>
      </w:r>
    </w:p>
    <w:p>
      <w:pPr>
        <w:spacing w:before="200" w:after="200"/>
        <w:ind w:firstLine="0"/>
        <w:jc w:val="center"/>
        <w:contextualSpacing w:val="0"/>
      </w:pPr>
      <m:oMath>
        <m:r>
          <m:t>V(s,t)=</m:t>
        </m:r>
        <m:nary>
          <m:naryPr>
            <m:chr m:val="∑"/>
            <m:limLoc m:val="subSup"/>
            <m:grow m:val="1"/>
            <m:subHide m:val="off"/>
            <m:supHide m:val="on"/>
          </m:naryPr>
          <m:sub>
            <m:sSup>
              <m:e>
                <m:r>
                  <m:t>t</m:t>
                </m:r>
              </m:e>
              <m:sup>
                <m:r>
                  <m:t>′</m:t>
                </m:r>
              </m:sup>
            </m:sSup>
            <m:r>
              <m:t>&lt;t</m:t>
            </m:r>
          </m:sub>
          <m:sup/>
          <m:e>
            <m:r>
              <m:t>W</m:t>
            </m:r>
            <m:r>
              <m:rPr>
                <m:sty m:val="p"/>
              </m:rPr>
              <m:t>exp</m:t>
            </m:r>
          </m:e>
        </m:nary>
        <m:d>
          <m:dPr>
            <m:sepChr m:val="−"/>
          </m:dPr>
          <m:e/>
          <m:e>
            <m:f>
              <m:fPr>
                <m:type m:val="bar"/>
              </m:fPr>
              <m:num>
                <m:sSup>
                  <m:e>
                    <m:d>
                      <m:dPr>
                        <m:sepChr m:val=""/>
                      </m:dPr>
                      <m:e>
                        <m:sSup>
                          <m:e>
                            <m:r>
                              <m:t>t</m:t>
                            </m:r>
                          </m:e>
                          <m:sup>
                            <m:r>
                              <m:t>′</m:t>
                            </m:r>
                          </m:sup>
                        </m:sSup>
                        <m:r>
                          <m:t>)</m:t>
                        </m:r>
                      </m:e>
                    </m:d>
                  </m:e>
                  <m:sup>
                    <m:r>
                      <m:t>2</m:t>
                    </m:r>
                  </m:sup>
                </m:sSup>
              </m:num>
              <m:den>
                <m:r>
                  <m:t>2</m:t>
                </m:r>
                <m:sSup>
                  <m:e>
                    <m:r>
                      <m:t>σ</m:t>
                    </m:r>
                  </m:e>
                  <m:sup>
                    <m:r>
                      <m:t>2</m:t>
                    </m:r>
                  </m:sup>
                </m:sSup>
              </m:den>
            </m:f>
          </m:e>
        </m:d>
        <m:r>
          <m:t>.</m:t>
        </m:r>
      </m:oMath>
    </w:p>
    <w:p>
      <w:r>
        <w:rPr>
          <w:i w:val="0"/>
        </w:rPr>
        <w:t xml:space="preserve">Regions already visited are filled in, the system is pushed out of its starting basin, and in the long-time limit the accumulated bias approaches </w:t>
      </w:r>
      <m:oMath>
        <m:r>
          <m:t>−F(s)</m:t>
        </m:r>
      </m:oMath>
      <w:r>
        <w:rPr>
          <w:i w:val="0"/>
        </w:rPr>
        <w:t xml:space="preserve"> up to a constant, so the free-energy profile is a by-product of the escape. The unbounded version does not converge; it keeps depositing bias and the estimate diffuses. Alessandro Barducci, Giovanni Bussi and Parrinello fixed this in 2008 with well-tempered metadynamics, rescaling the deposition height by </w:t>
      </w:r>
      <m:oMath>
        <m:r>
          <m:rPr>
            <m:sty m:val="p"/>
          </m:rPr>
          <m:t>exp</m:t>
        </m:r>
        <m:r>
          <m:t>(−V(s,t)/</m:t>
        </m:r>
        <m:sSub>
          <m:e>
            <m:r>
              <m:t>k</m:t>
            </m:r>
          </m:e>
          <m:sub>
            <m:r>
              <m:t>B</m:t>
            </m:r>
          </m:sub>
        </m:sSub>
        <m:r>
          <m:t>ΔT)</m:t>
        </m:r>
      </m:oMath>
      <w:r>
        <w:rPr>
          <w:i w:val="0"/>
        </w:rPr>
        <w:t xml:space="preserve"> so that filling slows where bias has accumulated and the bias converges smoothly to </w:t>
      </w:r>
      <m:oMath>
        <m:r>
          <m:t>−</m:t>
        </m:r>
        <m:f>
          <m:fPr>
            <m:type m:val="bar"/>
          </m:fPr>
          <m:num>
            <m:r>
              <m:t>ΔT</m:t>
            </m:r>
          </m:num>
          <m:den>
            <m:r>
              <m:t>T+ΔT</m:t>
            </m:r>
          </m:den>
        </m:f>
        <m:r>
          <m:t>F(s)</m:t>
        </m:r>
      </m:oMath>
      <w:r>
        <w:rPr>
          <w:i w:val="0"/>
        </w:rPr>
        <w:t>, a tunable fraction of the free energy. Michele Invernizzi and Parrinello later recast the same idea in terms of the probability distribution being targeted rather than the bias applied, in the on-the-fly probability enhanced sampling method of 2020; Invernizzi, Pablo M. Piaggi and Parrinello then gave a unified treatment covering collective-variable biasing and expanded-ensemble methods such as replica exchange within one framework, implemented by adapting that iterative scheme.</w:t>
      </w:r>
    </w:p>
    <w:p>
      <w:r>
        <w:rPr>
          <w:i w:val="0"/>
        </w:rPr>
        <w:t>All of this presupposes a collective variable that distinguishes the phases and, more demandingly, resolves the intermediate configurations along the path. Local bond-order parameters do this for simple crystals and fail for glass formers and molecular crystals. Piaggi, Omar Valsson and Parrinello proposed in 2017 that fluctuations of entropy and enthalpy, estimated from the pair correlation function and the potential energy, serve as a general pair of variables for freezing, since the phases differ in both whatever the symmetry of the crystal. Piaggi and Parrinello also removed the need to repeat the procedure at every state point, deriving multithermal-multibaric simulation from a variational principle in 2019: one biased run samples uniformly in energy and volume across a region of the temperature-pressure plane, and reweighting recovers static properties and phase boundaries throughout it at once.</w:t>
      </w:r>
    </w:p>
    <w:p>
      <w:pPr>
        <w:pStyle w:val="BookSection"/>
      </w:pPr>
      <w:r>
        <w:t>Phase diagrams computed rather than fitted</w:t>
      </w:r>
    </w:p>
    <w:p>
      <w:r>
        <w:rPr>
          <w:i w:val="0"/>
        </w:rPr>
        <w:t>The combination produced results out of reach a decade earlier. Bingqing Cheng, Edgar A. Engel, Jörg Behler, Christoph Dellago and Michele Ceriotti computed the ab initio thermodynamics of liquid water and ice in 2019, obtaining melting properties and the relative stability of the two phases with nuclear quantum effects included. Linfeng Zhang, Han Wang, Car and E mapped the phase diagram of a Deep Potential water model trained on the SCAN functional in 2021, up to roughly 2400 K and 50 GPa, recovering the molecular and ionic fluids and every stable ice polymorph, ordered and disordered, except ices III and XV, stable in experiment but only metastable in the model. That exception is the informative part: the residual error is not in the sampling but in the functional the model reproduces. Aleks Reinhardt and Cheng made the same point from the other side in 2021, computing the phase diagram at three hybrid density-functional levels and finding qualitative agreement with experiment, best below roughly 8000 bar. Sigbjørn Løland Bore and Francesco Paesani reached close agreement with the experimental stability fields of the ice polymorphs in 2023 with the MB-pol data-driven many-body potential and enhanced sampling.</w:t>
      </w:r>
    </w:p>
    <w:p>
      <w:r>
        <w:rPr>
          <w:i w:val="0"/>
        </w:rPr>
        <w:t>At finer resolution, Piaggi, Athanassios Z. Panagiotopoulos, Pablo G. Debenedetti and Car determined in 2021 the equilibrium between liquid water and both hexagonal ice Ih and cubic ice Ic with a SCAN-trained potential, quantifying the small free-energy difference between the two polymorphs. That is the meV-scale discrimination the opening estimate demanded, and it decides which structure a nucleus adopts. Piaggi, Jack Weis, Panagiotopoulos, Debenedetti and Car then computed homogeneous ice nucleation rates at atmospheric pressure across a broad range of supercoolings in 2022 by seeding, in which a crystalline cluster is inserted into the melt and the size at which it neither grows nor shrinks identifies the critical nucleus, so the rate follows from classical nucleation theory, in systems of up to hundreds of thousands of atoms at ab initio accuracy.</w:t>
      </w:r>
    </w:p>
    <w:p>
      <w:r>
        <w:rPr>
          <w:i w:val="0"/>
        </w:rPr>
        <w:t>The same machinery reached the metastable region where water is most contested. Pablo G. Debenedetti, Francesco Sciortino and Gül H. Zerze presented computational evidence in 2020 for a second, liquid-liquid critical point in deeply supercooled water in the TIP4P/2005 and TIP4P/Ice empirical models, with critical behaviour consistent with the three-dimensional Ising universality class. In the same year Thomas E. Gartner III, Linfeng Zhang, Piaggi, Car, Panagiotopoulos and Debenedetti found signatures of the same transition, coexisting high-density and low-density liquids, in a deep neural network model trained on SCAN data rather than fitted to experiment. That does not confirm the empirical models; it removes one class of objection to them.</w:t>
      </w:r>
    </w:p>
    <w:p>
      <w:r>
        <w:rPr>
          <w:i w:val="0"/>
        </w:rPr>
        <w:t xml:space="preserve">Beyond water, Bonati and Parrinello drove silicon crystallization in 2018 with a deep potential trained on SCAN data, seeded by metadynamics sampling with a classical potential and biased along a collective variable derived from the Debye structure factor, recovering the free-energy surface at DFT accuracy in a material whose liquid is metallic and whose solid is semiconducting, a contrast no fixed-form potential handles gracefully. Haiyang Niu, Bonati, Piaggi and Parrinello computed the ab initio phase diagram of gallium in 2020 from a potential trained on data drawn from multithermal-multibaric simulations, reproducing the equilibria among liquid Ga, </w:t>
      </w:r>
      <m:oMath>
        <m:r>
          <m:t>α</m:t>
        </m:r>
      </m:oMath>
      <w:r>
        <w:rPr>
          <w:i w:val="0"/>
        </w:rPr>
        <w:t xml:space="preserve">-Ga, </w:t>
      </w:r>
      <m:oMath>
        <m:r>
          <m:t>β</m:t>
        </m:r>
      </m:oMath>
      <w:r>
        <w:rPr>
          <w:i w:val="0"/>
        </w:rPr>
        <w:t xml:space="preserve">-Ga and Ga-II, and found the metastable </w:t>
      </w:r>
      <m:oMath>
        <m:r>
          <m:t>β</m:t>
        </m:r>
      </m:oMath>
      <w:r>
        <w:rPr>
          <w:i w:val="0"/>
        </w:rPr>
        <w:t xml:space="preserve"> phase kinetically favoured over the thermodynamically stable </w:t>
      </w:r>
      <m:oMath>
        <m:r>
          <m:t>α</m:t>
        </m:r>
      </m:oMath>
      <w:r>
        <w:rPr>
          <w:i w:val="0"/>
        </w:rPr>
        <w:t xml:space="preserve"> phase. That is Ostwald's step rule, the rule that the phase appearing first need not be the one lowest in free energy, here obtained from computed nucleation barriers rather than from the observed order of appearance. Niu, Piaggi, Invernizzi and Parrinello resolved the crystallization pathway of liquid silica in 2018, a network-forming glass former where bond-order variables are unhelpful.</w:t>
      </w:r>
    </w:p>
    <w:p>
      <w:r>
        <w:rPr>
          <w:i w:val="0"/>
        </w:rPr>
        <w:t>Phase-change memory materials were among the earliest targets. Gabriele C. Sosso, Giacomo Miceli, Sebastiano Caravati, Behler and Marco Bernasconi built a neural network potential for GeTe in 2012 on the Behler-Parrinello architecture, reproducing liquid, crystalline and amorphous phases at DFT quality, and used it in 2013, with Federico Giberti, to run large-scale molecular dynamics quantifying the fast crystal growth that makes the technology work. The 2024 Ge</w:t>
      </w:r>
      <m:oMath>
        <m:sSub>
          <m:e>
            <m:r>
              <m:t/>
            </m:r>
          </m:e>
          <m:sub>
            <m:r>
              <m:t>2</m:t>
            </m:r>
          </m:sub>
        </m:sSub>
      </m:oMath>
      <w:r>
        <w:rPr>
          <w:i w:val="0"/>
        </w:rPr>
        <w:t>Sb</w:t>
      </w:r>
      <m:oMath>
        <m:sSub>
          <m:e>
            <m:r>
              <m:t/>
            </m:r>
          </m:e>
          <m:sub>
            <m:r>
              <m:t>2</m:t>
            </m:r>
          </m:sub>
        </m:sSub>
      </m:oMath>
      <w:r>
        <w:rPr>
          <w:i w:val="0"/>
        </w:rPr>
        <w:t>Te</w:t>
      </w:r>
      <m:oMath>
        <m:sSub>
          <m:e>
            <m:r>
              <m:t/>
            </m:r>
          </m:e>
          <m:sub>
            <m:r>
              <m:t>5</m:t>
            </m:r>
          </m:sub>
        </m:sSub>
      </m:oMath>
      <w:r>
        <w:rPr>
          <w:i w:val="0"/>
        </w:rPr>
        <w:t xml:space="preserve"> study that opened this chapter is the same programme at the composition industry actually uses. Volker L. Deringer, Bernstein, Csányi, Chiheb Ben Mahmoud, Ceriotti, Mark Wilson, David A. Drabold and Stephen R. Elliott simulated transitions between disordered phases of silicon in 2021, predicting their electronic fingerprints and finding that pressure-induced crystallization of amorphous silicon proceeds in three stages. Cheng, Guglielmo Mazzola, Chris J. Pickard and Ceriotti reported in 2020 that the molecular-to-atomic transition in high-pressure liquid hydrogen is supercritical over the range studied rather than a sharp first-order liquid-liquid transition, a case where the potential was used to argue that a long-sought transition is not there.</w:t>
      </w:r>
    </w:p>
    <w:p>
      <w:pPr>
        <w:pStyle w:val="BookSection"/>
      </w:pPr>
      <w:r>
        <w:t>The configurations nobody sampled</w:t>
      </w:r>
    </w:p>
    <w:p>
      <w:r>
        <w:rPr>
          <w:i w:val="0"/>
        </w:rPr>
        <w:t>Every result above rests on an interpolation whose validity is asserted rather than proved. The training sets are assembled from configurations someone could generate: crystals at various strains, liquids at various densities, defects, amorphous structures quenched at accessible rates. A critical nucleus is none of these. It is a small ordered cluster wrapped in a disordered shell, an environment occupying a vanishingly small fraction of equilibrium phase space in either phase, which no equilibrium sampling scheme will produce in quantity. The barrier is the object of interest precisely because the system almost never visits it, and that is the same reason the training set almost never contains it.</w:t>
      </w:r>
    </w:p>
    <w:p>
      <w:r>
        <w:rPr>
          <w:i w:val="0"/>
        </w:rPr>
        <w:t>The seeding and biasing methods make this worse before they make it better. Biasing pushes the system into exactly the configurations the unbiased ensemble suppresses, which is to say into the region where the potential is least constrained by data. The transferability the general-purpose models demonstrate across phases is evidence about the phases, not about the interface between them, and that interfacial free energy enters the barrier cubed. Bartók, Kermode, Bernstein and Csányi could check their silicon potential against DFT for crystal, liquid, amorphous and defect configurations because those can all be computed directly, which is why that paper is the counterexample rather than an instance of the problem.</w:t>
      </w:r>
    </w:p>
    <w:p>
      <w:r>
        <w:rPr>
          <w:i w:val="0"/>
        </w:rPr>
        <w:t>The instances can be named. The ice nucleation rates of Piaggi, Weis, Panagiotopoulos, Debenedetti and Car are read off seeded configurations, so the rate is fixed by the free energy of the surface of an inserted crystallite, an environment no equilibrium sampling of either bulk phase would have contributed to the training set. The silicon free-energy surface of Bonati and Parrinello and the silica crystallization pathway of Niu, Piaggi, Invernizzi and Parrinello are reconstructed from biased trajectories whose informative frames are, by construction, the improbable ones. The gallium result of Niu, Bonati, Piaggi and Parrinello compares two barriers, so it needs the model to rank two different interfaces correctly. None of this says the numbers are wrong. It says the reported barriers are properties of the model in the one region where the model was never checked against DFT.</w:t>
      </w:r>
    </w:p>
    <w:p>
      <w:r>
        <w:rPr>
          <w:i w:val="0"/>
        </w:rPr>
        <w:t>The Gaussian process posterior variance mentioned earlier is one handle, and committee disagreement among independently trained networks another, but both measure distance from the training distribution rather than error against the true Born-Oppenheimer surface, and a model can be confidently wrong where every member of the committee extrapolated the same way. What would settle it is tedious, not mysterious: take a few hundred configurations from the top of the computed barrier, cut each down to a periodic cell containing the cluster and its interfacial shell, recompute with the functional the potential was trained on, and report not the total-energy error but the error in the difference between those configurations and bulk configurations of the two phases, since that difference is what the barrier is made of. A few hundred single-point calculations is a day of machine time, against the hundred million steps the trajectory cost. The error cancellation on which the whole meV-scale enterprise rests has gone a decade unmeasured at the one place where it carries the weight, and it would be cheap to look.</w:t>
      </w:r>
    </w:p>
    <w:p>
      <w:pPr>
        <w:pStyle w:val="Heading1"/>
      </w:pPr>
      <w:r>
        <w:t>References</w:t>
      </w:r>
    </w:p>
    <w:p>
      <w:pPr>
        <w:spacing w:before="120" w:after="0"/>
        <w:ind w:firstLine="0"/>
      </w:pPr>
      <w:r>
        <w:rPr>
          <w:i w:val="0"/>
        </w:rPr>
        <w:t xml:space="preserve">Abou El Kheir, Bonati, Parrinello, Bernasconi (2024). Unraveling the crystallization kinetics of the Ge2Sb2Te5 phase change compound with a machine-learned interatomic potential. npj Computational Materials 10 (2024), article 33. </w:t>
      </w:r>
      <w:hyperlink r:id="rId63">
        <w:r>
          <w:rPr>
            <w:rStyle w:val="Hyperlink"/>
          </w:rPr>
          <w:t xml:space="preserve">https://doi.org/10.1038/s41524-024-01217-6</w:t>
        </w:r>
      </w:hyperlink>
    </w:p>
    <w:p>
      <w:pPr>
        <w:spacing w:before="120" w:after="0"/>
        <w:ind w:firstLine="0"/>
      </w:pPr>
      <w:r>
        <w:rPr>
          <w:i w:val="0"/>
        </w:rPr>
        <w:t xml:space="preserve">Barducci, Bussi, Parrinello (2008). Well-Tempered Metadynamics: A Smoothly Converging and Tunable Free-Energy Method. Physical Review Letters 100, 020603. </w:t>
      </w:r>
      <w:hyperlink r:id="rId64">
        <w:r>
          <w:rPr>
            <w:rStyle w:val="Hyperlink"/>
          </w:rPr>
          <w:t xml:space="preserve">https://doi.org/10.1103/PhysRevLett.100.020603</w:t>
        </w:r>
      </w:hyperlink>
    </w:p>
    <w:p>
      <w:pPr>
        <w:spacing w:before="120" w:after="0"/>
        <w:ind w:firstLine="0"/>
      </w:pPr>
      <w:r>
        <w:rPr>
          <w:i w:val="0"/>
        </w:rPr>
        <w:t xml:space="preserve">Bartók, Kermode, Bernstein, Csányi (2018). Machine Learning a General-Purpose Interatomic Potential for Silicon. Physical Review X 8, 041048. </w:t>
      </w:r>
      <w:hyperlink r:id="rId65">
        <w:r>
          <w:rPr>
            <w:rStyle w:val="Hyperlink"/>
          </w:rPr>
          <w:t xml:space="preserve">https://doi.org/10.1103/PhysRevX.8.041048</w:t>
        </w:r>
      </w:hyperlink>
    </w:p>
    <w:p>
      <w:pPr>
        <w:spacing w:before="120" w:after="0"/>
        <w:ind w:firstLine="0"/>
      </w:pPr>
      <w:r>
        <w:rPr>
          <w:i w:val="0"/>
        </w:rPr>
        <w:t xml:space="preserve">Bartók, Payne, Kondor, Csányi (2010). Gaussian Approximation Potentials: The Accuracy of Quantum Mechanics, without the Electrons. Physical Review Letters 104, 136403. </w:t>
      </w:r>
      <w:hyperlink r:id="rId66">
        <w:r>
          <w:rPr>
            <w:rStyle w:val="Hyperlink"/>
          </w:rPr>
          <w:t xml:space="preserve">https://doi.org/10.1103/PhysRevLett.104.136403</w:t>
        </w:r>
      </w:hyperlink>
    </w:p>
    <w:p>
      <w:pPr>
        <w:spacing w:before="120" w:after="0"/>
        <w:ind w:firstLine="0"/>
      </w:pPr>
      <w:r>
        <w:rPr>
          <w:i w:val="0"/>
        </w:rPr>
        <w:t xml:space="preserve">Batatia, Benner, Chiang, Elena, Kovács et al. (2025). A foundation model for atomistic materials chemistry. Journal of Chemical Physics 163(18), 184110. </w:t>
      </w:r>
      <w:hyperlink r:id="rId67">
        <w:r>
          <w:rPr>
            <w:rStyle w:val="Hyperlink"/>
          </w:rPr>
          <w:t xml:space="preserve">https://doi.org/10.1063/5.0297006</w:t>
        </w:r>
      </w:hyperlink>
    </w:p>
    <w:p>
      <w:pPr>
        <w:spacing w:before="120" w:after="0"/>
        <w:ind w:firstLine="0"/>
      </w:pPr>
      <w:r>
        <w:rPr>
          <w:i w:val="0"/>
        </w:rPr>
        <w:t xml:space="preserve">Batatia, Kovács, Simm, Ortner, Csányi (2022). MACE: Higher Order Equivariant Message Passing Neural Networks for Fast and Accurate Force Fields. Advances in Neural Information Processing Systems (NeurIPS) 2022; arXiv:2206.07697. </w:t>
      </w:r>
      <w:hyperlink r:id="rId68">
        <w:r>
          <w:rPr>
            <w:rStyle w:val="Hyperlink"/>
          </w:rPr>
          <w:t xml:space="preserve">https://arxiv.org/abs/2206.07697</w:t>
        </w:r>
      </w:hyperlink>
    </w:p>
    <w:p>
      <w:pPr>
        <w:spacing w:before="120" w:after="0"/>
        <w:ind w:firstLine="0"/>
      </w:pPr>
      <w:r>
        <w:rPr>
          <w:i w:val="0"/>
        </w:rPr>
        <w:t xml:space="preserve">Batzner, Musaelian, Sun, Geiger, Mailoa, Kornbluth, Molinari, Smidt, Kozinsky (2022). E(3)-equivariant graph neural networks for data-efficient and accurate interatomic potentials. Nature Communications 13 (2022), article 2453. </w:t>
      </w:r>
      <w:hyperlink r:id="rId69">
        <w:r>
          <w:rPr>
            <w:rStyle w:val="Hyperlink"/>
          </w:rPr>
          <w:t xml:space="preserve">https://doi.org/10.1038/s41467-022-29939-5</w:t>
        </w:r>
      </w:hyperlink>
    </w:p>
    <w:p>
      <w:pPr>
        <w:spacing w:before="120" w:after="0"/>
        <w:ind w:firstLine="0"/>
      </w:pPr>
      <w:r>
        <w:rPr>
          <w:i w:val="0"/>
        </w:rPr>
        <w:t xml:space="preserve">Behler, Parrinello (2007). Generalized Neural-Network Representation of High-Dimensional Potential-Energy Surfaces. Physical Review Letters 98, 146401. </w:t>
      </w:r>
      <w:hyperlink r:id="rId70">
        <w:r>
          <w:rPr>
            <w:rStyle w:val="Hyperlink"/>
          </w:rPr>
          <w:t xml:space="preserve">https://doi.org/10.1103/PhysRevLett.98.146401</w:t>
        </w:r>
      </w:hyperlink>
    </w:p>
    <w:p>
      <w:pPr>
        <w:spacing w:before="120" w:after="0"/>
        <w:ind w:firstLine="0"/>
      </w:pPr>
      <w:r>
        <w:rPr>
          <w:i w:val="0"/>
        </w:rPr>
        <w:t xml:space="preserve">Bonati, Parrinello (2018). Silicon Liquid Structure and Crystal Nucleation from Ab Initio Deep Metadynamics. Physical Review Letters 121, 265701. </w:t>
      </w:r>
      <w:hyperlink r:id="rId71">
        <w:r>
          <w:rPr>
            <w:rStyle w:val="Hyperlink"/>
          </w:rPr>
          <w:t xml:space="preserve">https://doi.org/10.1103/PhysRevLett.121.265701</w:t>
        </w:r>
      </w:hyperlink>
    </w:p>
    <w:p>
      <w:pPr>
        <w:spacing w:before="120" w:after="0"/>
        <w:ind w:firstLine="0"/>
      </w:pPr>
      <w:r>
        <w:rPr>
          <w:i w:val="0"/>
        </w:rPr>
        <w:t xml:space="preserve">Bore, Paesani (2023). Realistic phase diagram of water from "first principles" data-driven quantum simulations. Nature Communications 14, 3349. </w:t>
      </w:r>
      <w:hyperlink r:id="rId72">
        <w:r>
          <w:rPr>
            <w:rStyle w:val="Hyperlink"/>
          </w:rPr>
          <w:t xml:space="preserve">https://doi.org/10.1038/s41467-023-38855-1</w:t>
        </w:r>
      </w:hyperlink>
    </w:p>
    <w:p>
      <w:pPr>
        <w:spacing w:before="120" w:after="0"/>
        <w:ind w:firstLine="0"/>
      </w:pPr>
      <w:r>
        <w:rPr>
          <w:i w:val="0"/>
        </w:rPr>
        <w:t xml:space="preserve">Cheng, Engel, Behler, Dellago, Ceriotti (2019). Ab initio thermodynamics of liquid and solid water. Proceedings of the National Academy of Sciences 116, 1110-1115. </w:t>
      </w:r>
      <w:hyperlink r:id="rId73">
        <w:r>
          <w:rPr>
            <w:rStyle w:val="Hyperlink"/>
          </w:rPr>
          <w:t xml:space="preserve">https://doi.org/10.1073/pnas.1815117116</w:t>
        </w:r>
      </w:hyperlink>
    </w:p>
    <w:p>
      <w:pPr>
        <w:spacing w:before="120" w:after="0"/>
        <w:ind w:firstLine="0"/>
      </w:pPr>
      <w:r>
        <w:rPr>
          <w:i w:val="0"/>
        </w:rPr>
        <w:t xml:space="preserve">Cheng, Mazzola, Pickard, Ceriotti (2020). Evidence for supercritical behaviour of high-pressure liquid hydrogen. Nature 585, 217-220. </w:t>
      </w:r>
      <w:hyperlink r:id="rId74">
        <w:r>
          <w:rPr>
            <w:rStyle w:val="Hyperlink"/>
          </w:rPr>
          <w:t xml:space="preserve">https://doi.org/10.1038/s41586-020-2677-y</w:t>
        </w:r>
      </w:hyperlink>
    </w:p>
    <w:p>
      <w:pPr>
        <w:spacing w:before="120" w:after="0"/>
        <w:ind w:firstLine="0"/>
      </w:pPr>
      <w:r>
        <w:rPr>
          <w:i w:val="0"/>
        </w:rPr>
        <w:t xml:space="preserve">Debenedetti, Sciortino, Zerze (2020). Second critical point in two realistic models of water. Science 369, 289-292. </w:t>
      </w:r>
      <w:hyperlink r:id="rId75">
        <w:r>
          <w:rPr>
            <w:rStyle w:val="Hyperlink"/>
          </w:rPr>
          <w:t xml:space="preserve">https://doi.org/10.1126/science.abb9796</w:t>
        </w:r>
      </w:hyperlink>
    </w:p>
    <w:p>
      <w:pPr>
        <w:spacing w:before="120" w:after="0"/>
        <w:ind w:firstLine="0"/>
      </w:pPr>
      <w:r>
        <w:rPr>
          <w:i w:val="0"/>
        </w:rPr>
        <w:t xml:space="preserve">Deringer, Bernstein, Csányi, Ben Mahmoud, Ceriotti, Wilson, Drabold, Elliott (2021). Origins of structural and electronic transitions in disordered silicon. Nature 589, 59-64. </w:t>
      </w:r>
      <w:hyperlink r:id="rId76">
        <w:r>
          <w:rPr>
            <w:rStyle w:val="Hyperlink"/>
          </w:rPr>
          <w:t xml:space="preserve">https://doi.org/10.1038/s41586-020-03072-z</w:t>
        </w:r>
      </w:hyperlink>
    </w:p>
    <w:p>
      <w:pPr>
        <w:spacing w:before="120" w:after="0"/>
        <w:ind w:firstLine="0"/>
      </w:pPr>
      <w:r>
        <w:rPr>
          <w:i w:val="0"/>
        </w:rPr>
        <w:t xml:space="preserve">Gartner, Zhang, Piaggi, Car, Panagiotopoulos, Debenedetti (2020). Signatures of a liquid-liquid transition in an ab initio deep neural network model for water. Proceedings of the National Academy of Sciences 117, 26040-26046. </w:t>
      </w:r>
      <w:hyperlink r:id="rId77">
        <w:r>
          <w:rPr>
            <w:rStyle w:val="Hyperlink"/>
          </w:rPr>
          <w:t xml:space="preserve">https://doi.org/10.1073/pnas.2015440117</w:t>
        </w:r>
      </w:hyperlink>
    </w:p>
    <w:p>
      <w:pPr>
        <w:spacing w:before="120" w:after="0"/>
        <w:ind w:firstLine="0"/>
      </w:pPr>
      <w:r>
        <w:rPr>
          <w:i w:val="0"/>
        </w:rPr>
        <w:t xml:space="preserve">Invernizzi, Parrinello (2020). Rethinking Metadynamics: From Bias Potentials to Probability Distributions. Journal of Physical Chemistry Letters 11, 2731-2736. </w:t>
      </w:r>
      <w:hyperlink r:id="rId78">
        <w:r>
          <w:rPr>
            <w:rStyle w:val="Hyperlink"/>
          </w:rPr>
          <w:t xml:space="preserve">https://doi.org/10.1021/acs.jpclett.0c00497</w:t>
        </w:r>
      </w:hyperlink>
    </w:p>
    <w:p>
      <w:pPr>
        <w:spacing w:before="120" w:after="0"/>
        <w:ind w:firstLine="0"/>
      </w:pPr>
      <w:r>
        <w:rPr>
          <w:i w:val="0"/>
        </w:rPr>
        <w:t xml:space="preserve">Invernizzi, Piaggi, Parrinello (2020). Unified Approach to Enhanced Sampling. Physical Review X 10, 041034. </w:t>
      </w:r>
      <w:hyperlink r:id="rId79">
        <w:r>
          <w:rPr>
            <w:rStyle w:val="Hyperlink"/>
          </w:rPr>
          <w:t xml:space="preserve">https://doi.org/10.1103/PhysRevX.10.041034</w:t>
        </w:r>
      </w:hyperlink>
    </w:p>
    <w:p>
      <w:pPr>
        <w:spacing w:before="120" w:after="0"/>
        <w:ind w:firstLine="0"/>
      </w:pPr>
      <w:r>
        <w:rPr>
          <w:i w:val="0"/>
        </w:rPr>
        <w:t xml:space="preserve">Laio, Parrinello (2002). Escaping free-energy minima. Proceedings of the National Academy of Sciences 99, 12562-12566. </w:t>
      </w:r>
      <w:hyperlink r:id="rId80">
        <w:r>
          <w:rPr>
            <w:rStyle w:val="Hyperlink"/>
          </w:rPr>
          <w:t xml:space="preserve">https://doi.org/10.1073/pnas.202427399</w:t>
        </w:r>
      </w:hyperlink>
    </w:p>
    <w:p>
      <w:pPr>
        <w:spacing w:before="120" w:after="0"/>
        <w:ind w:firstLine="0"/>
      </w:pPr>
      <w:r>
        <w:rPr>
          <w:i w:val="0"/>
        </w:rPr>
        <w:t xml:space="preserve">Musaelian, Batzner, Johansson, Sun, Owen, Kornbluth, Kozinsky (2023). Learning local equivariant representations for large-scale atomistic dynamics. Nature Communications 14, 579. </w:t>
      </w:r>
      <w:hyperlink r:id="rId81">
        <w:r>
          <w:rPr>
            <w:rStyle w:val="Hyperlink"/>
          </w:rPr>
          <w:t xml:space="preserve">https://doi.org/10.1038/s41467-023-36329-y</w:t>
        </w:r>
      </w:hyperlink>
    </w:p>
    <w:p>
      <w:pPr>
        <w:spacing w:before="120" w:after="0"/>
        <w:ind w:firstLine="0"/>
      </w:pPr>
      <w:r>
        <w:rPr>
          <w:i w:val="0"/>
        </w:rPr>
        <w:t xml:space="preserve">Niu, Bonati, Piaggi, Parrinello (2020). Ab initio phase diagram and nucleation of gallium. Nature Communications 11, 2654. </w:t>
      </w:r>
      <w:hyperlink r:id="rId82">
        <w:r>
          <w:rPr>
            <w:rStyle w:val="Hyperlink"/>
          </w:rPr>
          <w:t xml:space="preserve">https://doi.org/10.1038/s41467-020-16372-9</w:t>
        </w:r>
      </w:hyperlink>
    </w:p>
    <w:p>
      <w:pPr>
        <w:spacing w:before="120" w:after="0"/>
        <w:ind w:firstLine="0"/>
      </w:pPr>
      <w:r>
        <w:rPr>
          <w:i w:val="0"/>
        </w:rPr>
        <w:t xml:space="preserve">Niu, Piaggi, Invernizzi, Parrinello (2018). Molecular dynamics simulations of liquid silica crystallization. Proceedings of the National Academy of Sciences 115, 5348-5352. </w:t>
      </w:r>
      <w:hyperlink r:id="rId83">
        <w:r>
          <w:rPr>
            <w:rStyle w:val="Hyperlink"/>
          </w:rPr>
          <w:t xml:space="preserve">https://doi.org/10.1073/pnas.1803919115</w:t>
        </w:r>
      </w:hyperlink>
    </w:p>
    <w:p>
      <w:pPr>
        <w:spacing w:before="120" w:after="0"/>
        <w:ind w:firstLine="0"/>
      </w:pPr>
      <w:r>
        <w:rPr>
          <w:i w:val="0"/>
        </w:rPr>
        <w:t xml:space="preserve">Piaggi, Panagiotopoulos, Debenedetti, Car (2021). Phase Equilibrium of Water with Hexagonal and Cubic Ice Using the SCAN Functional. Journal of Chemical Theory and Computation 17, 3065-3077. </w:t>
      </w:r>
      <w:hyperlink r:id="rId84">
        <w:r>
          <w:rPr>
            <w:rStyle w:val="Hyperlink"/>
          </w:rPr>
          <w:t xml:space="preserve">https://doi.org/10.1021/acs.jctc.1c00041</w:t>
        </w:r>
      </w:hyperlink>
    </w:p>
    <w:p>
      <w:pPr>
        <w:spacing w:before="120" w:after="0"/>
        <w:ind w:firstLine="0"/>
      </w:pPr>
      <w:r>
        <w:rPr>
          <w:i w:val="0"/>
        </w:rPr>
        <w:t xml:space="preserve">Piaggi, Parrinello (2019). Multithermal-Multibaric Molecular Simulations from a Variational Principle. Physical Review Letters 122, 050601. </w:t>
      </w:r>
      <w:hyperlink r:id="rId85">
        <w:r>
          <w:rPr>
            <w:rStyle w:val="Hyperlink"/>
          </w:rPr>
          <w:t xml:space="preserve">https://doi.org/10.1103/PhysRevLett.122.050601</w:t>
        </w:r>
      </w:hyperlink>
    </w:p>
    <w:p>
      <w:pPr>
        <w:spacing w:before="120" w:after="0"/>
        <w:ind w:firstLine="0"/>
      </w:pPr>
      <w:r>
        <w:rPr>
          <w:i w:val="0"/>
        </w:rPr>
        <w:t xml:space="preserve">Piaggi, Valsson, Parrinello (2017). Enhancing Entropy and Enthalpy Fluctuations to Drive Crystallization in Atomistic Simulations. Physical Review Letters 119, 015701. </w:t>
      </w:r>
      <w:hyperlink r:id="rId86">
        <w:r>
          <w:rPr>
            <w:rStyle w:val="Hyperlink"/>
          </w:rPr>
          <w:t xml:space="preserve">https://doi.org/10.1103/PhysRevLett.119.015701</w:t>
        </w:r>
      </w:hyperlink>
    </w:p>
    <w:p>
      <w:pPr>
        <w:spacing w:before="120" w:after="0"/>
        <w:ind w:firstLine="0"/>
      </w:pPr>
      <w:r>
        <w:rPr>
          <w:i w:val="0"/>
        </w:rPr>
        <w:t xml:space="preserve">Piaggi, Weis, Panagiotopoulos, Debenedetti, Car (2022). Homogeneous ice nucleation in an ab initio machine-learning model of water. Proceedings of the National Academy of Sciences 119, e2207294119. </w:t>
      </w:r>
      <w:hyperlink r:id="rId87">
        <w:r>
          <w:rPr>
            <w:rStyle w:val="Hyperlink"/>
          </w:rPr>
          <w:t xml:space="preserve">https://doi.org/10.1073/pnas.2207294119</w:t>
        </w:r>
      </w:hyperlink>
    </w:p>
    <w:p>
      <w:pPr>
        <w:spacing w:before="120" w:after="0"/>
        <w:ind w:firstLine="0"/>
      </w:pPr>
      <w:r>
        <w:rPr>
          <w:i w:val="0"/>
        </w:rPr>
        <w:t xml:space="preserve">Reinhardt, Cheng (2021). Quantum-mechanical exploration of the phase diagram of water. Nature Communications 12, 588. </w:t>
      </w:r>
      <w:hyperlink r:id="rId88">
        <w:r>
          <w:rPr>
            <w:rStyle w:val="Hyperlink"/>
          </w:rPr>
          <w:t xml:space="preserve">https://doi.org/10.1038/s41467-020-20821-w</w:t>
        </w:r>
      </w:hyperlink>
    </w:p>
    <w:p>
      <w:pPr>
        <w:spacing w:before="120" w:after="0"/>
        <w:ind w:firstLine="0"/>
      </w:pPr>
      <w:r>
        <w:rPr>
          <w:i w:val="0"/>
        </w:rPr>
        <w:t xml:space="preserve">Sosso, Miceli, Caravati, Behler, Bernasconi (2012). Neural network interatomic potential for the phase change material GeTe. Physical Review B 85, 174103. </w:t>
      </w:r>
      <w:hyperlink r:id="rId89">
        <w:r>
          <w:rPr>
            <w:rStyle w:val="Hyperlink"/>
          </w:rPr>
          <w:t xml:space="preserve">https://doi.org/10.1103/PhysRevB.85.174103</w:t>
        </w:r>
      </w:hyperlink>
    </w:p>
    <w:p>
      <w:pPr>
        <w:spacing w:before="120" w:after="0"/>
        <w:ind w:firstLine="0"/>
      </w:pPr>
      <w:r>
        <w:rPr>
          <w:i w:val="0"/>
        </w:rPr>
        <w:t xml:space="preserve">Sosso, Miceli, Caravati, Giberti, Behler, Bernasconi (2013). Fast crystallization of the phase change compound GeTe by large-scale molecular dynamics simulations. The Journal of Physical Chemistry Letters 4, 4241-4246. </w:t>
      </w:r>
      <w:hyperlink r:id="rId90">
        <w:r>
          <w:rPr>
            <w:rStyle w:val="Hyperlink"/>
          </w:rPr>
          <w:t xml:space="preserve">https://doi.org/10.1021/jz402268v</w:t>
        </w:r>
      </w:hyperlink>
    </w:p>
    <w:p>
      <w:pPr>
        <w:spacing w:before="120" w:after="0"/>
        <w:ind w:firstLine="0"/>
      </w:pPr>
      <w:r>
        <w:rPr>
          <w:i w:val="0"/>
        </w:rPr>
        <w:t xml:space="preserve">Zhang, Han, Wang, Car, E (2018). Deep Potential Molecular Dynamics: A Scalable Model with the Accuracy of Quantum Mechanics. Physical Review Letters 120, 143001. </w:t>
      </w:r>
      <w:hyperlink r:id="rId91">
        <w:r>
          <w:rPr>
            <w:rStyle w:val="Hyperlink"/>
          </w:rPr>
          <w:t xml:space="preserve">https://arxiv.org/abs/1707.09571</w:t>
        </w:r>
      </w:hyperlink>
    </w:p>
    <w:p>
      <w:pPr>
        <w:spacing w:before="120" w:after="0"/>
        <w:ind w:firstLine="0"/>
      </w:pPr>
      <w:r>
        <w:rPr>
          <w:i w:val="0"/>
        </w:rPr>
        <w:t xml:space="preserve">Zhang, Wang, Car, E (2021). Phase Diagram of a Deep Potential Water Model. Physical Review Letters 126, 236001. </w:t>
      </w:r>
      <w:hyperlink r:id="rId92">
        <w:r>
          <w:rPr>
            <w:rStyle w:val="Hyperlink"/>
          </w:rPr>
          <w:t xml:space="preserve">https://doi.org/10.1103/PhysRevLett.126.236001</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doi.org/10.1038/s41524-024-01217-6" TargetMode="External"/><Relationship Id="rId64" Type="http://schemas.openxmlformats.org/officeDocument/2006/relationships/hyperlink" Target="https://doi.org/10.1103/PhysRevLett.100.020603" TargetMode="External"/><Relationship Id="rId65" Type="http://schemas.openxmlformats.org/officeDocument/2006/relationships/hyperlink" Target="https://doi.org/10.1103/PhysRevX.8.041048" TargetMode="External"/><Relationship Id="rId66" Type="http://schemas.openxmlformats.org/officeDocument/2006/relationships/hyperlink" Target="https://doi.org/10.1103/PhysRevLett.104.136403" TargetMode="External"/><Relationship Id="rId67" Type="http://schemas.openxmlformats.org/officeDocument/2006/relationships/hyperlink" Target="https://doi.org/10.1063/5.0297006" TargetMode="External"/><Relationship Id="rId68" Type="http://schemas.openxmlformats.org/officeDocument/2006/relationships/hyperlink" Target="https://arxiv.org/abs/2206.07697" TargetMode="External"/><Relationship Id="rId69" Type="http://schemas.openxmlformats.org/officeDocument/2006/relationships/hyperlink" Target="https://doi.org/10.1038/s41467-022-29939-5" TargetMode="External"/><Relationship Id="rId70" Type="http://schemas.openxmlformats.org/officeDocument/2006/relationships/hyperlink" Target="https://doi.org/10.1103/PhysRevLett.98.146401" TargetMode="External"/><Relationship Id="rId71" Type="http://schemas.openxmlformats.org/officeDocument/2006/relationships/hyperlink" Target="https://doi.org/10.1103/PhysRevLett.121.265701" TargetMode="External"/><Relationship Id="rId72" Type="http://schemas.openxmlformats.org/officeDocument/2006/relationships/hyperlink" Target="https://doi.org/10.1038/s41467-023-38855-1" TargetMode="External"/><Relationship Id="rId73" Type="http://schemas.openxmlformats.org/officeDocument/2006/relationships/hyperlink" Target="https://doi.org/10.1073/pnas.1815117116" TargetMode="External"/><Relationship Id="rId74" Type="http://schemas.openxmlformats.org/officeDocument/2006/relationships/hyperlink" Target="https://doi.org/10.1038/s41586-020-2677-y" TargetMode="External"/><Relationship Id="rId75" Type="http://schemas.openxmlformats.org/officeDocument/2006/relationships/hyperlink" Target="https://doi.org/10.1126/science.abb9796" TargetMode="External"/><Relationship Id="rId76" Type="http://schemas.openxmlformats.org/officeDocument/2006/relationships/hyperlink" Target="https://doi.org/10.1038/s41586-020-03072-z" TargetMode="External"/><Relationship Id="rId77" Type="http://schemas.openxmlformats.org/officeDocument/2006/relationships/hyperlink" Target="https://doi.org/10.1073/pnas.2015440117" TargetMode="External"/><Relationship Id="rId78" Type="http://schemas.openxmlformats.org/officeDocument/2006/relationships/hyperlink" Target="https://doi.org/10.1021/acs.jpclett.0c00497" TargetMode="External"/><Relationship Id="rId79" Type="http://schemas.openxmlformats.org/officeDocument/2006/relationships/hyperlink" Target="https://doi.org/10.1103/PhysRevX.10.041034" TargetMode="External"/><Relationship Id="rId80" Type="http://schemas.openxmlformats.org/officeDocument/2006/relationships/hyperlink" Target="https://doi.org/10.1073/pnas.202427399" TargetMode="External"/><Relationship Id="rId81" Type="http://schemas.openxmlformats.org/officeDocument/2006/relationships/hyperlink" Target="https://doi.org/10.1038/s41467-023-36329-y" TargetMode="External"/><Relationship Id="rId82" Type="http://schemas.openxmlformats.org/officeDocument/2006/relationships/hyperlink" Target="https://doi.org/10.1038/s41467-020-16372-9" TargetMode="External"/><Relationship Id="rId83" Type="http://schemas.openxmlformats.org/officeDocument/2006/relationships/hyperlink" Target="https://doi.org/10.1073/pnas.1803919115" TargetMode="External"/><Relationship Id="rId84" Type="http://schemas.openxmlformats.org/officeDocument/2006/relationships/hyperlink" Target="https://doi.org/10.1021/acs.jctc.1c00041" TargetMode="External"/><Relationship Id="rId85" Type="http://schemas.openxmlformats.org/officeDocument/2006/relationships/hyperlink" Target="https://doi.org/10.1103/PhysRevLett.122.050601" TargetMode="External"/><Relationship Id="rId86" Type="http://schemas.openxmlformats.org/officeDocument/2006/relationships/hyperlink" Target="https://doi.org/10.1103/PhysRevLett.119.015701" TargetMode="External"/><Relationship Id="rId87" Type="http://schemas.openxmlformats.org/officeDocument/2006/relationships/hyperlink" Target="https://doi.org/10.1073/pnas.2207294119" TargetMode="External"/><Relationship Id="rId88" Type="http://schemas.openxmlformats.org/officeDocument/2006/relationships/hyperlink" Target="https://doi.org/10.1038/s41467-020-20821-w" TargetMode="External"/><Relationship Id="rId89" Type="http://schemas.openxmlformats.org/officeDocument/2006/relationships/hyperlink" Target="https://doi.org/10.1103/PhysRevB.85.174103" TargetMode="External"/><Relationship Id="rId90" Type="http://schemas.openxmlformats.org/officeDocument/2006/relationships/hyperlink" Target="https://doi.org/10.1021/jz402268v" TargetMode="External"/><Relationship Id="rId91" Type="http://schemas.openxmlformats.org/officeDocument/2006/relationships/hyperlink" Target="https://arxiv.org/abs/1707.09571" TargetMode="External"/><Relationship Id="rId92" Type="http://schemas.openxmlformats.org/officeDocument/2006/relationships/hyperlink" Target="https://doi.org/10.1103/PhysRevLett.126.236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