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Chapter 11</w:t>
      </w:r>
    </w:p>
    <w:p>
      <w:pPr>
        <w:pStyle w:val="Heading1"/>
      </w:pPr>
      <w:r>
        <w:t>Crossing the Barrier</w:t>
      </w:r>
    </w:p>
    <w:p>
      <w:pPr>
        <w:pStyle w:val="BookSection"/>
      </w:pPr>
      <w:r>
        <w:t>The arithmetic of waiting</w:t>
      </w:r>
    </w:p>
    <w:p>
      <w:r>
        <w:rPr>
          <w:i w:val="0"/>
        </w:rPr>
        <w:t>A molecular dynamics integrator for a condensed-phase system takes a timestep of about one femtosecond, fixed by the fastest vibration present, usually a bond stretch involving hydrogen. A microsecond of simulated time is therefore a billion force evaluations. Chapters 9 and 10 established that those force evaluations can now be made at something close to density functional accuracy at a cost per step several orders of magnitude below the electronic structure calculation itself, following the atomic decomposition of the total energy introduced by Jörg Behler and Michele Parrinello in 2007 and the Gaussian process formulation of Albert P. Bartók, Mike C. Payne, Risi Kondor and Gábor Csányi in 2010.</w:t>
      </w:r>
    </w:p>
    <w:p>
      <w:r>
        <w:rPr>
          <w:i w:val="0"/>
        </w:rPr>
        <w:t xml:space="preserve">None of that progress touches the problem this chapter is about. Take the Arrhenius form for the rate of an activated process, </w:t>
      </w:r>
      <m:oMath>
        <m:r>
          <m:t>k=ν</m:t>
        </m:r>
        <m:r>
          <m:rPr>
            <m:sty m:val="p"/>
          </m:rPr>
          <m:t>exp</m:t>
        </m:r>
        <m:r>
          <m:t>(−βΔ</m:t>
        </m:r>
        <m:sSup>
          <m:e>
            <m:r>
              <m:t>F</m:t>
            </m:r>
          </m:e>
          <m:sup>
            <m:r>
              <m:t>‡</m:t>
            </m:r>
          </m:sup>
        </m:sSup>
        <m:r>
          <m:t>)</m:t>
        </m:r>
      </m:oMath>
      <w:r>
        <w:rPr>
          <w:i w:val="0"/>
        </w:rPr>
        <w:t xml:space="preserve">, with the prefactor </w:t>
      </w:r>
      <m:oMath>
        <m:r>
          <m:t>ν</m:t>
        </m:r>
      </m:oMath>
      <w:r>
        <w:rPr>
          <w:i w:val="0"/>
        </w:rPr>
        <w:t xml:space="preserve"> understood in the sense of Kramers' theory of escape over a barrier in a viscous medium. Put in a free energy barrier of </w:t>
      </w:r>
      <m:oMath>
        <m:r>
          <m:t>30</m:t>
        </m:r>
        <m:sSub>
          <m:e>
            <m:r>
              <m:t>k</m:t>
            </m:r>
          </m:e>
          <m:sub>
            <m:r>
              <m:t>B</m:t>
            </m:r>
          </m:sub>
        </m:sSub>
        <m:r>
          <m:t>T</m:t>
        </m:r>
      </m:oMath>
      <w:r>
        <w:rPr>
          <w:i w:val="0"/>
        </w:rPr>
        <w:t xml:space="preserve">, which is unremarkable for nucleation at modest supercooling, and an attempt frequency of </w:t>
      </w:r>
      <m:oMath>
        <m:sSup>
          <m:e>
            <m:r>
              <m:t>10</m:t>
            </m:r>
          </m:e>
          <m:sup>
            <m:r>
              <m:t>13</m:t>
            </m:r>
          </m:sup>
        </m:sSup>
        <m:sSup>
          <m:e>
            <m:r>
              <m:t>s</m:t>
            </m:r>
          </m:e>
          <m:sup>
            <m:r>
              <m:t>−1</m:t>
            </m:r>
          </m:sup>
        </m:sSup>
      </m:oMath>
      <w:r>
        <w:rPr>
          <w:i w:val="0"/>
        </w:rPr>
        <w:t xml:space="preserve">, which is roughly one vibrational period. The rate comes out near one per second. Expressed in femtosecond steps, the expected waiting time for a single crossing event is </w:t>
      </w:r>
      <m:oMath>
        <m:sSup>
          <m:e>
            <m:r>
              <m:t>10</m:t>
            </m:r>
          </m:e>
          <m:sup>
            <m:r>
              <m:t>15</m:t>
            </m:r>
          </m:sup>
        </m:sSup>
      </m:oMath>
      <w:r>
        <w:rPr>
          <w:i w:val="0"/>
        </w:rPr>
        <w:t xml:space="preserve"> integration steps, and the simulation would spend essentially all of them watching a liquid do nothing. Add ten more units of </w:t>
      </w:r>
      <m:oMath>
        <m:sSub>
          <m:e>
            <m:r>
              <m:t>k</m:t>
            </m:r>
          </m:e>
          <m:sub>
            <m:r>
              <m:t>B</m:t>
            </m:r>
          </m:sub>
        </m:sSub>
        <m:r>
          <m:t>T</m:t>
        </m:r>
      </m:oMath>
      <w:r>
        <w:rPr>
          <w:i w:val="0"/>
        </w:rPr>
        <w:t xml:space="preserve"> to the barrier and the waiting time grows by a further factor of </w:t>
      </w:r>
      <m:oMath>
        <m:r>
          <m:t>2×</m:t>
        </m:r>
        <m:sSup>
          <m:e>
            <m:r>
              <m:t>10</m:t>
            </m:r>
          </m:e>
          <m:sup>
            <m:r>
              <m:t>4</m:t>
            </m:r>
          </m:sup>
        </m:sSup>
      </m:oMath>
      <w:r>
        <w:rPr>
          <w:i w:val="0"/>
        </w:rPr>
        <w:t>.</w:t>
      </w:r>
    </w:p>
    <w:p>
      <w:r>
        <w:rPr>
          <w:i w:val="0"/>
        </w:rPr>
        <w:t>That is the structure of the difficulty. The cost of observing the transition grows exponentially in a quantity, the barrier height, which the person running the simulation does not control and frequently wants to measure. A cheaper force evaluation multiplies the reachable timescale by a constant. Cheapness is a prefactor and the obstruction is an exponential, so no amount of the first defeats the second. The only remaining move is to stop sampling the equilibrium distribution as it stands.</w:t>
      </w:r>
    </w:p>
    <w:p>
      <w:r>
        <w:rPr>
          <w:i w:val="0"/>
        </w:rPr>
        <w:t>Two families of methods make that move, and they differ in where they put the prior knowledge. The first changes the distribution being sampled, adding a bias potential along a small number of collective variables chosen in advance so that the barrier is flattened and crossings become frequent. The second changes the object being sampled, replacing configurations with whole trajectories and performing Monte Carlo in the space of paths, so that the dynamics inside each trajectory remain untouched. The claim this chapter defends is that both families work, that the second requires far less to be guessed in advance than the first, and that the first has a failure mode with no built-in alarm: a poorly chosen collective variable produces a free energy surface that converges, that reproduces across independent runs, and that is wrong.</w:t>
      </w:r>
    </w:p>
    <w:p>
      <w:pPr>
        <w:pStyle w:val="BookSection"/>
      </w:pPr>
      <w:r>
        <w:t>Filling the wells</w:t>
      </w:r>
    </w:p>
    <w:p>
      <w:r>
        <w:rPr>
          <w:i w:val="0"/>
        </w:rPr>
        <w:t xml:space="preserve">Fix a map </w:t>
      </w:r>
      <m:oMath>
        <m:r>
          <m:t>s:</m:t>
        </m:r>
        <m:sSup>
          <m:e>
            <m:r>
              <m:t>ℝ</m:t>
            </m:r>
          </m:e>
          <m:sup>
            <m:r>
              <m:t>3N</m:t>
            </m:r>
          </m:sup>
        </m:sSup>
        <m:r>
          <m:t>→</m:t>
        </m:r>
        <m:sSup>
          <m:e>
            <m:r>
              <m:t>ℝ</m:t>
            </m:r>
          </m:e>
          <m:sup>
            <m:r>
              <m:t>d</m:t>
            </m:r>
          </m:sup>
        </m:sSup>
      </m:oMath>
      <w:r>
        <w:rPr>
          <w:i w:val="0"/>
        </w:rPr>
        <w:t xml:space="preserve"> from the full configuration to a handful of collective variables, with </w:t>
      </w:r>
      <m:oMath>
        <m:r>
          <m:t>d</m:t>
        </m:r>
      </m:oMath>
      <w:r>
        <w:rPr>
          <w:i w:val="0"/>
        </w:rPr>
        <w:t xml:space="preserve"> typically one, two or three. The free energy along those variables is defined exactly, with no approximation, by</w:t>
      </w:r>
    </w:p>
    <w:p>
      <w:pPr>
        <w:spacing w:before="200" w:after="200"/>
        <w:ind w:firstLine="0"/>
        <w:jc w:val="center"/>
        <w:contextualSpacing w:val="0"/>
      </w:pPr>
      <m:oMath>
        <m:r>
          <m:t>F(s)=−</m:t>
        </m:r>
        <m:sSub>
          <m:e>
            <m:r>
              <m:t>k</m:t>
            </m:r>
          </m:e>
          <m:sub>
            <m:r>
              <m:t>B</m:t>
            </m:r>
          </m:sub>
        </m:sSub>
        <m:r>
          <m:t>T</m:t>
        </m:r>
        <m:r>
          <m:rPr>
            <m:sty m:val="p"/>
          </m:rPr>
          <m:t>ln</m:t>
        </m:r>
        <m:r>
          <m:t>∫d𝐱</m:t>
        </m:r>
        <m:sSup>
          <m:e>
            <m:r>
              <m:t>e</m:t>
            </m:r>
          </m:e>
          <m:sup>
            <m:r>
              <m:t>−βU(𝐱)</m:t>
            </m:r>
          </m:sup>
        </m:sSup>
        <m:r>
          <m:t>δ(s−s(𝐱))+</m:t>
        </m:r>
        <m:r>
          <m:rPr>
            <m:sty m:val="p"/>
          </m:rPr>
          <m:t>const</m:t>
        </m:r>
        <m:r>
          <m:t>.</m:t>
        </m:r>
      </m:oMath>
    </w:p>
    <w:p>
      <w:r>
        <w:rPr>
          <w:i w:val="0"/>
        </w:rPr>
        <w:t xml:space="preserve">The projection is well defined for any </w:t>
      </w:r>
      <m:oMath>
        <m:r>
          <m:t>s</m:t>
        </m:r>
      </m:oMath>
      <w:r>
        <w:rPr>
          <w:i w:val="0"/>
        </w:rPr>
        <w:t xml:space="preserve"> whatsoever, including a badly chosen one. Whether the projection is informative is a separate question from whether it exists, and the distance between those two questions is where this chapter ends up.</w:t>
      </w:r>
    </w:p>
    <w:p>
      <w:r>
        <w:rPr>
          <w:i w:val="0"/>
        </w:rPr>
        <w:t xml:space="preserve">Metadynamics, introduced by Alessandro Laio and Michele Parrinello in 2002, adds to the physical potential a bias that is built out of the system's own history. Every </w:t>
      </w:r>
      <m:oMath>
        <m:sSub>
          <m:e>
            <m:r>
              <m:t>τ</m:t>
            </m:r>
          </m:e>
          <m:sub>
            <m:r>
              <m:t>G</m:t>
            </m:r>
          </m:sub>
        </m:sSub>
      </m:oMath>
      <w:r>
        <w:rPr>
          <w:i w:val="0"/>
        </w:rPr>
        <w:t xml:space="preserve"> units of time a Gaussian of height </w:t>
      </w:r>
      <m:oMath>
        <m:r>
          <m:t>W</m:t>
        </m:r>
      </m:oMath>
      <w:r>
        <w:rPr>
          <w:i w:val="0"/>
        </w:rPr>
        <w:t xml:space="preserve"> and width </w:t>
      </w:r>
      <m:oMath>
        <m:r>
          <m:t>σ</m:t>
        </m:r>
      </m:oMath>
      <w:r>
        <w:rPr>
          <w:i w:val="0"/>
        </w:rPr>
        <w:t xml:space="preserve"> is deposited at the system's current position in collective-variable space, so that after time </w:t>
      </w:r>
      <m:oMath>
        <m:r>
          <m:t>t</m:t>
        </m:r>
      </m:oMath>
      <w:r>
        <w:rPr>
          <w:i w:val="0"/>
        </w:rPr>
        <w:t xml:space="preserve"> the bias is</w:t>
      </w:r>
    </w:p>
    <w:p>
      <w:pPr>
        <w:spacing w:before="200" w:after="200"/>
        <w:ind w:firstLine="0"/>
        <w:jc w:val="center"/>
        <w:contextualSpacing w:val="0"/>
      </w:pPr>
      <m:oMath>
        <m:r>
          <m:t>V(s,t)=W</m:t>
        </m:r>
        <m:nary>
          <m:naryPr>
            <m:chr m:val="∑"/>
            <m:limLoc m:val="subSup"/>
            <m:grow m:val="1"/>
            <m:subHide m:val="off"/>
            <m:supHide m:val="on"/>
          </m:naryPr>
          <m:sub>
            <m:sSup>
              <m:e>
                <m:r>
                  <m:t>t</m:t>
                </m:r>
              </m:e>
              <m:sup>
                <m:r>
                  <m:t>′</m:t>
                </m:r>
              </m:sup>
            </m:sSup>
            <m:r>
              <m:t>=</m:t>
            </m:r>
            <m:sSub>
              <m:e>
                <m:r>
                  <m:t>τ</m:t>
                </m:r>
              </m:e>
              <m:sub>
                <m:r>
                  <m:t>G</m:t>
                </m:r>
              </m:sub>
            </m:sSub>
            <m:r>
              <m:t>,2</m:t>
            </m:r>
            <m:sSub>
              <m:e>
                <m:r>
                  <m:t>τ</m:t>
                </m:r>
              </m:e>
              <m:sub>
                <m:r>
                  <m:t>G</m:t>
                </m:r>
              </m:sub>
            </m:sSub>
            <m:r>
              <m:t>,…&lt;t</m:t>
            </m:r>
          </m:sub>
          <m:sup/>
          <m:e>
            <m:r>
              <m:rPr>
                <m:sty m:val="p"/>
              </m:rPr>
              <m:t>exp</m:t>
            </m:r>
          </m:e>
        </m:nary>
        <m:d>
          <m:dPr>
            <m:sepChr m:val="−"/>
          </m:dPr>
          <m:e/>
          <m:e>
            <m:f>
              <m:fPr>
                <m:type m:val="bar"/>
              </m:fPr>
              <m:num>
                <m:sSup>
                  <m:e>
                    <m:d>
                      <m:dPr>
                        <m:begChr m:val="|"/>
                        <m:sepChr m:val=""/>
                        <m:endChr m:val="|"/>
                      </m:dPr>
                      <m:e>
                        <m:sSup>
                          <m:e>
                            <m:r>
                              <m:t>t</m:t>
                            </m:r>
                          </m:e>
                          <m:sup>
                            <m:r>
                              <m:t>′</m:t>
                            </m:r>
                          </m:sup>
                        </m:sSup>
                        <m:r>
                          <m:t>))</m:t>
                        </m:r>
                      </m:e>
                    </m:d>
                  </m:e>
                  <m:sup>
                    <m:r>
                      <m:t>2</m:t>
                    </m:r>
                  </m:sup>
                </m:sSup>
              </m:num>
              <m:den>
                <m:r>
                  <m:t>2</m:t>
                </m:r>
                <m:sSup>
                  <m:e>
                    <m:r>
                      <m:t>σ</m:t>
                    </m:r>
                  </m:e>
                  <m:sup>
                    <m:r>
                      <m:t>2</m:t>
                    </m:r>
                  </m:sup>
                </m:sSup>
              </m:den>
            </m:f>
          </m:e>
        </m:d>
        <m:r>
          <m:t>.</m:t>
        </m:r>
      </m:oMath>
    </w:p>
    <w:p>
      <w:r>
        <w:rPr>
          <w:i w:val="0"/>
        </w:rPr>
        <w:t xml:space="preserve">The mechanism is a memory. Wherever the system has already spent time, the potential has been raised, so returning there is less rewarding than it was. A trajectory trapped in a free energy minimum fills that minimum with its own deposited Gaussians until the minimum is level with its surroundings, at which point the system leaves. It is a coarse-grained dynamics on </w:t>
      </w:r>
      <m:oMath>
        <m:r>
          <m:t>s</m:t>
        </m:r>
      </m:oMath>
      <w:r>
        <w:rPr>
          <w:i w:val="0"/>
        </w:rPr>
        <w:t>, and a non-Markovian one, since the force on the system depends on the entire trajectory so far.</w:t>
      </w:r>
    </w:p>
    <w:p>
      <w:r>
        <w:rPr>
          <w:i w:val="0"/>
        </w:rPr>
        <w:t xml:space="preserve">The reason the accumulated bias is worth anything beyond the escape is the following limit. The rate of deposition at a point in collective-variable space is proportional to the time the system spends there, which under the biased dynamics is proportional to </w:t>
      </w:r>
      <m:oMath>
        <m:r>
          <m:rPr>
            <m:sty m:val="p"/>
          </m:rPr>
          <m:t>exp</m:t>
        </m:r>
        <m:r>
          <m:t>(−β[F(s)+V(s,t)])</m:t>
        </m:r>
      </m:oMath>
      <w:r>
        <w:rPr>
          <w:i w:val="0"/>
        </w:rPr>
        <w:t xml:space="preserve">. Filling therefore continues fastest wherever </w:t>
      </w:r>
      <m:oMath>
        <m:r>
          <m:t>F+V</m:t>
        </m:r>
      </m:oMath>
      <w:r>
        <w:rPr>
          <w:i w:val="0"/>
        </w:rPr>
        <w:t xml:space="preserve"> is lowest and stops changing the shape of the effective landscape only when </w:t>
      </w:r>
      <m:oMath>
        <m:r>
          <m:t>F+V</m:t>
        </m:r>
      </m:oMath>
      <w:r>
        <w:rPr>
          <w:i w:val="0"/>
        </w:rPr>
        <w:t xml:space="preserve"> is flat. In the long-time limit,</w:t>
      </w:r>
    </w:p>
    <w:p>
      <w:pPr>
        <w:spacing w:before="200" w:after="200"/>
        <w:ind w:firstLine="0"/>
        <w:jc w:val="center"/>
        <w:contextualSpacing w:val="0"/>
      </w:pPr>
      <m:oMath>
        <m:r>
          <m:t>V(s,t→∞)=−F(s)+</m:t>
        </m:r>
        <m:r>
          <m:rPr>
            <m:sty m:val="p"/>
          </m:rPr>
          <m:t>const</m:t>
        </m:r>
        <m:r>
          <m:t>,</m:t>
        </m:r>
      </m:oMath>
    </w:p>
    <w:p>
      <w:r>
        <w:rPr>
          <w:i w:val="0"/>
        </w:rPr>
        <w:t>so the free energy surface is read off as the negative of the deposited bias. Once the landscape is level the system diffuses across it and recrosses the flattened barrier repeatedly, and each recrossing improves the estimate.</w:t>
      </w:r>
    </w:p>
    <w:p>
      <w:r>
        <w:rPr>
          <w:i w:val="0"/>
        </w:rPr>
        <w:t xml:space="preserve">The plain version has a defect that follows from the same mechanism. Deposition never stops. Gaussians of fixed height keep arriving after the landscape is flat, so the bias oscillates about </w:t>
      </w:r>
      <m:oMath>
        <m:r>
          <m:t>−F</m:t>
        </m:r>
      </m:oMath>
      <w:r>
        <w:rPr>
          <w:i w:val="0"/>
        </w:rPr>
        <w:t xml:space="preserve"> with an amplitude set by </w:t>
      </w:r>
      <m:oMath>
        <m:r>
          <m:t>W</m:t>
        </m:r>
      </m:oMath>
      <w:r>
        <w:rPr>
          <w:i w:val="0"/>
        </w:rPr>
        <w:t>, and the system, now free of the barrier, wanders into regions of high free energy that nobody wanted to sample, which for a condensed-phase system can mean unbinding or evaporating.</w:t>
      </w:r>
    </w:p>
    <w:p>
      <w:r>
        <w:rPr>
          <w:i w:val="0"/>
        </w:rPr>
        <w:t>Well-tempered metadynamics, introduced by Alessandro Barducci, Giovanni Bussi and Michele Parrinello in 2008, fixes this by making the height of each new Gaussian depend on how much bias is already present at the deposition point:</w:t>
      </w:r>
    </w:p>
    <w:p>
      <w:pPr>
        <w:spacing w:before="200" w:after="200"/>
        <w:ind w:firstLine="0"/>
        <w:jc w:val="center"/>
        <w:contextualSpacing w:val="0"/>
      </w:pPr>
      <m:oMath>
        <m:r>
          <m:t>W(t)=</m:t>
        </m:r>
        <m:sSub>
          <m:e>
            <m:r>
              <m:t>W</m:t>
            </m:r>
          </m:e>
          <m:sub>
            <m:r>
              <m:t>0</m:t>
            </m:r>
          </m:sub>
        </m:sSub>
        <m:r>
          <m:rPr>
            <m:sty m:val="p"/>
          </m:rPr>
          <m:t>exp</m:t>
        </m:r>
        <m:d>
          <m:dPr>
            <m:sepChr m:val="−"/>
          </m:dPr>
          <m:e/>
          <m:e>
            <m:f>
              <m:fPr>
                <m:type m:val="bar"/>
              </m:fPr>
              <m:num>
                <m:r>
                  <m:t>V(s(𝐱(t)),t)</m:t>
                </m:r>
              </m:num>
              <m:den>
                <m:sSub>
                  <m:e>
                    <m:r>
                      <m:t>k</m:t>
                    </m:r>
                  </m:e>
                  <m:sub>
                    <m:r>
                      <m:t>B</m:t>
                    </m:r>
                  </m:sub>
                </m:sSub>
                <m:r>
                  <m:t>ΔT</m:t>
                </m:r>
              </m:den>
            </m:f>
          </m:e>
        </m:d>
        <m:r>
          <m:t>.</m:t>
        </m:r>
      </m:oMath>
    </w:p>
    <w:p>
      <w:r>
        <w:rPr>
          <w:i w:val="0"/>
        </w:rPr>
        <w:t>Deposition slows where filling has already happened, and the sum converges rather than oscillating. The limit is no longer the full free energy but a fixed fraction of it,</w:t>
      </w:r>
    </w:p>
    <w:p>
      <w:pPr>
        <w:spacing w:before="200" w:after="200"/>
        <w:ind w:firstLine="0"/>
        <w:jc w:val="center"/>
        <w:contextualSpacing w:val="0"/>
      </w:pPr>
      <m:oMath>
        <m:r>
          <m:t>V(s,t→∞)=−</m:t>
        </m:r>
        <m:d>
          <m:dPr>
            <m:sepChr m:val="−"/>
          </m:dPr>
          <m:e>
            <m:r>
              <m:t>1</m:t>
            </m:r>
          </m:e>
          <m:e>
            <m:f>
              <m:fPr>
                <m:type m:val="bar"/>
              </m:fPr>
              <m:num>
                <m:r>
                  <m:t>1</m:t>
                </m:r>
              </m:num>
              <m:den>
                <m:r>
                  <m:t>γ</m:t>
                </m:r>
              </m:den>
            </m:f>
          </m:e>
        </m:d>
        <m:r>
          <m:t>F(s)+</m:t>
        </m:r>
        <m:r>
          <m:rPr>
            <m:sty m:val="p"/>
          </m:rPr>
          <m:t>const</m:t>
        </m:r>
        <m:r>
          <m:t>,</m:t>
        </m:r>
        <m:r>
          <m:t>γ=</m:t>
        </m:r>
        <m:f>
          <m:fPr>
            <m:type m:val="bar"/>
          </m:fPr>
          <m:num>
            <m:r>
              <m:t>T+ΔT</m:t>
            </m:r>
          </m:num>
          <m:den>
            <m:r>
              <m:t>T</m:t>
            </m:r>
          </m:den>
        </m:f>
        <m:r>
          <m:t>,</m:t>
        </m:r>
      </m:oMath>
    </w:p>
    <w:p>
      <w:r>
        <w:rPr>
          <w:i w:val="0"/>
        </w:rPr>
        <w:t xml:space="preserve">with </w:t>
      </w:r>
      <m:oMath>
        <m:r>
          <m:t>γ</m:t>
        </m:r>
      </m:oMath>
      <w:r>
        <w:rPr>
          <w:i w:val="0"/>
        </w:rPr>
        <w:t xml:space="preserve"> the bias factor. Equivalently the collective variable is sampled from a distribution proportional to </w:t>
      </w:r>
      <m:oMath>
        <m:r>
          <m:rPr>
            <m:sty m:val="p"/>
          </m:rPr>
          <m:t>exp</m:t>
        </m:r>
        <m:r>
          <m:t>[−F(s)/</m:t>
        </m:r>
        <m:sSub>
          <m:e>
            <m:r>
              <m:t>k</m:t>
            </m:r>
          </m:e>
          <m:sub>
            <m:r>
              <m:t>B</m:t>
            </m:r>
          </m:sub>
        </m:sSub>
        <m:r>
          <m:t>γT]</m:t>
        </m:r>
      </m:oMath>
      <w:r>
        <w:rPr>
          <w:i w:val="0"/>
        </w:rPr>
        <w:t xml:space="preserve">, which is what the marginal distribution of </w:t>
      </w:r>
      <m:oMath>
        <m:r>
          <m:t>s</m:t>
        </m:r>
      </m:oMath>
      <w:r>
        <w:rPr>
          <w:i w:val="0"/>
        </w:rPr>
        <w:t xml:space="preserve"> would be at temperature </w:t>
      </w:r>
      <m:oMath>
        <m:r>
          <m:t>γT</m:t>
        </m:r>
      </m:oMath>
      <w:r>
        <w:rPr>
          <w:i w:val="0"/>
        </w:rPr>
        <w:t xml:space="preserve"> while every other degree of freedom stays at </w:t>
      </w:r>
      <m:oMath>
        <m:r>
          <m:t>T</m:t>
        </m:r>
      </m:oMath>
      <w:r>
        <w:rPr>
          <w:i w:val="0"/>
        </w:rPr>
        <w:t xml:space="preserve">. The single parameter </w:t>
      </w:r>
      <m:oMath>
        <m:r>
          <m:t>γ</m:t>
        </m:r>
      </m:oMath>
      <w:r>
        <w:rPr>
          <w:i w:val="0"/>
        </w:rPr>
        <w:t xml:space="preserve"> therefore controls how far up the free energy landscape sampling extends, and is set by how high the barrier is expected to be. Unbiased averages are recovered afterwards by reweighting each frame with </w:t>
      </w:r>
      <m:oMath>
        <m:sSup>
          <m:e>
            <m:r>
              <m:t>e</m:t>
            </m:r>
          </m:e>
          <m:sup>
            <m:r>
              <m:t>βV</m:t>
            </m:r>
          </m:sup>
        </m:sSup>
      </m:oMath>
      <w:r>
        <w:rPr>
          <w:i w:val="0"/>
        </w:rPr>
        <w:t>, with an additional correction for the fact that the bias was still changing while the data were collected.</w:t>
      </w:r>
    </w:p>
    <w:p>
      <w:pPr>
        <w:pStyle w:val="BookSection"/>
      </w:pPr>
      <w:r>
        <w:t>From bias potentials to probability distributions</w:t>
      </w:r>
    </w:p>
    <w:p>
      <w:r>
        <w:rPr>
          <w:i w:val="0"/>
        </w:rPr>
        <w:t xml:space="preserve">On-the-fly probability enhanced sampling, introduced by Michele Invernizzi and Michele Parrinello in 2020, inverts the logic. Rather than accumulating a bias and asking what distribution it produces, one names a target distribution </w:t>
      </w:r>
      <m:oMath>
        <m:sSup>
          <m:e>
            <m:r>
              <m:t>p</m:t>
            </m:r>
          </m:e>
          <m:sup>
            <m:r>
              <m:rPr>
                <m:sty m:val="p"/>
              </m:rPr>
              <m:t>tg</m:t>
            </m:r>
          </m:sup>
        </m:sSup>
        <m:r>
          <m:t>(s)</m:t>
        </m:r>
      </m:oMath>
      <w:r>
        <w:rPr>
          <w:i w:val="0"/>
        </w:rPr>
        <w:t xml:space="preserve"> and computes the bias that realizes it,</w:t>
      </w:r>
    </w:p>
    <w:p>
      <w:pPr>
        <w:spacing w:before="200" w:after="200"/>
        <w:ind w:firstLine="0"/>
        <w:jc w:val="center"/>
        <w:contextualSpacing w:val="0"/>
      </w:pPr>
      <m:oMath>
        <m:r>
          <m:t>V(s)=−</m:t>
        </m:r>
        <m:f>
          <m:fPr>
            <m:type m:val="bar"/>
          </m:fPr>
          <m:num>
            <m:r>
              <m:t>1</m:t>
            </m:r>
          </m:num>
          <m:den>
            <m:r>
              <m:t>β</m:t>
            </m:r>
          </m:den>
        </m:f>
        <m:r>
          <m:rPr>
            <m:sty m:val="p"/>
          </m:rPr>
          <m:t>ln</m:t>
        </m:r>
        <m:f>
          <m:fPr>
            <m:type m:val="bar"/>
          </m:fPr>
          <m:num>
            <m:sSup>
              <m:e>
                <m:r>
                  <m:t>p</m:t>
                </m:r>
              </m:e>
              <m:sup>
                <m:r>
                  <m:rPr>
                    <m:sty m:val="p"/>
                  </m:rPr>
                  <m:t>tg</m:t>
                </m:r>
              </m:sup>
            </m:sSup>
            <m:r>
              <m:t>(s)</m:t>
            </m:r>
          </m:num>
          <m:den>
            <m:r>
              <m:t>p(s)</m:t>
            </m:r>
          </m:den>
        </m:f>
        <m:r>
          <m:t>,</m:t>
        </m:r>
      </m:oMath>
    </w:p>
    <w:p>
      <w:r>
        <w:rPr>
          <w:i w:val="0"/>
        </w:rPr>
        <w:t xml:space="preserve">where </w:t>
      </w:r>
      <m:oMath>
        <m:r>
          <m:t>p(s)∝</m:t>
        </m:r>
        <m:sSup>
          <m:e>
            <m:r>
              <m:t>e</m:t>
            </m:r>
          </m:e>
          <m:sup>
            <m:r>
              <m:t>−βF(s)</m:t>
            </m:r>
          </m:sup>
        </m:sSup>
      </m:oMath>
      <w:r>
        <w:rPr>
          <w:i w:val="0"/>
        </w:rPr>
        <w:t xml:space="preserve"> is the unknown equilibrium marginal. The unknown is estimated on the fly, by weighted kernel density estimation over the frames collected so far, each reweighted by </w:t>
      </w:r>
      <m:oMath>
        <m:sSup>
          <m:e>
            <m:r>
              <m:t>e</m:t>
            </m:r>
          </m:e>
          <m:sup>
            <m:r>
              <m:t>βV</m:t>
            </m:r>
          </m:sup>
        </m:sSup>
      </m:oMath>
      <w:r>
        <w:rPr>
          <w:i w:val="0"/>
        </w:rPr>
        <w:t xml:space="preserve"> to undo the bias under which it was collected. The estimate gives a new bias, the new bias gives more frames, and the iteration proceeds. Choosing the well-tempered target </w:t>
      </w:r>
      <m:oMath>
        <m:sSup>
          <m:e>
            <m:r>
              <m:t>p</m:t>
            </m:r>
          </m:e>
          <m:sup>
            <m:r>
              <m:rPr>
                <m:sty m:val="p"/>
              </m:rPr>
              <m:t>tg</m:t>
            </m:r>
          </m:sup>
        </m:sSup>
        <m:r>
          <m:t>(s)∝[p(s)</m:t>
        </m:r>
        <m:sSup>
          <m:e>
            <m:r>
              <m:t>]</m:t>
            </m:r>
          </m:e>
          <m:sup>
            <m:f>
              <m:fPr>
                <m:type m:val="lin"/>
              </m:fPr>
              <m:num>
                <m:r>
                  <m:t>1</m:t>
                </m:r>
              </m:num>
              <m:den>
                <m:r>
                  <m:t>γ</m:t>
                </m:r>
              </m:den>
            </m:f>
          </m:sup>
        </m:sSup>
      </m:oMath>
      <w:r>
        <w:rPr>
          <w:i w:val="0"/>
        </w:rPr>
        <w:t xml:space="preserve"> reproduces the flattening of well-tempered metadynamics, now reached by explicitly estimating a distribution instead of by accumulating deposits. Two practical consequences follow. The bias becomes quasi-static after a short transient, because it tracks an estimate that stops moving once the histogram is populated, and the method degrades more gracefully when the collective variables are suboptimal or when several of them are used at once, because the target is specified in advance and capped rather than built up without limit.</w:t>
      </w:r>
    </w:p>
    <w:p>
      <w:r>
        <w:rPr>
          <w:i w:val="0"/>
        </w:rPr>
        <w:t>Attribution here is worth stating carefully, because the secondary literature routinely gets it wrong. On-the-fly probability enhanced sampling is frequently credited to the Physical Review X paper of Michele Invernizzi, Pablo M. Piaggi and Michele Parrinello, published later in the same year. That paper does something related but distinct, and says so in its own abstract. It presents a unified view in which collective-variable bias methods such as umbrella sampling and metadynamics and expanded-ensemble methods such as replica exchange are all recast as choices of target probability distribution, and it introduces bias potentials capable of sampling any expanded ensemble normally reached by replica exchange. Its practical implementation works by adapting the iterative scheme of the earlier method, which the abstract attributes to Invernizzi and Parrinello in the Journal of Physical Chemistry Letters. The expanded-ensemble half of that unification connects directly to the multithermal-multibaric scheme of Pablo M. Piaggi and Michele Parrinello, in which a single simulation samples uniformly in energy and volume across a chosen region of the temperature-pressure plane, so that phase boundaries throughout the region can be extracted at once rather than one state point at a time.</w:t>
      </w:r>
    </w:p>
    <w:p>
      <w:pPr>
        <w:pStyle w:val="BookSection"/>
      </w:pPr>
      <w:r>
        <w:t>One library, and an archive</w:t>
      </w:r>
    </w:p>
    <w:p>
      <w:r>
        <w:rPr>
          <w:i w:val="0"/>
        </w:rPr>
        <w:t xml:space="preserve">Almost none of this is implemented inside molecular dynamics engines. PLUMED 2, described by Gareth A. Tribello, Massimiliano Bonomi, Davide Branduardi, Carlo Camilloni and Giovanni Bussi in 2014, is an open-source C++ plugin that the engine calls once per step: the engine hands over coordinates, the library evaluates </w:t>
      </w:r>
      <m:oMath>
        <m:r>
          <m:t>s(𝐱)</m:t>
        </m:r>
      </m:oMath>
      <w:r>
        <w:rPr>
          <w:i w:val="0"/>
        </w:rPr>
        <w:t>, computes the bias and its derivative with respect to the atomic positions, and hands back a force. The consequence of that interface is that collective variables and sampling methods are decoupled from the engines, so a newly proposed variable becomes available in every patched code at once, and this is why it is also the standard route by which machine-learned collective variables reach production simulation.</w:t>
      </w:r>
    </w:p>
    <w:p>
      <w:r>
        <w:rPr>
          <w:i w:val="0"/>
        </w:rPr>
        <w:t xml:space="preserve">The same interface makes visible how many free choices a biased simulation contains. The Gaussian width, the height, the deposition stride, the bias factor, the definition of the states, and above all the identity of </w:t>
      </w:r>
      <m:oMath>
        <m:r>
          <m:t>s</m:t>
        </m:r>
      </m:oMath>
      <w:r>
        <w:rPr>
          <w:i w:val="0"/>
        </w:rPr>
        <w:t xml:space="preserve"> are all set by the person running the calculation, and small print in any of them changes the answer. In 2019 the PLUMED consortium responded in Nature Methods by establishing PLUMED-NEST, a public archive of complete input files for published enhanced-sampling simulations, so that a result can be rerun exactly as its authors ran it. That is a genuine repair of a genuine problem, and it is worth noticing precisely what it repairs. An archive makes a calculation reproducible. It does not make it correct. Two groups can reproduce each other's converged free energy surface to the last digit and both be wrong, if both made the same choice of collective variable.</w:t>
      </w:r>
    </w:p>
    <w:p>
      <w:pPr>
        <w:pStyle w:val="BookSection"/>
      </w:pPr>
      <w:r>
        <w:t>Sampling trajectories instead of configurations</w:t>
      </w:r>
    </w:p>
    <w:p>
      <w:r>
        <w:rPr>
          <w:i w:val="0"/>
        </w:rPr>
        <w:t xml:space="preserve">The alternative family declines to add a bias at all. Transition path sampling, introduced by Christoph Dellago, Peter G. Bolhuis, Felix S. Csajka and David Chandler in 1998, performs importance sampling in the space of dynamical trajectories rather than the space of configurations. Discretize a trajectory of duration </w:t>
      </w:r>
      <m:oMath>
        <m:r>
          <m:t>T</m:t>
        </m:r>
      </m:oMath>
      <w:r>
        <w:rPr>
          <w:i w:val="0"/>
        </w:rPr>
        <w:t xml:space="preserve"> as </w:t>
      </w:r>
      <m:oMath>
        <m:sSup>
          <m:e>
            <m:r>
              <m:t>𝐱</m:t>
            </m:r>
          </m:e>
          <m:sup>
            <m:d>
              <m:dPr>
                <m:sepChr m:val=""/>
              </m:dPr>
              <m:e>
                <m:r>
                  <m:t>T</m:t>
                </m:r>
              </m:e>
            </m:d>
          </m:sup>
        </m:sSup>
        <m:r>
          <m:t>={</m:t>
        </m:r>
        <m:sSub>
          <m:e>
            <m:r>
              <m:t>𝐱</m:t>
            </m:r>
          </m:e>
          <m:sub>
            <m:r>
              <m:t>0</m:t>
            </m:r>
          </m:sub>
        </m:sSub>
        <m:r>
          <m:t>,</m:t>
        </m:r>
        <m:sSub>
          <m:e>
            <m:r>
              <m:t>𝐱</m:t>
            </m:r>
          </m:e>
          <m:sub>
            <m:r>
              <m:t>Δt</m:t>
            </m:r>
          </m:sub>
        </m:sSub>
        <m:r>
          <m:t>,…,</m:t>
        </m:r>
        <m:sSub>
          <m:e>
            <m:r>
              <m:t>𝐱</m:t>
            </m:r>
          </m:e>
          <m:sub>
            <m:r>
              <m:t>T</m:t>
            </m:r>
          </m:sub>
        </m:sSub>
        <m:r>
          <m:t>}</m:t>
        </m:r>
      </m:oMath>
      <w:r>
        <w:rPr>
          <w:i w:val="0"/>
        </w:rPr>
        <w:t>, with the probability of the path factorizing into the initial distribution and the short-time transition probabilities of the underlying dynamics,</w:t>
      </w:r>
    </w:p>
    <w:p>
      <w:pPr>
        <w:spacing w:before="200" w:after="200"/>
        <w:ind w:firstLine="0"/>
        <w:jc w:val="center"/>
        <w:contextualSpacing w:val="0"/>
      </w:pPr>
      <m:oMath>
        <m:r>
          <m:t>𝒫[</m:t>
        </m:r>
        <m:sSup>
          <m:e>
            <m:r>
              <m:t>𝐱</m:t>
            </m:r>
          </m:e>
          <m:sup>
            <m:d>
              <m:dPr>
                <m:sepChr m:val=""/>
              </m:dPr>
              <m:e>
                <m:r>
                  <m:t>T</m:t>
                </m:r>
              </m:e>
            </m:d>
          </m:sup>
        </m:sSup>
        <m:r>
          <m:t>]=ρ(</m:t>
        </m:r>
        <m:sSub>
          <m:e>
            <m:r>
              <m:t>𝐱</m:t>
            </m:r>
          </m:e>
          <m:sub>
            <m:r>
              <m:t>0</m:t>
            </m:r>
          </m:sub>
        </m:sSub>
        <m:r>
          <m:t>)</m:t>
        </m:r>
        <m:nary>
          <m:naryPr>
            <m:chr m:val="∏"/>
            <m:limLoc m:val="subSup"/>
            <m:grow m:val="1"/>
            <m:subHide m:val="off"/>
            <m:supHide m:val="on"/>
          </m:naryPr>
          <m:sub>
            <m:r>
              <m:t>i</m:t>
            </m:r>
          </m:sub>
          <m:sup/>
          <m:e>
            <m:r>
              <m:t>p(</m:t>
            </m:r>
          </m:e>
        </m:nary>
        <m:sSub>
          <m:e>
            <m:r>
              <m:t>𝐱</m:t>
            </m:r>
          </m:e>
          <m:sub>
            <m:r>
              <m:t>iΔt</m:t>
            </m:r>
          </m:sub>
        </m:sSub>
        <m:r>
          <m:t>→</m:t>
        </m:r>
        <m:sSub>
          <m:e>
            <m:r>
              <m:t>𝐱</m:t>
            </m:r>
          </m:e>
          <m:sub>
            <m:r>
              <m:t>(i+1)Δt</m:t>
            </m:r>
          </m:sub>
        </m:sSub>
        <m:r>
          <m:t>).</m:t>
        </m:r>
      </m:oMath>
    </w:p>
    <w:p>
      <w:r>
        <w:rPr>
          <w:i w:val="0"/>
        </w:rPr>
        <w:t xml:space="preserve">The reactive path ensemble is this measure restricted to paths that begin in state </w:t>
      </w:r>
      <m:oMath>
        <m:r>
          <m:t>A</m:t>
        </m:r>
      </m:oMath>
      <w:r>
        <w:rPr>
          <w:i w:val="0"/>
        </w:rPr>
        <w:t xml:space="preserve"> and end in state </w:t>
      </w:r>
      <m:oMath>
        <m:r>
          <m:t>B</m:t>
        </m:r>
      </m:oMath>
      <w:r>
        <w:rPr>
          <w:i w:val="0"/>
        </w:rPr>
        <w:t>,</w:t>
      </w:r>
    </w:p>
    <w:p>
      <w:pPr>
        <w:spacing w:before="200" w:after="200"/>
        <w:ind w:firstLine="0"/>
        <w:jc w:val="center"/>
        <w:contextualSpacing w:val="0"/>
      </w:pPr>
      <m:oMath>
        <m:sSub>
          <m:e>
            <m:r>
              <m:t>𝒫</m:t>
            </m:r>
          </m:e>
          <m:sub>
            <m:r>
              <m:t>AB</m:t>
            </m:r>
          </m:sub>
        </m:sSub>
        <m:r>
          <m:t>[</m:t>
        </m:r>
        <m:sSup>
          <m:e>
            <m:r>
              <m:t>𝐱</m:t>
            </m:r>
          </m:e>
          <m:sup>
            <m:d>
              <m:dPr>
                <m:sepChr m:val=""/>
              </m:dPr>
              <m:e>
                <m:r>
                  <m:t>T</m:t>
                </m:r>
              </m:e>
            </m:d>
          </m:sup>
        </m:sSup>
        <m:r>
          <m:t>]=</m:t>
        </m:r>
        <m:f>
          <m:fPr>
            <m:type m:val="bar"/>
          </m:fPr>
          <m:num>
            <m:r>
              <m:t>1</m:t>
            </m:r>
          </m:num>
          <m:den>
            <m:sSub>
              <m:e>
                <m:r>
                  <m:t>Z</m:t>
                </m:r>
              </m:e>
              <m:sub>
                <m:r>
                  <m:t>AB</m:t>
                </m:r>
              </m:sub>
            </m:sSub>
          </m:den>
        </m:f>
        <m:sSub>
          <m:e>
            <m:r>
              <m:t>h</m:t>
            </m:r>
          </m:e>
          <m:sub>
            <m:r>
              <m:t>A</m:t>
            </m:r>
          </m:sub>
        </m:sSub>
        <m:r>
          <m:t>(</m:t>
        </m:r>
        <m:sSub>
          <m:e>
            <m:r>
              <m:t>𝐱</m:t>
            </m:r>
          </m:e>
          <m:sub>
            <m:r>
              <m:t>0</m:t>
            </m:r>
          </m:sub>
        </m:sSub>
        <m:r>
          <m:t>)</m:t>
        </m:r>
        <m:r>
          <m:t>𝒫[</m:t>
        </m:r>
        <m:sSup>
          <m:e>
            <m:r>
              <m:t>𝐱</m:t>
            </m:r>
          </m:e>
          <m:sup>
            <m:d>
              <m:dPr>
                <m:sepChr m:val=""/>
              </m:dPr>
              <m:e>
                <m:r>
                  <m:t>T</m:t>
                </m:r>
              </m:e>
            </m:d>
          </m:sup>
        </m:sSup>
        <m:r>
          <m:t>]</m:t>
        </m:r>
        <m:sSub>
          <m:e>
            <m:r>
              <m:t>h</m:t>
            </m:r>
          </m:e>
          <m:sub>
            <m:r>
              <m:t>B</m:t>
            </m:r>
          </m:sub>
        </m:sSub>
        <m:r>
          <m:t>(</m:t>
        </m:r>
        <m:sSub>
          <m:e>
            <m:r>
              <m:t>𝐱</m:t>
            </m:r>
          </m:e>
          <m:sub>
            <m:r>
              <m:t>T</m:t>
            </m:r>
          </m:sub>
        </m:sSub>
        <m:r>
          <m:t>),</m:t>
        </m:r>
      </m:oMath>
    </w:p>
    <w:p>
      <w:r>
        <w:rPr>
          <w:i w:val="0"/>
        </w:rPr>
        <w:t xml:space="preserve">with </w:t>
      </w:r>
      <m:oMath>
        <m:sSub>
          <m:e>
            <m:r>
              <m:t>h</m:t>
            </m:r>
          </m:e>
          <m:sub>
            <m:r>
              <m:t>A</m:t>
            </m:r>
          </m:sub>
        </m:sSub>
      </m:oMath>
      <w:r>
        <w:rPr>
          <w:i w:val="0"/>
        </w:rPr>
        <w:t xml:space="preserve"> and </w:t>
      </w:r>
      <m:oMath>
        <m:sSub>
          <m:e>
            <m:r>
              <m:t>h</m:t>
            </m:r>
          </m:e>
          <m:sub>
            <m:r>
              <m:t>B</m:t>
            </m:r>
          </m:sub>
        </m:sSub>
      </m:oMath>
      <w:r>
        <w:rPr>
          <w:i w:val="0"/>
        </w:rPr>
        <w:t xml:space="preserve"> indicator functions for the two stable regions. Monte Carlo is then run on this ensemble, one whole trajectory at a time. The 2002 review by Peter G. Bolhuis, David Chandler, Christoph Dellago and Phillip L. Geissler, subtitled "throwing ropes over rough mountain passes, in the dark", sets out the moves that do it. The shooting move picks a time slice at random from the current path, perturbs the momenta there slightly, integrates forward to the end and backward to the beginning using the true equations of motion, and accepts the resulting path if it still connects </w:t>
      </w:r>
      <m:oMath>
        <m:r>
          <m:t>A</m:t>
        </m:r>
      </m:oMath>
      <w:r>
        <w:rPr>
          <w:i w:val="0"/>
        </w:rPr>
        <w:t xml:space="preserve"> to </w:t>
      </w:r>
      <m:oMath>
        <m:r>
          <m:t>B</m:t>
        </m:r>
      </m:oMath>
      <w:r>
        <w:rPr>
          <w:i w:val="0"/>
        </w:rPr>
        <w:t>, with an acceptance rule that enforces detailed balance in path space. The shifting move slides the time window forward or backward, growing one end of the path and truncating the other, which decorrelates the trajectory from its predecessor without altering the mechanism it contains.</w:t>
      </w:r>
    </w:p>
    <w:p>
      <w:r>
        <w:rPr>
          <w:i w:val="0"/>
        </w:rPr>
        <w:t>The critical property is that no force is ever added to the equations of motion. The importance sampling acts on which trajectories are admitted to the ensemble, not on how any individual trajectory moves, so every path in the ensemble is a genuine dynamical trajectory of the unmodified system. The mechanism is therefore something read off the harvested ensemble afterwards rather than something asserted beforehand, and rate constants can be computed without prior knowledge of the mechanism, the reaction coordinate, or the transition state.</w:t>
      </w:r>
    </w:p>
    <w:p>
      <w:r>
        <w:rPr>
          <w:i w:val="0"/>
        </w:rPr>
        <w:t xml:space="preserve">What the method does still require is a definition of </w:t>
      </w:r>
      <m:oMath>
        <m:r>
          <m:t>A</m:t>
        </m:r>
      </m:oMath>
      <w:r>
        <w:rPr>
          <w:i w:val="0"/>
        </w:rPr>
        <w:t xml:space="preserve"> and </w:t>
      </w:r>
      <m:oMath>
        <m:r>
          <m:t>B</m:t>
        </m:r>
      </m:oMath>
      <w:r>
        <w:rPr>
          <w:i w:val="0"/>
        </w:rPr>
        <w:t>, and one initial reactive path to start the chain. It is worth being precise that a state-defining order parameter and a reaction coordinate are different objects, because the same word gets used for both. A state-defining order parameter has only to answer which basin a configuration is in, and can be crude, discontinuous, or blind to everything that happens between the basins. A reaction coordinate has to track progress along the crossing itself. The first is usually easy, and transition path sampling needs only the first. The cost is paid elsewhere: every Monte Carlo move requires integrating a full trajectory long enough to span the transition, the paths are correlated with their predecessors, and the sampling explores a space of enormously higher dimension than the configuration space it replaced.</w:t>
      </w:r>
    </w:p>
    <w:p>
      <w:pPr>
        <w:pStyle w:val="BookSection"/>
      </w:pPr>
      <w:r>
        <w:t>The committor</w:t>
      </w:r>
    </w:p>
    <w:p>
      <w:r>
        <w:rPr>
          <w:i w:val="0"/>
        </w:rPr>
        <w:t xml:space="preserve">Once a reactive ensemble is in hand, there is an exact answer to the question of what the reaction coordinate is. Define the committor </w:t>
      </w:r>
      <m:oMath>
        <m:sSub>
          <m:e>
            <m:r>
              <m:t>p</m:t>
            </m:r>
          </m:e>
          <m:sub>
            <m:r>
              <m:t>B</m:t>
            </m:r>
          </m:sub>
        </m:sSub>
        <m:r>
          <m:t>(𝐱)</m:t>
        </m:r>
      </m:oMath>
      <w:r>
        <w:rPr>
          <w:i w:val="0"/>
        </w:rPr>
        <w:t xml:space="preserve"> as the probability that a trajectory launched from configuration </w:t>
      </w:r>
      <m:oMath>
        <m:r>
          <m:t>𝐱</m:t>
        </m:r>
      </m:oMath>
      <w:r>
        <w:rPr>
          <w:i w:val="0"/>
        </w:rPr>
        <w:t xml:space="preserve">, with momenta drawn from the Maxwell-Boltzmann distribution, reaches </w:t>
      </w:r>
      <m:oMath>
        <m:r>
          <m:t>B</m:t>
        </m:r>
      </m:oMath>
      <w:r>
        <w:rPr>
          <w:i w:val="0"/>
        </w:rPr>
        <w:t xml:space="preserve"> before it reaches </w:t>
      </w:r>
      <m:oMath>
        <m:r>
          <m:t>A</m:t>
        </m:r>
      </m:oMath>
      <w:r>
        <w:rPr>
          <w:i w:val="0"/>
        </w:rPr>
        <w:t xml:space="preserve">. It is also called the splitting probability, and in protein folding it is written </w:t>
      </w:r>
      <m:oMath>
        <m:sSub>
          <m:e>
            <m:r>
              <m:t>p</m:t>
            </m:r>
          </m:e>
          <m:sub>
            <m:r>
              <m:rPr>
                <m:sty m:val="p"/>
              </m:rPr>
              <m:t>fold</m:t>
            </m:r>
          </m:sub>
        </m:sSub>
      </m:oMath>
      <w:r>
        <w:rPr>
          <w:i w:val="0"/>
        </w:rPr>
        <w:t xml:space="preserve">. It is zero on the boundary of </w:t>
      </w:r>
      <m:oMath>
        <m:r>
          <m:t>A</m:t>
        </m:r>
      </m:oMath>
      <w:r>
        <w:rPr>
          <w:i w:val="0"/>
        </w:rPr>
        <w:t xml:space="preserve"> and one on the boundary of </w:t>
      </w:r>
      <m:oMath>
        <m:r>
          <m:t>B</m:t>
        </m:r>
      </m:oMath>
      <w:r>
        <w:rPr>
          <w:i w:val="0"/>
        </w:rPr>
        <w:t xml:space="preserve">, and for diffusive dynamics it satisfies the backward Kolmogorov equation, which for overdamped Langevin dynamics with potential </w:t>
      </w:r>
      <m:oMath>
        <m:r>
          <m:t>U</m:t>
        </m:r>
      </m:oMath>
      <w:r>
        <w:rPr>
          <w:i w:val="0"/>
        </w:rPr>
        <w:t xml:space="preserve"> and position-dependent diffusion tensor </w:t>
      </w:r>
      <m:oMath>
        <m:r>
          <m:t>D</m:t>
        </m:r>
      </m:oMath>
      <w:r>
        <w:rPr>
          <w:i w:val="0"/>
        </w:rPr>
        <w:t xml:space="preserve"> takes the form</w:t>
      </w:r>
    </w:p>
    <w:p>
      <w:pPr>
        <w:spacing w:before="200" w:after="200"/>
        <w:ind w:firstLine="0"/>
        <w:jc w:val="center"/>
        <w:contextualSpacing w:val="0"/>
      </w:pPr>
      <m:oMath>
        <m:r>
          <m:t>∇·</m:t>
        </m:r>
        <m:d>
          <m:dPr>
            <m:sepChr m:val=""/>
          </m:dPr>
          <m:e>
            <m:sSup>
              <m:e>
                <m:r>
                  <m:t>e</m:t>
                </m:r>
              </m:e>
              <m:sup>
                <m:r>
                  <m:t>−βU(𝐱)</m:t>
                </m:r>
              </m:sup>
            </m:sSup>
            <m:r>
              <m:t>D</m:t>
            </m:r>
            <m:r>
              <m:t>∇</m:t>
            </m:r>
            <m:sSub>
              <m:e>
                <m:r>
                  <m:t>p</m:t>
                </m:r>
              </m:e>
              <m:sub>
                <m:r>
                  <m:t>B</m:t>
                </m:r>
              </m:sub>
            </m:sSub>
            <m:r>
              <m:t>(</m:t>
            </m:r>
            <m:r>
              <m:t>𝐱</m:t>
            </m:r>
            <m:r>
              <m:t>)</m:t>
            </m:r>
          </m:e>
        </m:d>
        <m:r>
          <m:t>=0,</m:t>
        </m:r>
        <m:sSub>
          <m:e>
            <m:r>
              <m:t>p</m:t>
            </m:r>
          </m:e>
          <m:sub>
            <m:r>
              <m:t>B</m:t>
            </m:r>
          </m:sub>
        </m:sSub>
        <m:sSub>
          <m:e>
            <m:r>
              <m:t>|</m:t>
            </m:r>
          </m:e>
          <m:sub>
            <m:r>
              <m:t>∂A</m:t>
            </m:r>
          </m:sub>
        </m:sSub>
        <m:r>
          <m:t>=0,</m:t>
        </m:r>
        <m:sSub>
          <m:e>
            <m:r>
              <m:t>p</m:t>
            </m:r>
          </m:e>
          <m:sub>
            <m:r>
              <m:t>B</m:t>
            </m:r>
          </m:sub>
        </m:sSub>
        <m:sSub>
          <m:e>
            <m:r>
              <m:t>|</m:t>
            </m:r>
          </m:e>
          <m:sub>
            <m:r>
              <m:t>∂B</m:t>
            </m:r>
          </m:sub>
        </m:sSub>
        <m:r>
          <m:t>=1.</m:t>
        </m:r>
      </m:oMath>
    </w:p>
    <w:p>
      <w:r>
        <w:rPr>
          <w:i w:val="0"/>
        </w:rPr>
        <w:t xml:space="preserve">That is a boundary value problem in </w:t>
      </w:r>
      <m:oMath>
        <m:r>
          <m:t>3N</m:t>
        </m:r>
      </m:oMath>
      <w:r>
        <w:rPr>
          <w:i w:val="0"/>
        </w:rPr>
        <w:t xml:space="preserve"> dimensions, which is why the committor is simultaneously the exact answer and no answer at all: nothing solves an elliptic partial differential equation in ten thousand variables.</w:t>
      </w:r>
    </w:p>
    <w:p>
      <w:r>
        <w:rPr>
          <w:i w:val="0"/>
        </w:rPr>
        <w:t xml:space="preserve">The committor is the reaction coordinate in a defensible sense rather than a rhetorical one. It is a function of configuration alone that contains everything the configuration determines about the outcome, any strictly monotonic function of it carries the same information, and its half-value isosurface </w:t>
      </w:r>
      <m:oMath>
        <m:sSub>
          <m:e>
            <m:r>
              <m:t>p</m:t>
            </m:r>
          </m:e>
          <m:sub>
            <m:r>
              <m:t>B</m:t>
            </m:r>
          </m:sub>
        </m:sSub>
        <m:r>
          <m:t>=1/2</m:t>
        </m:r>
      </m:oMath>
      <w:r>
        <w:rPr>
          <w:i w:val="0"/>
        </w:rPr>
        <w:t xml:space="preserve"> is the transition state ensemble, meaning the set of configurations from which the system is equally likely to fall either way. A collective variable is good to the extent that its level sets coincide with the level sets of </w:t>
      </w:r>
      <m:oMath>
        <m:sSub>
          <m:e>
            <m:r>
              <m:t>p</m:t>
            </m:r>
          </m:e>
          <m:sub>
            <m:r>
              <m:t>B</m:t>
            </m:r>
          </m:sub>
        </m:sSub>
      </m:oMath>
      <w:r>
        <w:rPr>
          <w:i w:val="0"/>
        </w:rPr>
        <w:t>, and the committor-based definition of the transition state ensemble set out in that 2002 review is the one that all later machine-learning work on reaction coordinates inherits.</w:t>
      </w:r>
    </w:p>
    <w:p>
      <w:r>
        <w:rPr>
          <w:i w:val="0"/>
        </w:rPr>
        <w:t xml:space="preserve">This yields a test that can be run on a proposed collective variable. Take configurations from the putative transition state, which for a biased simulation means the top of the free energy profile along </w:t>
      </w:r>
      <m:oMath>
        <m:r>
          <m:t>s</m:t>
        </m:r>
      </m:oMath>
      <w:r>
        <w:rPr>
          <w:i w:val="0"/>
        </w:rPr>
        <w:t xml:space="preserve">, launch many short trajectories from each with randomly drawn momenta, and histogram the resulting committor estimates. If </w:t>
      </w:r>
      <m:oMath>
        <m:r>
          <m:t>s</m:t>
        </m:r>
      </m:oMath>
      <w:r>
        <w:rPr>
          <w:i w:val="0"/>
        </w:rPr>
        <w:t xml:space="preserve"> captures the slow motion, the histogram is peaked near one half, because those configurations really are poised between the two basins. If </w:t>
      </w:r>
      <m:oMath>
        <m:r>
          <m:t>s</m:t>
        </m:r>
      </m:oMath>
      <w:r>
        <w:rPr>
          <w:i w:val="0"/>
        </w:rPr>
        <w:t xml:space="preserve"> misses a slow degree of freedom, the histogram is bimodal, with peaks at zero and one, because the configurations sitting at the apparent barrier top have in fact already committed to one basin or the other along a direction that </w:t>
      </w:r>
      <m:oMath>
        <m:r>
          <m:t>s</m:t>
        </m:r>
      </m:oMath>
      <w:r>
        <w:rPr>
          <w:i w:val="0"/>
        </w:rPr>
        <w:t xml:space="preserve"> does not see. This committor histogram test is a falsification test and only that. It can reject a coordinate, and it says nothing about what to try instead. It is also expensive in exactly the wrong way, since each committor estimate needs on the order of tens to hundreds of trial trajectories per configuration, launched from the transition region that the enhanced sampling was invented to reach in the first place.</w:t>
      </w:r>
    </w:p>
    <w:p>
      <w:r>
        <w:rPr>
          <w:i w:val="0"/>
        </w:rPr>
        <w:t>The problem of getting from data to a coordinate was recognized early. Ao Ma and Aaron R. Dinner in 2005 introduced the first automatic method for identifying reaction coordinates, combining a genetic algorithm with a neural network to select the subset of candidate variables that best predicts the committor from transition path sampling data. The selection is over a list of candidates supplied by the person doing the calculation, which screens a hypothesis space efficiently without generating one.</w:t>
      </w:r>
    </w:p>
    <w:p>
      <w:pPr>
        <w:pStyle w:val="BookSection"/>
      </w:pPr>
      <w:r>
        <w:t>What silence looks like</w:t>
      </w:r>
    </w:p>
    <w:p>
      <w:r>
        <w:rPr>
          <w:i w:val="0"/>
        </w:rPr>
        <w:t xml:space="preserve">Now suppose the collective variable is wrong, in the specific sense that some slow degree of freedom </w:t>
      </w:r>
      <m:oMath>
        <m:r>
          <m:t>q</m:t>
        </m:r>
      </m:oMath>
      <w:r>
        <w:rPr>
          <w:i w:val="0"/>
        </w:rPr>
        <w:t xml:space="preserve"> is orthogonal to </w:t>
      </w:r>
      <m:oMath>
        <m:r>
          <m:t>s</m:t>
        </m:r>
      </m:oMath>
      <w:r>
        <w:rPr>
          <w:i w:val="0"/>
        </w:rPr>
        <w:t xml:space="preserve">. Trace what the simulation actually does. The bias flattens </w:t>
      </w:r>
      <m:oMath>
        <m:r>
          <m:t>F(s)</m:t>
        </m:r>
      </m:oMath>
      <w:r>
        <w:rPr>
          <w:i w:val="0"/>
        </w:rPr>
        <w:t xml:space="preserve">, so the system moves quickly along </w:t>
      </w:r>
      <m:oMath>
        <m:r>
          <m:t>s</m:t>
        </m:r>
      </m:oMath>
      <w:r>
        <w:rPr>
          <w:i w:val="0"/>
        </w:rPr>
        <w:t xml:space="preserve">. At each value of </w:t>
      </w:r>
      <m:oMath>
        <m:r>
          <m:t>s</m:t>
        </m:r>
      </m:oMath>
      <w:r>
        <w:rPr>
          <w:i w:val="0"/>
        </w:rPr>
        <w:t xml:space="preserve"> it must still equilibrate in </w:t>
      </w:r>
      <m:oMath>
        <m:r>
          <m:t>q</m:t>
        </m:r>
      </m:oMath>
      <w:r>
        <w:rPr>
          <w:i w:val="0"/>
        </w:rPr>
        <w:t xml:space="preserve">, and if </w:t>
      </w:r>
      <m:oMath>
        <m:r>
          <m:t>q</m:t>
        </m:r>
      </m:oMath>
      <w:r>
        <w:rPr>
          <w:i w:val="0"/>
        </w:rPr>
        <w:t xml:space="preserve"> relaxes slowly the sampling in </w:t>
      </w:r>
      <m:oMath>
        <m:r>
          <m:t>q</m:t>
        </m:r>
      </m:oMath>
      <w:r>
        <w:rPr>
          <w:i w:val="0"/>
        </w:rPr>
        <w:t xml:space="preserve"> lags behind. When the lag is moderate, the diagnostics catch it: forward and backward passes show hysteresis, and the recovered profile depends on the deposition rate. When the orthogonal relaxation is slow enough that the system essentially never explores </w:t>
      </w:r>
      <m:oMath>
        <m:r>
          <m:t>q</m:t>
        </m:r>
      </m:oMath>
      <w:r>
        <w:rPr>
          <w:i w:val="0"/>
        </w:rPr>
        <w:t xml:space="preserve"> at all on the timescale of the run, both symptoms disappear. The run becomes reproducible, the deposited bias converges cleanly, and the result is a converged estimate of a conditional free energy along </w:t>
      </w:r>
      <m:oMath>
        <m:r>
          <m:t>s</m:t>
        </m:r>
      </m:oMath>
      <w:r>
        <w:rPr>
          <w:i w:val="0"/>
        </w:rPr>
        <w:t xml:space="preserve"> at a fixed and unsampled value of </w:t>
      </w:r>
      <m:oMath>
        <m:r>
          <m:t>q</m:t>
        </m:r>
      </m:oMath>
      <w:r>
        <w:rPr>
          <w:i w:val="0"/>
        </w:rPr>
        <w:t xml:space="preserve">, reported as </w:t>
      </w:r>
      <m:oMath>
        <m:r>
          <m:t>F(s)</m:t>
        </m:r>
      </m:oMath>
      <w:r>
        <w:rPr>
          <w:i w:val="0"/>
        </w:rPr>
        <w:t>.</w:t>
      </w:r>
    </w:p>
    <w:p>
      <w:r>
        <w:rPr>
          <w:i w:val="0"/>
        </w:rPr>
        <w:t xml:space="preserve">The distinction to hold onto is that </w:t>
      </w:r>
      <m:oMath>
        <m:r>
          <m:t>F(s)</m:t>
        </m:r>
      </m:oMath>
      <w:r>
        <w:rPr>
          <w:i w:val="0"/>
        </w:rPr>
        <w:t xml:space="preserve"> as defined by the integral over the delta function is a perfectly legitimate projection of the equilibrium distribution for any </w:t>
      </w:r>
      <m:oMath>
        <m:r>
          <m:t>s</m:t>
        </m:r>
      </m:oMath>
      <w:r>
        <w:rPr>
          <w:i w:val="0"/>
        </w:rPr>
        <w:t xml:space="preserve">, including a useless one. The defect is not in the projection. The defect is that the simulation did not sample the equilibrium distribution, and the standard convergence diagnostics cannot detect this, because they measure whether the bias in </w:t>
      </w:r>
      <m:oMath>
        <m:r>
          <m:t>s</m:t>
        </m:r>
      </m:oMath>
      <w:r>
        <w:rPr>
          <w:i w:val="0"/>
        </w:rPr>
        <w:t xml:space="preserve"> has stopped changing. That is a property of the biased dynamics along </w:t>
      </w:r>
      <m:oMath>
        <m:r>
          <m:t>s</m:t>
        </m:r>
      </m:oMath>
      <w:r>
        <w:rPr>
          <w:i w:val="0"/>
        </w:rPr>
        <w:t xml:space="preserve">. A barrier in a direction orthogonal to </w:t>
      </w:r>
      <m:oMath>
        <m:r>
          <m:t>s</m:t>
        </m:r>
      </m:oMath>
      <w:r>
        <w:rPr>
          <w:i w:val="0"/>
        </w:rPr>
        <w:t xml:space="preserve"> is invisible to any statistic computed from </w:t>
      </w:r>
      <m:oMath>
        <m:r>
          <m:t>s</m:t>
        </m:r>
      </m:oMath>
      <w:r>
        <w:rPr>
          <w:i w:val="0"/>
        </w:rPr>
        <w:t xml:space="preserve"> alone. The output is a smooth, physically plausible surface with a barrier of the wrong height in the wrong place, and nothing about it looks damaged.</w:t>
      </w:r>
    </w:p>
    <w:p>
      <w:r>
        <w:rPr>
          <w:i w:val="0"/>
        </w:rPr>
        <w:t xml:space="preserve">The results of Chapter 10 were obtained by getting this choice right, one system at a time, by hand. Pablo M. Piaggi, Omar Valsson and Michele Parrinello showed in 2017 that enhancing the fluctuations of entropy and enthalpy, used as a pair of collective variables, drives crystallization in atomistic simulations, supplying a general order-parameter pair for first-order freezing. Luigi Bonati and Michele Parrinello in 2018 trained a deep neural network potential on reference energies from the SCAN functional and biased it along a collective variable derived from the Debye structure factor, recovering the free energy surface of silicon at density functional accuracy, obtaining thermodynamic properties near the melting point in good agreement with experiment, and resolving features of the early stages of nucleation in a material whose liquid is metallic and whose crystal is semiconducting. That collective variable was designed by a person from physical reasoning about diffraction, not learned. Haiyang Niu, Luigi Bonati, Pablo M. Piaggi and Michele Parrinello computed the ab initio phase diagram of gallium in 2020, reproducing the equilibria among the liquid, </w:t>
      </w:r>
      <m:oMath>
        <m:r>
          <m:t>α</m:t>
        </m:r>
      </m:oMath>
      <w:r>
        <w:rPr>
          <w:i w:val="0"/>
        </w:rPr>
        <w:t xml:space="preserve">-Ga, </w:t>
      </w:r>
      <m:oMath>
        <m:r>
          <m:t>β</m:t>
        </m:r>
      </m:oMath>
      <w:r>
        <w:rPr>
          <w:i w:val="0"/>
        </w:rPr>
        <w:t xml:space="preserve">-Ga and Ga-II, and showing that formation of the metastable </w:t>
      </w:r>
      <m:oMath>
        <m:r>
          <m:t>β</m:t>
        </m:r>
      </m:oMath>
      <w:r>
        <w:rPr>
          <w:i w:val="0"/>
        </w:rPr>
        <w:t xml:space="preserve"> phase is kinetically favoured over the thermodynamically stable </w:t>
      </w:r>
      <m:oMath>
        <m:r>
          <m:t>α</m:t>
        </m:r>
      </m:oMath>
      <w:r>
        <w:rPr>
          <w:i w:val="0"/>
        </w:rPr>
        <w:t xml:space="preserve"> phase. Haiyang Niu, Pablo M. Piaggi, Michele Invernizzi and Michele Parrinello resolved the nucleation pathway of liquid silica in 2018, a network-forming glass former with no simple structural order parameter to reach for.</w:t>
      </w:r>
    </w:p>
    <w:p>
      <w:r>
        <w:rPr>
          <w:i w:val="0"/>
        </w:rPr>
        <w:t>Each of those required someone to know in advance what distinguishes the phases in a way that also tracks the crossing between them, and each of them can be checked, after the fact, against a measured melting point or a known phase diagram. That check is what makes the successes credible. It is also what will not exist for the systems these methods are being built to attack, where the whole point is that no experimental phase diagram is available. The committor would settle the question, and the committor is defined by a boundary value problem in three times the number of atoms, to be reconstructed from scattered samples of a function nobody can write down.</w:t>
      </w:r>
    </w:p>
    <w:p>
      <w:pPr>
        <w:pStyle w:val="Heading1"/>
      </w:pPr>
      <w:r>
        <w:t>References</w:t>
      </w:r>
    </w:p>
    <w:p>
      <w:pPr>
        <w:spacing w:before="120" w:after="0"/>
        <w:ind w:firstLine="0"/>
      </w:pPr>
      <w:r>
        <w:rPr>
          <w:i w:val="0"/>
        </w:rPr>
        <w:t xml:space="preserve">Barducci, Bussi, Parrinello (2008). Physical Review Letters 100, 020603. </w:t>
      </w:r>
      <w:hyperlink r:id="rId63">
        <w:r>
          <w:rPr>
            <w:rStyle w:val="Hyperlink"/>
          </w:rPr>
          <w:t xml:space="preserve">https://doi.org/10.1103/PhysRevLett.100.020603</w:t>
        </w:r>
      </w:hyperlink>
    </w:p>
    <w:p>
      <w:pPr>
        <w:spacing w:before="120" w:after="0"/>
        <w:ind w:firstLine="0"/>
      </w:pPr>
      <w:r>
        <w:rPr>
          <w:i w:val="0"/>
        </w:rPr>
        <w:t xml:space="preserve">Bartók, Payne, Kondor, Csányi (2010). Physical Review Letters 104, 136403. </w:t>
      </w:r>
      <w:hyperlink r:id="rId64">
        <w:r>
          <w:rPr>
            <w:rStyle w:val="Hyperlink"/>
          </w:rPr>
          <w:t xml:space="preserve">https://doi.org/10.1103/PhysRevLett.104.136403</w:t>
        </w:r>
      </w:hyperlink>
    </w:p>
    <w:p>
      <w:pPr>
        <w:spacing w:before="120" w:after="0"/>
        <w:ind w:firstLine="0"/>
      </w:pPr>
      <w:r>
        <w:rPr>
          <w:i w:val="0"/>
        </w:rPr>
        <w:t xml:space="preserve">Behler, Parrinello (2007). Physical Review Letters 98, 146401. </w:t>
      </w:r>
      <w:hyperlink r:id="rId65">
        <w:r>
          <w:rPr>
            <w:rStyle w:val="Hyperlink"/>
          </w:rPr>
          <w:t xml:space="preserve">https://doi.org/10.1103/PhysRevLett.98.146401</w:t>
        </w:r>
      </w:hyperlink>
    </w:p>
    <w:p>
      <w:pPr>
        <w:spacing w:before="120" w:after="0"/>
        <w:ind w:firstLine="0"/>
      </w:pPr>
      <w:r>
        <w:rPr>
          <w:i w:val="0"/>
        </w:rPr>
        <w:t xml:space="preserve">Bolhuis, Chandler, Dellago, Geissler (2002). Annual Review of Physical Chemistry 53, 291-318. </w:t>
      </w:r>
      <w:hyperlink r:id="rId66">
        <w:r>
          <w:rPr>
            <w:rStyle w:val="Hyperlink"/>
          </w:rPr>
          <w:t xml:space="preserve">https://doi.org/10.1146/annurev.physchem.53.082301.113146</w:t>
        </w:r>
      </w:hyperlink>
    </w:p>
    <w:p>
      <w:pPr>
        <w:spacing w:before="120" w:after="0"/>
        <w:ind w:firstLine="0"/>
      </w:pPr>
      <w:r>
        <w:rPr>
          <w:i w:val="0"/>
        </w:rPr>
        <w:t xml:space="preserve">Bonati, Parrinello (2018). Silicon Liquid Structure and Crystal Nucleation from Ab Initio Deep Metadynamics. Physical Review Letters 121, 265701. </w:t>
      </w:r>
      <w:hyperlink r:id="rId67">
        <w:r>
          <w:rPr>
            <w:rStyle w:val="Hyperlink"/>
          </w:rPr>
          <w:t xml:space="preserve">https://doi.org/10.1103/PhysRevLett.121.265701</w:t>
        </w:r>
      </w:hyperlink>
    </w:p>
    <w:p>
      <w:pPr>
        <w:spacing w:before="120" w:after="0"/>
        <w:ind w:firstLine="0"/>
      </w:pPr>
      <w:r>
        <w:rPr>
          <w:i w:val="0"/>
        </w:rPr>
        <w:t xml:space="preserve">Dellago, Bolhuis, Csajka, Chandler (1998). The Journal of Chemical Physics 108(5), 1964-1977. </w:t>
      </w:r>
      <w:hyperlink r:id="rId68">
        <w:r>
          <w:rPr>
            <w:rStyle w:val="Hyperlink"/>
          </w:rPr>
          <w:t xml:space="preserve">https://doi.org/10.1063/1.475562</w:t>
        </w:r>
      </w:hyperlink>
    </w:p>
    <w:p>
      <w:pPr>
        <w:spacing w:before="120" w:after="0"/>
        <w:ind w:firstLine="0"/>
      </w:pPr>
      <w:r>
        <w:rPr>
          <w:i w:val="0"/>
        </w:rPr>
        <w:t xml:space="preserve">Invernizzi, Parrinello (2020). Rethinking Metadynamics: From Bias Potentials to Probability Distributions. The Journal of Physical Chemistry Letters 11(7), 2731-2736. </w:t>
      </w:r>
      <w:hyperlink r:id="rId69">
        <w:r>
          <w:rPr>
            <w:rStyle w:val="Hyperlink"/>
          </w:rPr>
          <w:t xml:space="preserve">https://doi.org/10.1021/acs.jpclett.0c00497</w:t>
        </w:r>
      </w:hyperlink>
    </w:p>
    <w:p>
      <w:pPr>
        <w:spacing w:before="120" w:after="0"/>
        <w:ind w:firstLine="0"/>
      </w:pPr>
      <w:r>
        <w:rPr>
          <w:i w:val="0"/>
        </w:rPr>
        <w:t xml:space="preserve">Invernizzi, Piaggi, Parrinello (2020). Unified Approach to Enhanced Sampling. Physical Review X 10, 041034. </w:t>
      </w:r>
      <w:hyperlink r:id="rId70">
        <w:r>
          <w:rPr>
            <w:rStyle w:val="Hyperlink"/>
          </w:rPr>
          <w:t xml:space="preserve">https://doi.org/10.1103/PhysRevX.10.041034</w:t>
        </w:r>
      </w:hyperlink>
    </w:p>
    <w:p>
      <w:pPr>
        <w:spacing w:before="120" w:after="0"/>
        <w:ind w:firstLine="0"/>
      </w:pPr>
      <w:r>
        <w:rPr>
          <w:i w:val="0"/>
        </w:rPr>
        <w:t xml:space="preserve">Laio, Parrinello (2002). Proceedings of the National Academy of Sciences 99(20), 12562-12566. </w:t>
      </w:r>
      <w:hyperlink r:id="rId71">
        <w:r>
          <w:rPr>
            <w:rStyle w:val="Hyperlink"/>
          </w:rPr>
          <w:t xml:space="preserve">https://doi.org/10.1073/pnas.202427399</w:t>
        </w:r>
      </w:hyperlink>
    </w:p>
    <w:p>
      <w:pPr>
        <w:spacing w:before="120" w:after="0"/>
        <w:ind w:firstLine="0"/>
      </w:pPr>
      <w:r>
        <w:rPr>
          <w:i w:val="0"/>
        </w:rPr>
        <w:t xml:space="preserve">Ma, Dinner (2005). The Journal of Physical Chemistry B 109(14), 6769-6779. </w:t>
      </w:r>
      <w:hyperlink r:id="rId72">
        <w:r>
          <w:rPr>
            <w:rStyle w:val="Hyperlink"/>
          </w:rPr>
          <w:t xml:space="preserve">https://doi.org/10.1021/jp045546c</w:t>
        </w:r>
      </w:hyperlink>
    </w:p>
    <w:p>
      <w:pPr>
        <w:spacing w:before="120" w:after="0"/>
        <w:ind w:firstLine="0"/>
      </w:pPr>
      <w:r>
        <w:rPr>
          <w:i w:val="0"/>
        </w:rPr>
        <w:t xml:space="preserve">Niu, Bonati, Piaggi, Parrinello (2020). Nature Communications 11, 2654. </w:t>
      </w:r>
      <w:hyperlink r:id="rId73">
        <w:r>
          <w:rPr>
            <w:rStyle w:val="Hyperlink"/>
          </w:rPr>
          <w:t xml:space="preserve">https://doi.org/10.1038/s41467-020-16372-9</w:t>
        </w:r>
      </w:hyperlink>
    </w:p>
    <w:p>
      <w:pPr>
        <w:spacing w:before="120" w:after="0"/>
        <w:ind w:firstLine="0"/>
      </w:pPr>
      <w:r>
        <w:rPr>
          <w:i w:val="0"/>
        </w:rPr>
        <w:t xml:space="preserve">Niu, Piaggi, Invernizzi, Parrinello (2018). Proceedings of the National Academy of Sciences 115, 5348-5352. </w:t>
      </w:r>
      <w:hyperlink r:id="rId74">
        <w:r>
          <w:rPr>
            <w:rStyle w:val="Hyperlink"/>
          </w:rPr>
          <w:t xml:space="preserve">https://doi.org/10.1073/pnas.1803919115</w:t>
        </w:r>
      </w:hyperlink>
    </w:p>
    <w:p>
      <w:pPr>
        <w:spacing w:before="120" w:after="0"/>
        <w:ind w:firstLine="0"/>
      </w:pPr>
      <w:r>
        <w:rPr>
          <w:i w:val="0"/>
        </w:rPr>
        <w:t xml:space="preserve">Piaggi, Parrinello (2019). Physical Review Letters 122, 050601. </w:t>
      </w:r>
      <w:hyperlink r:id="rId75">
        <w:r>
          <w:rPr>
            <w:rStyle w:val="Hyperlink"/>
          </w:rPr>
          <w:t xml:space="preserve">https://doi.org/10.1103/PhysRevLett.122.050601</w:t>
        </w:r>
      </w:hyperlink>
    </w:p>
    <w:p>
      <w:pPr>
        <w:spacing w:before="120" w:after="0"/>
        <w:ind w:firstLine="0"/>
      </w:pPr>
      <w:r>
        <w:rPr>
          <w:i w:val="0"/>
        </w:rPr>
        <w:t xml:space="preserve">Piaggi, Valsson, Parrinello (2017). Physical Review Letters 119, 015701. </w:t>
      </w:r>
      <w:hyperlink r:id="rId76">
        <w:r>
          <w:rPr>
            <w:rStyle w:val="Hyperlink"/>
          </w:rPr>
          <w:t xml:space="preserve">https://doi.org/10.1103/PhysRevLett.119.015701</w:t>
        </w:r>
      </w:hyperlink>
    </w:p>
    <w:p>
      <w:pPr>
        <w:spacing w:before="120" w:after="0"/>
        <w:ind w:firstLine="0"/>
      </w:pPr>
      <w:r>
        <w:rPr>
          <w:i w:val="0"/>
        </w:rPr>
        <w:t xml:space="preserve">The PLUMED consortium (2019). Nature Methods 16(8), 670-673. </w:t>
      </w:r>
      <w:hyperlink r:id="rId77">
        <w:r>
          <w:rPr>
            <w:rStyle w:val="Hyperlink"/>
          </w:rPr>
          <w:t xml:space="preserve">https://doi.org/10.1038/s41592-019-0506-8</w:t>
        </w:r>
      </w:hyperlink>
    </w:p>
    <w:p>
      <w:pPr>
        <w:spacing w:before="120" w:after="0"/>
        <w:ind w:firstLine="0"/>
      </w:pPr>
      <w:r>
        <w:rPr>
          <w:i w:val="0"/>
        </w:rPr>
        <w:t xml:space="preserve">Tribello, Bonomi, Branduardi, Camilloni, Bussi (2014). Computer Physics Communications 185(2), 604-613. </w:t>
      </w:r>
      <w:hyperlink r:id="rId78">
        <w:r>
          <w:rPr>
            <w:rStyle w:val="Hyperlink"/>
          </w:rPr>
          <w:t xml:space="preserve">https://doi.org/10.1016/j.cpc.2013.09.018</w:t>
        </w:r>
      </w:hyperlink>
    </w:p>
    <w:sectPr w:rsidR="007C37E4" w:rsidRPr="008E0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B5B96"/>
    <w:multiLevelType w:val="hybridMultilevel"/>
    <w:tmpl w:val="C0AC2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72072D2"/>
    <w:multiLevelType w:val="multilevel"/>
    <w:tmpl w:val="4F2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19588">
    <w:abstractNumId w:val="1"/>
  </w:num>
  <w:num w:numId="2" w16cid:durableId="658506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3E"/>
    <w:rsid w:val="000059B6"/>
    <w:rsid w:val="00011D75"/>
    <w:rsid w:val="0009176D"/>
    <w:rsid w:val="001300C4"/>
    <w:rsid w:val="003E438B"/>
    <w:rsid w:val="0061693E"/>
    <w:rsid w:val="006E401A"/>
    <w:rsid w:val="00777342"/>
    <w:rsid w:val="007C37E4"/>
    <w:rsid w:val="008E0704"/>
    <w:rsid w:val="00B53BBD"/>
    <w:rsid w:val="00C40D96"/>
    <w:rsid w:val="00DA562F"/>
    <w:rsid w:val="00F31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F657"/>
  <w15:chartTrackingRefBased/>
  <w15:docId w15:val="{295E243A-8DB0-4905-B258-D9314E81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62F"/>
    <w:pPr>
      <w:keepNext/>
      <w:keepLines/>
      <w:spacing w:before="360" w:after="80" w:line="240" w:lineRule="auto"/>
      <w:ind w:firstLine="720"/>
      <w:contextualSpacing/>
      <w:outlineLvl w:val="0"/>
    </w:pPr>
    <w:rPr>
      <w:rFonts w:ascii="Garamond" w:eastAsiaTheme="majorEastAsia" w:hAnsi="Garamond" w:cstheme="majorBidi"/>
    </w:rPr>
  </w:style>
  <w:style w:type="paragraph" w:styleId="Heading1">
    <w:name w:val="heading 1"/>
    <w:basedOn w:val="Normal"/>
    <w:next w:val="Normal"/>
    <w:link w:val="Heading1Char"/>
    <w:uiPriority w:val="9"/>
    <w:qFormat/>
    <w:rsid w:val="003E438B"/>
    <w:pPr>
      <w:ind w:firstLine="0"/>
      <w:jc w:val="center"/>
    </w:pPr>
    <w:rPr>
      <w:b/>
      <w:bCs/>
      <w:sz w:val="48"/>
      <w:szCs w:val="48"/>
    </w:rPr>
  </w:style>
  <w:style w:type="paragraph" w:styleId="Heading2">
    <w:name w:val="heading 2"/>
    <w:basedOn w:val="Normal"/>
    <w:next w:val="Normal"/>
    <w:link w:val="Heading2Char"/>
    <w:uiPriority w:val="9"/>
    <w:semiHidden/>
    <w:unhideWhenUsed/>
    <w:qFormat/>
    <w:rsid w:val="0061693E"/>
    <w:pPr>
      <w:spacing w:before="160"/>
      <w:outlineLvl w:val="1"/>
    </w:pPr>
    <w:rPr>
      <w:rFonts w:asciiTheme="majorHAnsi"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61693E"/>
    <w:pPr>
      <w:spacing w:before="16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61693E"/>
    <w:pPr>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61693E"/>
    <w:pPr>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61693E"/>
    <w:pPr>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61693E"/>
    <w:pPr>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61693E"/>
    <w:pPr>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61693E"/>
    <w:pPr>
      <w:spacing w:after="0"/>
      <w:outlineLvl w:val="8"/>
    </w:pPr>
    <w:rPr>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38B"/>
    <w:rPr>
      <w:rFonts w:ascii="Garamond" w:eastAsiaTheme="majorEastAsia" w:hAnsi="Garamond" w:cstheme="majorBidi"/>
      <w:b/>
      <w:bCs/>
      <w:sz w:val="48"/>
      <w:szCs w:val="48"/>
    </w:rPr>
  </w:style>
  <w:style w:type="character" w:customStyle="1" w:styleId="Heading2Char">
    <w:name w:val="Heading 2 Char"/>
    <w:basedOn w:val="DefaultParagraphFont"/>
    <w:link w:val="Heading2"/>
    <w:uiPriority w:val="9"/>
    <w:semiHidden/>
    <w:rsid w:val="00616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3E"/>
    <w:rPr>
      <w:rFonts w:eastAsiaTheme="majorEastAsia" w:cstheme="majorBidi"/>
      <w:color w:val="272727" w:themeColor="text1" w:themeTint="D8"/>
    </w:rPr>
  </w:style>
  <w:style w:type="paragraph" w:styleId="Title">
    <w:name w:val="Title"/>
    <w:basedOn w:val="Normal"/>
    <w:next w:val="Normal"/>
    <w:link w:val="TitleChar"/>
    <w:uiPriority w:val="10"/>
    <w:qFormat/>
    <w:rsid w:val="00777342"/>
    <w:pPr>
      <w:jc w:val="center"/>
    </w:pPr>
    <w:rPr>
      <w:spacing w:val="-10"/>
      <w:kern w:val="28"/>
      <w:sz w:val="96"/>
      <w:szCs w:val="96"/>
    </w:rPr>
  </w:style>
  <w:style w:type="character" w:customStyle="1" w:styleId="TitleChar">
    <w:name w:val="Title Char"/>
    <w:basedOn w:val="DefaultParagraphFont"/>
    <w:link w:val="Title"/>
    <w:uiPriority w:val="10"/>
    <w:rsid w:val="00777342"/>
    <w:rPr>
      <w:rFonts w:ascii="Garamond" w:eastAsiaTheme="majorEastAsia" w:hAnsi="Garamond" w:cstheme="majorBidi"/>
      <w:b/>
      <w:bCs/>
      <w:spacing w:val="-10"/>
      <w:kern w:val="28"/>
      <w:sz w:val="96"/>
      <w:szCs w:val="96"/>
    </w:rPr>
  </w:style>
  <w:style w:type="paragraph" w:styleId="Subtitle">
    <w:name w:val="Subtitle"/>
    <w:basedOn w:val="Normal"/>
    <w:next w:val="Normal"/>
    <w:link w:val="SubtitleChar"/>
    <w:uiPriority w:val="11"/>
    <w:qFormat/>
    <w:rsid w:val="0061693E"/>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616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3E"/>
    <w:pPr>
      <w:spacing w:before="160"/>
      <w:jc w:val="center"/>
    </w:pPr>
    <w:rPr>
      <w:i/>
      <w:iCs/>
      <w:color w:val="404040" w:themeColor="text1" w:themeTint="BF"/>
    </w:rPr>
  </w:style>
  <w:style w:type="character" w:customStyle="1" w:styleId="QuoteChar">
    <w:name w:val="Quote Char"/>
    <w:basedOn w:val="DefaultParagraphFont"/>
    <w:link w:val="Quote"/>
    <w:uiPriority w:val="29"/>
    <w:rsid w:val="0061693E"/>
    <w:rPr>
      <w:i/>
      <w:iCs/>
      <w:color w:val="404040" w:themeColor="text1" w:themeTint="BF"/>
    </w:rPr>
  </w:style>
  <w:style w:type="paragraph" w:styleId="ListParagraph">
    <w:name w:val="List Paragraph"/>
    <w:basedOn w:val="Normal"/>
    <w:uiPriority w:val="34"/>
    <w:qFormat/>
    <w:rsid w:val="0061693E"/>
    <w:pPr>
      <w:ind w:left="720"/>
    </w:pPr>
  </w:style>
  <w:style w:type="character" w:styleId="IntenseEmphasis">
    <w:name w:val="Intense Emphasis"/>
    <w:basedOn w:val="DefaultParagraphFont"/>
    <w:uiPriority w:val="21"/>
    <w:qFormat/>
    <w:rsid w:val="0061693E"/>
    <w:rPr>
      <w:i/>
      <w:iCs/>
      <w:color w:val="0F4761" w:themeColor="accent1" w:themeShade="BF"/>
    </w:rPr>
  </w:style>
  <w:style w:type="paragraph" w:styleId="IntenseQuote">
    <w:name w:val="Intense Quote"/>
    <w:basedOn w:val="Normal"/>
    <w:next w:val="Normal"/>
    <w:link w:val="IntenseQuoteChar"/>
    <w:uiPriority w:val="30"/>
    <w:qFormat/>
    <w:rsid w:val="0061693E"/>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3E"/>
    <w:rPr>
      <w:i/>
      <w:iCs/>
      <w:color w:val="0F4761" w:themeColor="accent1" w:themeShade="BF"/>
    </w:rPr>
  </w:style>
  <w:style w:type="character" w:styleId="IntenseReference">
    <w:name w:val="Intense Reference"/>
    <w:basedOn w:val="DefaultParagraphFont"/>
    <w:uiPriority w:val="32"/>
    <w:qFormat/>
    <w:rsid w:val="0061693E"/>
    <w:rPr>
      <w:b/>
      <w:bCs/>
      <w:smallCaps/>
      <w:color w:val="0F4761" w:themeColor="accent1" w:themeShade="BF"/>
      <w:spacing w:val="5"/>
    </w:rPr>
  </w:style>
  <w:style w:type="paragraph" w:customStyle="1" w:styleId="msonormal0">
    <w:name w:val="msonormal"/>
    <w:basedOn w:val="Normal"/>
    <w:rsid w:val="0061693E"/>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1693E"/>
    <w:pPr>
      <w:spacing w:before="100" w:beforeAutospacing="1" w:after="100" w:afterAutospacing="1"/>
    </w:pPr>
    <w:rPr>
      <w:rFonts w:ascii="Times New Roman" w:eastAsia="Times New Roman" w:hAnsi="Times New Roman" w:cs="Times New Roman"/>
      <w:kern w:val="0"/>
      <w14:ligatures w14:val="none"/>
    </w:rPr>
  </w:style>
  <w:style w:type="character" w:customStyle="1" w:styleId="math-inline">
    <w:name w:val="math-inline"/>
    <w:basedOn w:val="DefaultParagraphFont"/>
    <w:rsid w:val="0061693E"/>
  </w:style>
  <w:style w:type="character" w:styleId="Hyperlink">
    <w:name w:val="Hyperlink"/>
    <w:basedOn w:val="DefaultParagraphFont"/>
    <w:uiPriority w:val="99"/>
    <w:unhideWhenUsed/>
    <w:rsid w:val="0061693E"/>
    <w:rPr>
      <w:color w:val="0000FF"/>
      <w:u w:val="single"/>
    </w:rPr>
  </w:style>
  <w:style w:type="character" w:styleId="FollowedHyperlink">
    <w:name w:val="FollowedHyperlink"/>
    <w:basedOn w:val="DefaultParagraphFont"/>
    <w:uiPriority w:val="99"/>
    <w:semiHidden/>
    <w:unhideWhenUsed/>
    <w:rsid w:val="0061693E"/>
    <w:rPr>
      <w:color w:val="800080"/>
      <w:u w:val="single"/>
    </w:rPr>
  </w:style>
  <w:style w:type="character" w:styleId="UnresolvedMention">
    <w:name w:val="Unresolved Mention"/>
    <w:basedOn w:val="DefaultParagraphFont"/>
    <w:uiPriority w:val="99"/>
    <w:semiHidden/>
    <w:unhideWhenUsed/>
    <w:rsid w:val="0061693E"/>
    <w:rPr>
      <w:color w:val="605E5C"/>
      <w:shd w:val="clear" w:color="auto" w:fill="E1DFDD"/>
    </w:rPr>
  </w:style>
  <w:style w:type="paragraph" w:customStyle="1" w:styleId="BookSection">
    <w:name w:val="BookSection"/>
    <w:basedOn w:val="Normal"/>
    <w:pPr>
      <w:keepNext/>
      <w:spacing w:before="320" w:after="80"/>
      <w:ind w:firstLine="0"/>
    </w:pPr>
    <w:rPr>
      <w:rFonts w:ascii="Garamond" w:hAnsi="Garamond"/>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dp/B0FG1WRVBB" TargetMode="External"/><Relationship Id="rId18" Type="http://schemas.openxmlformats.org/officeDocument/2006/relationships/hyperlink" Target="https://www.amazon.com/Thinking-Web-Berners-Lee-G%C3%B6del-Turing/dp/0471768146?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6" Type="http://schemas.openxmlformats.org/officeDocument/2006/relationships/hyperlink" Target="https://doi.org/10.2475/ajs.s3-16.96.441" TargetMode="External"/><Relationship Id="rId39" Type="http://schemas.openxmlformats.org/officeDocument/2006/relationships/hyperlink" Target="https://doi.org/10.1063/1.1744102" TargetMode="External"/><Relationship Id="rId21" Type="http://schemas.openxmlformats.org/officeDocument/2006/relationships/hyperlink" Target="https://www.amazon.com/Video-Producing-Internet-Broadband-Technologies/dp/0201703149?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34" Type="http://schemas.openxmlformats.org/officeDocument/2006/relationships/hyperlink" Target="https://doi.org/10.1103/PhysRev.65.117" TargetMode="External"/><Relationship Id="rId42" Type="http://schemas.openxmlformats.org/officeDocument/2006/relationships/hyperlink" Target="https://doi.org/10.1063/1.1734338" TargetMode="External"/><Relationship Id="rId47" Type="http://schemas.openxmlformats.org/officeDocument/2006/relationships/hyperlink" Target="https://doi.org/10.1103/PhysRevB.4.3174" TargetMode="External"/><Relationship Id="rId50" Type="http://schemas.openxmlformats.org/officeDocument/2006/relationships/hyperlink" Target="https://doi.org/10.1103/RevModPhys.46.597" TargetMode="External"/><Relationship Id="rId55" Type="http://schemas.openxmlformats.org/officeDocument/2006/relationships/hyperlink" Target="https://doi.org/10.1038/nphys4037" TargetMode="External"/><Relationship Id="rId7" Type="http://schemas.openxmlformats.org/officeDocument/2006/relationships/hyperlink" Target="https://www.amazon.com/dp/B0FF2RXNSH" TargetMode="External"/><Relationship Id="rId2" Type="http://schemas.openxmlformats.org/officeDocument/2006/relationships/styles" Target="styles.xml"/><Relationship Id="rId16" Type="http://schemas.openxmlformats.org/officeDocument/2006/relationships/hyperlink" Target="https://www.amazon.com/dp/B0F8667YMW" TargetMode="External"/><Relationship Id="rId29" Type="http://schemas.openxmlformats.org/officeDocument/2006/relationships/hyperlink" Target="https://arxiv.org/abs/1612.03062" TargetMode="External"/><Relationship Id="rId11" Type="http://schemas.openxmlformats.org/officeDocument/2006/relationships/hyperlink" Target="https://www.amazon.com/dp/B0FKRHJNKV" TargetMode="External"/><Relationship Id="rId24" Type="http://schemas.openxmlformats.org/officeDocument/2006/relationships/image" Target="media/image2.svg"/><Relationship Id="rId32" Type="http://schemas.openxmlformats.org/officeDocument/2006/relationships/hyperlink" Target="https://doi.org/10.1007/BF02980577" TargetMode="External"/><Relationship Id="rId37" Type="http://schemas.openxmlformats.org/officeDocument/2006/relationships/hyperlink" Target="https://doi.org/10.1103/PhysRev.87.404" TargetMode="External"/><Relationship Id="rId40" Type="http://schemas.openxmlformats.org/officeDocument/2006/relationships/hyperlink" Target="https://jetp.ras.ru/cgi-bin/e/index/e/9/3/p571?a=list" TargetMode="External"/><Relationship Id="rId45" Type="http://schemas.openxmlformats.org/officeDocument/2006/relationships/hyperlink" Target="https://doi.org/10.1103/PhysicsPhysiqueFizika.2.263" TargetMode="External"/><Relationship Id="rId53" Type="http://schemas.openxmlformats.org/officeDocument/2006/relationships/hyperlink" Target="https://doi.org/10.1038/nphys4035" TargetMode="External"/><Relationship Id="rId58" Type="http://schemas.openxmlformats.org/officeDocument/2006/relationships/hyperlink" Target="https://doi.org/10.1103/PhysRevB.97.174435" TargetMode="External"/><Relationship Id="rId5" Type="http://schemas.openxmlformats.org/officeDocument/2006/relationships/hyperlink" Target="https://www.hpeteralesso.com/" TargetMode="External"/><Relationship Id="rId61" Type="http://schemas.openxmlformats.org/officeDocument/2006/relationships/fontTable" Target="fontTable.xml"/><Relationship Id="rId19" Type="http://schemas.openxmlformats.org/officeDocument/2006/relationships/hyperlink" Target="https://www.amazon.com/Developing-Semantic-Services-H-Peter-Alesso-ebook/dp/B07YYNL4KT?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14" Type="http://schemas.openxmlformats.org/officeDocument/2006/relationships/hyperlink" Target="https://www.amazon.com/dp/B0FCV28PMM" TargetMode="External"/><Relationship Id="rId22" Type="http://schemas.openxmlformats.org/officeDocument/2006/relationships/hyperlink" Target="http://www.hpeteralesso.com" TargetMode="External"/><Relationship Id="rId27" Type="http://schemas.openxmlformats.org/officeDocument/2006/relationships/hyperlink" Target="https://gallica.bnf.fr/ark:/12148/bpt6k3414331n.image" TargetMode="External"/><Relationship Id="rId30" Type="http://schemas.openxmlformats.org/officeDocument/2006/relationships/hyperlink" Target="https://doi.org/10.1140/epjst/e2016-60344-y" TargetMode="External"/><Relationship Id="rId35" Type="http://schemas.openxmlformats.org/officeDocument/2006/relationships/hyperlink" Target="https://doi.org/10.1063/1.1724033" TargetMode="External"/><Relationship Id="rId43" Type="http://schemas.openxmlformats.org/officeDocument/2006/relationships/hyperlink" Target="https://books.google.com/books/about/Lectures_in_Theoretical_Physics_Vol_7c.html?id=W6-lXwAACAAJ" TargetMode="External"/><Relationship Id="rId48" Type="http://schemas.openxmlformats.org/officeDocument/2006/relationships/hyperlink" Target="https://doi.org/10.1103/PhysRevLett.28.240" TargetMode="External"/><Relationship Id="rId56" Type="http://schemas.openxmlformats.org/officeDocument/2006/relationships/hyperlink" Target="https://doi.org/10.1103/PhysRevB.96.184410" TargetMode="External"/><Relationship Id="rId8" Type="http://schemas.openxmlformats.org/officeDocument/2006/relationships/hyperlink" Target="https://www.amazon.com/dp/B0FBR8B2W9" TargetMode="External"/><Relationship Id="rId51" Type="http://schemas.openxmlformats.org/officeDocument/2006/relationships/hyperlink" Target="https://doi.org/10.1103/PhysRevLett.47.1" TargetMode="External"/><Relationship Id="rId3" Type="http://schemas.openxmlformats.org/officeDocument/2006/relationships/settings" Target="settings.xml"/><Relationship Id="rId12" Type="http://schemas.openxmlformats.org/officeDocument/2006/relationships/hyperlink" Target="https://www.amazon.com/dp/B0FH5S9WQR" TargetMode="External"/><Relationship Id="rId17" Type="http://schemas.openxmlformats.org/officeDocument/2006/relationships/hyperlink" Target="https://www.amazon.com/Connections-Patterns-Discovery-Wiley-IEEE-ebook/dp/B0017T9E6O?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5" Type="http://schemas.openxmlformats.org/officeDocument/2006/relationships/hyperlink" Target="https://www.ai-hive.net/" TargetMode="External"/><Relationship Id="rId33" Type="http://schemas.openxmlformats.org/officeDocument/2006/relationships/hyperlink" Target="https://doi.org/10.1017/S0305004100019174" TargetMode="External"/><Relationship Id="rId38" Type="http://schemas.openxmlformats.org/officeDocument/2006/relationships/hyperlink" Target="https://doi.org/10.1103/PhysRev.87.410" TargetMode="External"/><Relationship Id="rId46" Type="http://schemas.openxmlformats.org/officeDocument/2006/relationships/hyperlink" Target="https://doi.org/10.1103/PhysRev.185.832" TargetMode="External"/><Relationship Id="rId59" Type="http://schemas.openxmlformats.org/officeDocument/2006/relationships/hyperlink" Target="https://doi.org/10.4007/annals.2021.194.1.3" TargetMode="External"/><Relationship Id="rId20" Type="http://schemas.openxmlformats.org/officeDocument/2006/relationships/hyperlink" Target="https://www.amazon.com/Intelligent-Wireless-Web-Peter-Alesso/dp/0201730634?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41" Type="http://schemas.openxmlformats.org/officeDocument/2006/relationships/hyperlink" Target="https://garfield.library.upenn.edu/histcomp/fisher-me_auth-citing/node/46.html" TargetMode="External"/><Relationship Id="rId54" Type="http://schemas.openxmlformats.org/officeDocument/2006/relationships/hyperlink" Target="https://doi.org/10.1103/PhysRevX.7.031038"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mazon.com/dp/B0FLSP5DM3" TargetMode="External"/><Relationship Id="rId15" Type="http://schemas.openxmlformats.org/officeDocument/2006/relationships/hyperlink" Target="https://www.amazon.com/dp/B0FCNB5VK9" TargetMode="External"/><Relationship Id="rId23" Type="http://schemas.openxmlformats.org/officeDocument/2006/relationships/image" Target="media/image1.png"/><Relationship Id="rId28" Type="http://schemas.openxmlformats.org/officeDocument/2006/relationships/hyperlink" Target="https://doi.org/10.1002/andp.18501550306" TargetMode="External"/><Relationship Id="rId36" Type="http://schemas.openxmlformats.org/officeDocument/2006/relationships/hyperlink" Target="https://doi.org/10.1103/PhysRev.85.808" TargetMode="External"/><Relationship Id="rId49" Type="http://schemas.openxmlformats.org/officeDocument/2006/relationships/hyperlink" Target="https://doi.org/10.1103/PhysRevLett.28.1516" TargetMode="External"/><Relationship Id="rId57" Type="http://schemas.openxmlformats.org/officeDocument/2006/relationships/hyperlink" Target="https://doi.org/10.1103/PhysRevE.98.022138" TargetMode="External"/><Relationship Id="rId10" Type="http://schemas.openxmlformats.org/officeDocument/2006/relationships/hyperlink" Target="https://www.amazon.com/dp/B0FJBD36BV" TargetMode="External"/><Relationship Id="rId31" Type="http://schemas.openxmlformats.org/officeDocument/2006/relationships/hyperlink" Target="https://doi.org/10.1016/B978-0-08-010586-4.50034-1" TargetMode="External"/><Relationship Id="rId44" Type="http://schemas.openxmlformats.org/officeDocument/2006/relationships/hyperlink" Target="https://doi.org/10.1063/1.1696618" TargetMode="External"/><Relationship Id="rId52" Type="http://schemas.openxmlformats.org/officeDocument/2006/relationships/hyperlink" Target="https://doi.org/10.1007/BF01213009" TargetMode="External"/><Relationship Id="rId60" Type="http://schemas.openxmlformats.org/officeDocument/2006/relationships/hyperlink" Target="https://doi.org/10.1103/PhysRevE.108.L032102" TargetMode="External"/><Relationship Id="rId4" Type="http://schemas.openxmlformats.org/officeDocument/2006/relationships/webSettings" Target="webSettings.xml"/><Relationship Id="rId9" Type="http://schemas.openxmlformats.org/officeDocument/2006/relationships/hyperlink" Target="https://www.amazon.com/dp/B0FP8KYXNF" TargetMode="External"/><Relationship Id="rId63" Type="http://schemas.openxmlformats.org/officeDocument/2006/relationships/hyperlink" Target="https://doi.org/10.1103/PhysRevLett.100.020603" TargetMode="External"/><Relationship Id="rId64" Type="http://schemas.openxmlformats.org/officeDocument/2006/relationships/hyperlink" Target="https://doi.org/10.1103/PhysRevLett.104.136403" TargetMode="External"/><Relationship Id="rId65" Type="http://schemas.openxmlformats.org/officeDocument/2006/relationships/hyperlink" Target="https://doi.org/10.1103/PhysRevLett.98.146401" TargetMode="External"/><Relationship Id="rId66" Type="http://schemas.openxmlformats.org/officeDocument/2006/relationships/hyperlink" Target="https://doi.org/10.1146/annurev.physchem.53.082301.113146" TargetMode="External"/><Relationship Id="rId67" Type="http://schemas.openxmlformats.org/officeDocument/2006/relationships/hyperlink" Target="https://doi.org/10.1103/PhysRevLett.121.265701" TargetMode="External"/><Relationship Id="rId68" Type="http://schemas.openxmlformats.org/officeDocument/2006/relationships/hyperlink" Target="https://doi.org/10.1063/1.475562" TargetMode="External"/><Relationship Id="rId69" Type="http://schemas.openxmlformats.org/officeDocument/2006/relationships/hyperlink" Target="https://doi.org/10.1021/acs.jpclett.0c00497" TargetMode="External"/><Relationship Id="rId70" Type="http://schemas.openxmlformats.org/officeDocument/2006/relationships/hyperlink" Target="https://doi.org/10.1103/PhysRevX.10.041034" TargetMode="External"/><Relationship Id="rId71" Type="http://schemas.openxmlformats.org/officeDocument/2006/relationships/hyperlink" Target="https://doi.org/10.1073/pnas.202427399" TargetMode="External"/><Relationship Id="rId72" Type="http://schemas.openxmlformats.org/officeDocument/2006/relationships/hyperlink" Target="https://doi.org/10.1021/jp045546c" TargetMode="External"/><Relationship Id="rId73" Type="http://schemas.openxmlformats.org/officeDocument/2006/relationships/hyperlink" Target="https://doi.org/10.1038/s41467-020-16372-9" TargetMode="External"/><Relationship Id="rId74" Type="http://schemas.openxmlformats.org/officeDocument/2006/relationships/hyperlink" Target="https://doi.org/10.1073/pnas.1803919115" TargetMode="External"/><Relationship Id="rId75" Type="http://schemas.openxmlformats.org/officeDocument/2006/relationships/hyperlink" Target="https://doi.org/10.1103/PhysRevLett.122.050601" TargetMode="External"/><Relationship Id="rId76" Type="http://schemas.openxmlformats.org/officeDocument/2006/relationships/hyperlink" Target="https://doi.org/10.1103/PhysRevLett.119.015701" TargetMode="External"/><Relationship Id="rId77" Type="http://schemas.openxmlformats.org/officeDocument/2006/relationships/hyperlink" Target="https://doi.org/10.1038/s41592-019-0506-8" TargetMode="External"/><Relationship Id="rId78" Type="http://schemas.openxmlformats.org/officeDocument/2006/relationships/hyperlink" Target="https://doi.org/10.1016/j.cpc.2013.09.0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6924</Words>
  <Characters>39473</Characters>
  <Application>Microsoft Office Word</Application>
  <DocSecurity>0</DocSecurity>
  <Lines>328</Lines>
  <Paragraphs>92</Paragraphs>
  <ScaleCrop>false</ScaleCrop>
  <Company/>
  <LinksUpToDate>false</LinksUpToDate>
  <CharactersWithSpaces>46305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Alesso</dc:creator>
  <cp:keywords/>
  <dc:description/>
  <cp:lastModifiedBy>Harry Alesso</cp:lastModifiedBy>
  <cp:revision>8</cp:revision>
  <dcterms:created xsi:type="dcterms:W3CDTF">2026-08-23T17:29:00Z</dcterms:created>
  <dcterms:modified xsi:type="dcterms:W3CDTF">2026-08-23T18:20:00Z</dcterms:modified>
</cp:coreProperties>
</file>