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12</w:t>
      </w:r>
    </w:p>
    <w:p>
      <w:pPr>
        <w:pStyle w:val="Heading1"/>
      </w:pPr>
      <w:r>
        <w:t>Learning the Reaction Coordinate</w:t>
      </w:r>
    </w:p>
    <w:p>
      <w:pPr>
        <w:pStyle w:val="BookSection"/>
      </w:pPr>
      <w:r>
        <w:t>What still had to be guessed</w:t>
      </w:r>
    </w:p>
    <w:p>
      <w:r>
        <w:rPr>
          <w:i w:val="0"/>
        </w:rPr>
        <w:t>In 2018 Luigi Bonati and Michele Parrinello trained a deep neural-network interatomic potential on density functional theory reference energies computed with the SCAN functional, and combined it with metadynamics biased along a collective variable derived from the Debye structure factor. The result recovered the free energy surface of silicon with density functional accuracy, gave thermodynamic properties near the melting point in good agreement with experiment, and revealed features of the nucleation mechanism in the early stages of crystallization. It was an early demonstration that a machine-learned potential can carry enhanced sampling to a first-order phase transition that ab initio molecular dynamics alone cannot reach. Notice what was learned and what was not. The energy function came from data. The coordinate along which the system was pushed came from scattering physics, designed by hand by people who already knew what crystallization looks like.</w:t>
      </w:r>
    </w:p>
    <w:p>
      <w:r>
        <w:rPr>
          <w:i w:val="0"/>
        </w:rPr>
        <w:t xml:space="preserve">That asymmetry is the subject of this chapter. Metadynamics, introduced by Alessandro Laio and Michele Parrinello in 2002, deposits a history-dependent Gaussian bias along a chosen set of collective variables </w:t>
      </w:r>
      <m:oMath>
        <m:r>
          <m:t>s(x)</m:t>
        </m:r>
      </m:oMath>
      <w:r>
        <w:rPr>
          <w:i w:val="0"/>
        </w:rPr>
        <w:t xml:space="preserve">, so that after time </w:t>
      </w:r>
      <m:oMath>
        <m:r>
          <m:t>t</m:t>
        </m:r>
      </m:oMath>
      <w:r>
        <w:rPr>
          <w:i w:val="0"/>
        </w:rPr>
        <w:t xml:space="preserve"> the system feels</w:t>
      </w:r>
    </w:p>
    <w:p>
      <w:pPr>
        <w:spacing w:before="200" w:after="200"/>
        <w:ind w:firstLine="0"/>
        <w:jc w:val="center"/>
        <w:contextualSpacing w:val="0"/>
      </w:pPr>
      <m:oMath>
        <m:r>
          <m:t>V(s,t)=</m:t>
        </m:r>
        <m:nary>
          <m:naryPr>
            <m:chr m:val="∑"/>
            <m:limLoc m:val="subSup"/>
            <m:grow m:val="1"/>
            <m:subHide m:val="off"/>
            <m:supHide m:val="on"/>
          </m:naryPr>
          <m:sub>
            <m:sSup>
              <m:e>
                <m:r>
                  <m:t>t</m:t>
                </m:r>
              </m:e>
              <m:sup>
                <m:r>
                  <m:t>′</m:t>
                </m:r>
              </m:sup>
            </m:sSup>
            <m:r>
              <m:t>&lt;t</m:t>
            </m:r>
          </m:sub>
          <m:sup/>
          <m:e>
            <m:r>
              <m:t>W</m:t>
            </m:r>
            <m:r>
              <m:rPr>
                <m:sty m:val="p"/>
              </m:rPr>
              <m:t>exp</m:t>
            </m:r>
          </m:e>
        </m:nary>
        <m:d>
          <m:dPr>
            <m:sepChr m:val="−"/>
          </m:dPr>
          <m:e/>
          <m:e>
            <m:f>
              <m:fPr>
                <m:type m:val="bar"/>
              </m:fPr>
              <m:num>
                <m:sSup>
                  <m:e>
                    <m:d>
                      <m:dPr>
                        <m:sepChr m:val=""/>
                      </m:dPr>
                      <m:e>
                        <m:sSup>
                          <m:e>
                            <m:r>
                              <m:t>t</m:t>
                            </m:r>
                          </m:e>
                          <m:sup>
                            <m:r>
                              <m:t>′</m:t>
                            </m:r>
                          </m:sup>
                        </m:sSup>
                        <m:r>
                          <m:t>))</m:t>
                        </m:r>
                      </m:e>
                    </m:d>
                  </m:e>
                  <m:sup>
                    <m:r>
                      <m:t>2</m:t>
                    </m:r>
                  </m:sup>
                </m:sSup>
              </m:num>
              <m:den>
                <m:r>
                  <m:t>2</m:t>
                </m:r>
                <m:sSup>
                  <m:e>
                    <m:r>
                      <m:t>σ</m:t>
                    </m:r>
                  </m:e>
                  <m:sup>
                    <m:r>
                      <m:t>2</m:t>
                    </m:r>
                  </m:sup>
                </m:sSup>
              </m:den>
            </m:f>
          </m:e>
        </m:d>
        <m:r>
          <m:t>,</m:t>
        </m:r>
      </m:oMath>
    </w:p>
    <w:p>
      <w:r>
        <w:rPr>
          <w:i w:val="0"/>
        </w:rPr>
        <w:t xml:space="preserve">progressively filling whichever well the trajectory occupies until the barrier is no longer the tallest thing in sight. The accumulated bias converges to the negative of the free energy along </w:t>
      </w:r>
      <m:oMath>
        <m:r>
          <m:t>s</m:t>
        </m:r>
      </m:oMath>
      <w:r>
        <w:rPr>
          <w:i w:val="0"/>
        </w:rPr>
        <w:t xml:space="preserve">, up to an additive constant. In the well-tempered variant of Alessandro Barducci, Giovanni Bussi and Michele Parrinello from 2008, the deposition height is rescaled by </w:t>
      </w:r>
      <m:oMath>
        <m:r>
          <m:rPr>
            <m:sty m:val="p"/>
          </m:rPr>
          <m:t>exp</m:t>
        </m:r>
        <m:r>
          <m:t>(−V(s,t)/</m:t>
        </m:r>
        <m:sSub>
          <m:e>
            <m:r>
              <m:t>k</m:t>
            </m:r>
          </m:e>
          <m:sub>
            <m:r>
              <m:t>B</m:t>
            </m:r>
          </m:sub>
        </m:sSub>
        <m:r>
          <m:t>ΔT)</m:t>
        </m:r>
      </m:oMath>
      <w:r>
        <w:rPr>
          <w:i w:val="0"/>
        </w:rPr>
        <w:t xml:space="preserve">, so that deposition slows where bias has already accumulated; the bias then converges smoothly to </w:t>
      </w:r>
      <m:oMath>
        <m:r>
          <m:t>−</m:t>
        </m:r>
        <m:f>
          <m:fPr>
            <m:type m:val="bar"/>
          </m:fPr>
          <m:num>
            <m:r>
              <m:t>γ−1</m:t>
            </m:r>
          </m:num>
          <m:den>
            <m:r>
              <m:t>γ</m:t>
            </m:r>
          </m:den>
        </m:f>
        <m:r>
          <m:t>F(s)</m:t>
        </m:r>
      </m:oMath>
      <w:r>
        <w:rPr>
          <w:i w:val="0"/>
        </w:rPr>
        <w:t xml:space="preserve"> with </w:t>
      </w:r>
      <m:oMath>
        <m:r>
          <m:t>γ=(T+ΔT)/T</m:t>
        </m:r>
      </m:oMath>
      <w:r>
        <w:rPr>
          <w:i w:val="0"/>
        </w:rPr>
        <w:t xml:space="preserve">, and the single parameter </w:t>
      </w:r>
      <m:oMath>
        <m:r>
          <m:t>γ</m:t>
        </m:r>
      </m:oMath>
      <w:r>
        <w:rPr>
          <w:i w:val="0"/>
        </w:rPr>
        <w:t xml:space="preserve"> sets how far up the landscape sampling is extended. On-the-fly probability enhanced sampling, introduced by Michele Invernizzi and Michele Parrinello in 2020, reformulates the same idea as the direct reconstruction of a target probability distribution rather than of a bias potential, reaching a quasi-static bias faster and degrading far more gracefully when the collective variables are suboptimal or multidimensional. All of these reach production through PLUMED 2, the open-source plugin library described by Gareth A. Tribello, Massimiliano Bonomi, Davide Branduardi, Carlo Camilloni and Giovanni Bussi in 2014, which is also the vehicle by which every learned coordinate in this chapter eventually gets attached to a molecular dynamics engine.</w:t>
      </w:r>
    </w:p>
    <w:p>
      <w:r>
        <w:rPr>
          <w:i w:val="0"/>
        </w:rPr>
        <w:t xml:space="preserve">The failure mode is silent. Bias acts only on the degrees of freedom that enter </w:t>
      </w:r>
      <m:oMath>
        <m:r>
          <m:t>s</m:t>
        </m:r>
      </m:oMath>
      <w:r>
        <w:rPr>
          <w:i w:val="0"/>
        </w:rPr>
        <w:t xml:space="preserve">. If a slow variable is orthogonal to </w:t>
      </w:r>
      <m:oMath>
        <m:r>
          <m:t>s</m:t>
        </m:r>
      </m:oMath>
      <w:r>
        <w:rPr>
          <w:i w:val="0"/>
        </w:rPr>
        <w:t xml:space="preserve">, the profile along </w:t>
      </w:r>
      <m:oMath>
        <m:r>
          <m:t>s</m:t>
        </m:r>
      </m:oMath>
      <w:r>
        <w:rPr>
          <w:i w:val="0"/>
        </w:rPr>
        <w:t xml:space="preserve"> still converges to something, and that something is not the free energy of the transition. The exact object that would remove the ambiguity has been available since 1998, when Christoph Dellago, Peter G. Bolhuis, Felix S. Csajka and David Chandler introduced transition path sampling, performing importance sampling in the space of trajectories rather than configurations and computing rates without prior knowledge of the mechanism, the reaction coordinate, or the transition state. The 2002 review by Peter G. Bolhuis, David Chandler, Christoph Dellago and Phillip L. Geissler, subtitled "throwing ropes over rough mountain passes, in the dark", set out the shooting and shifting Monte Carlo moves in trajectory space and the committor-based definition of the transition state ensemble that all later work inherits. The committor </w:t>
      </w:r>
      <m:oMath>
        <m:r>
          <m:t>q(x)</m:t>
        </m:r>
      </m:oMath>
      <w:r>
        <w:rPr>
          <w:i w:val="0"/>
        </w:rPr>
        <w:t xml:space="preserve"> is the probability that a trajectory started from configuration </w:t>
      </w:r>
      <m:oMath>
        <m:r>
          <m:t>x</m:t>
        </m:r>
      </m:oMath>
      <w:r>
        <w:rPr>
          <w:i w:val="0"/>
        </w:rPr>
        <w:t xml:space="preserve"> with velocities drawn from the Maxwell-Boltzmann distribution reaches product state </w:t>
      </w:r>
      <m:oMath>
        <m:r>
          <m:t>B</m:t>
        </m:r>
      </m:oMath>
      <w:r>
        <w:rPr>
          <w:i w:val="0"/>
        </w:rPr>
        <w:t xml:space="preserve"> before reactant state </w:t>
      </w:r>
      <m:oMath>
        <m:r>
          <m:t>A</m:t>
        </m:r>
      </m:oMath>
      <w:r>
        <w:rPr>
          <w:i w:val="0"/>
        </w:rPr>
        <w:t>. For overdamped Langevin dynamics it satisfies the backward Kolmogorov equation</w:t>
      </w:r>
    </w:p>
    <w:p>
      <w:pPr>
        <w:spacing w:before="200" w:after="200"/>
        <w:ind w:firstLine="0"/>
        <w:jc w:val="center"/>
        <w:contextualSpacing w:val="0"/>
      </w:pPr>
      <m:oMath>
        <m:r>
          <m:t>∇·</m:t>
        </m:r>
        <m:d>
          <m:dPr>
            <m:sepChr m:val=""/>
          </m:dPr>
          <m:e>
            <m:sSup>
              <m:e>
                <m:r>
                  <m:t>e</m:t>
                </m:r>
              </m:e>
              <m:sup>
                <m:r>
                  <m:t>−βU(x)</m:t>
                </m:r>
              </m:sup>
            </m:sSup>
            <m:r>
              <m:t>∇</m:t>
            </m:r>
            <m:r>
              <m:t>q</m:t>
            </m:r>
            <m:r>
              <m:t>(</m:t>
            </m:r>
            <m:r>
              <m:t>x</m:t>
            </m:r>
            <m:r>
              <m:t>)</m:t>
            </m:r>
          </m:e>
        </m:d>
        <m:r>
          <m:t>=0,</m:t>
        </m:r>
        <m:r>
          <m:t>q</m:t>
        </m:r>
        <m:sSub>
          <m:e>
            <m:r>
              <m:t>|</m:t>
            </m:r>
          </m:e>
          <m:sub>
            <m:r>
              <m:t>∂A</m:t>
            </m:r>
          </m:sub>
        </m:sSub>
        <m:r>
          <m:t>=0,</m:t>
        </m:r>
        <m:r>
          <m:t>q</m:t>
        </m:r>
        <m:sSub>
          <m:e>
            <m:r>
              <m:t>|</m:t>
            </m:r>
          </m:e>
          <m:sub>
            <m:r>
              <m:t>∂B</m:t>
            </m:r>
          </m:sub>
        </m:sSub>
        <m:r>
          <m:t>=1,</m:t>
        </m:r>
      </m:oMath>
    </w:p>
    <w:p>
      <w:r>
        <w:rPr>
          <w:i w:val="0"/>
        </w:rPr>
        <w:t xml:space="preserve">and the isosurface </w:t>
      </w:r>
      <m:oMath>
        <m:r>
          <m:t>q=1/2</m:t>
        </m:r>
      </m:oMath>
      <w:r>
        <w:rPr>
          <w:i w:val="0"/>
        </w:rPr>
        <w:t xml:space="preserve"> is the transition state ensemble. The committor is the reaction coordinate, exactly and by construction. It is also, as written, useless: evaluating it at a single point requires launching many trajectories from that point, and locating the surface where it equals a half requires knowing where to launch them.</w:t>
      </w:r>
    </w:p>
    <w:p>
      <w:r>
        <w:rPr>
          <w:i w:val="0"/>
        </w:rPr>
        <w:t>Everything in this chapter is an attempt to estimate that object, or the spectral structure of which it is the one-dimensional shadow, from data a computer can actually collect. The methods differ almost entirely in which data they are willing to require, and that, rather than the choice of objective, is where the field is still stuck. The 2024 Annual Review of Physical Chemistry survey by Shams Mehdi, Zachary Smith, Lukas Herron, Ziyue Zou and Pratyush Tiwary organizes the whole effort into three strategies: dimensionality reduction to collective variables, adaptive sampling in the style of reinforcement learning, and generative flow-based direct sampling. The first and third both appear below, and they fail for the same reason.</w:t>
      </w:r>
    </w:p>
    <w:p>
      <w:pPr>
        <w:pStyle w:val="BookSection"/>
      </w:pPr>
      <w:r>
        <w:t>A variational definition of slowness</w:t>
      </w:r>
    </w:p>
    <w:p>
      <w:r>
        <w:rPr>
          <w:i w:val="0"/>
        </w:rPr>
        <w:t xml:space="preserve">The spectral picture makes "slow" quantitative. Let </w:t>
      </w:r>
      <m:oMath>
        <m:r>
          <m:t>𝒫(τ)</m:t>
        </m:r>
      </m:oMath>
      <w:r>
        <w:rPr>
          <w:i w:val="0"/>
        </w:rPr>
        <w:t xml:space="preserve"> be the propagator that advances a probability density over a lag time </w:t>
      </w:r>
      <m:oMath>
        <m:r>
          <m:t>τ</m:t>
        </m:r>
      </m:oMath>
      <w:r>
        <w:rPr>
          <w:i w:val="0"/>
        </w:rPr>
        <w:t xml:space="preserve">. For dynamics reversible with respect to the Boltzmann density </w:t>
      </w:r>
      <m:oMath>
        <m:r>
          <m:t>μ</m:t>
        </m:r>
      </m:oMath>
      <w:r>
        <w:rPr>
          <w:i w:val="0"/>
        </w:rPr>
        <w:t xml:space="preserve">, the associated transfer operator is self-adjoint in the inner product weighted by </w:t>
      </w:r>
      <m:oMath>
        <m:f>
          <m:fPr>
            <m:type m:val="lin"/>
          </m:fPr>
          <m:num>
            <m:r>
              <m:t>1</m:t>
            </m:r>
          </m:num>
          <m:den>
            <m:r>
              <m:t>μ</m:t>
            </m:r>
          </m:den>
        </m:f>
      </m:oMath>
      <w:r>
        <w:rPr>
          <w:i w:val="0"/>
        </w:rPr>
        <w:t xml:space="preserve">, its spectrum is real, and its eigenvalues satisfy </w:t>
      </w:r>
      <m:oMath>
        <m:r>
          <m:t>1=</m:t>
        </m:r>
        <m:sSub>
          <m:e>
            <m:r>
              <m:t>λ</m:t>
            </m:r>
          </m:e>
          <m:sub>
            <m:r>
              <m:t>1</m:t>
            </m:r>
          </m:sub>
        </m:sSub>
        <m:r>
          <m:t>&gt;</m:t>
        </m:r>
        <m:sSub>
          <m:e>
            <m:r>
              <m:t>λ</m:t>
            </m:r>
          </m:e>
          <m:sub>
            <m:r>
              <m:t>2</m:t>
            </m:r>
          </m:sub>
        </m:sSub>
        <m:r>
          <m:t>≥</m:t>
        </m:r>
        <m:sSub>
          <m:e>
            <m:r>
              <m:t>λ</m:t>
            </m:r>
          </m:e>
          <m:sub>
            <m:r>
              <m:t>3</m:t>
            </m:r>
          </m:sub>
        </m:sSub>
        <m:r>
          <m:t>≥…</m:t>
        </m:r>
      </m:oMath>
      <w:r>
        <w:rPr>
          <w:i w:val="0"/>
        </w:rPr>
        <w:t xml:space="preserve">. The leading eigenfunction is the stationary distribution. Each subsequent eigenvalue defines an implied timescale </w:t>
      </w:r>
      <m:oMath>
        <m:sSub>
          <m:e>
            <m:r>
              <m:t>t</m:t>
            </m:r>
          </m:e>
          <m:sub>
            <m:r>
              <m:t>i</m:t>
            </m:r>
          </m:sub>
        </m:sSub>
        <m:r>
          <m:t>=−τ/</m:t>
        </m:r>
        <m:r>
          <m:rPr>
            <m:sty m:val="p"/>
          </m:rPr>
          <m:t>ln</m:t>
        </m:r>
        <m:sSub>
          <m:e>
            <m:r>
              <m:t>λ</m:t>
            </m:r>
          </m:e>
          <m:sub>
            <m:r>
              <m:t>i</m:t>
            </m:r>
          </m:sub>
        </m:sSub>
      </m:oMath>
      <w:r>
        <w:rPr>
          <w:i w:val="0"/>
        </w:rPr>
        <w:t xml:space="preserve">, and its eigenfunction </w:t>
      </w:r>
      <m:oMath>
        <m:sSub>
          <m:e>
            <m:r>
              <m:t>ψ</m:t>
            </m:r>
          </m:e>
          <m:sub>
            <m:r>
              <m:t>i</m:t>
            </m:r>
          </m:sub>
        </m:sSub>
        <m:r>
          <m:t>(x)</m:t>
        </m:r>
      </m:oMath>
      <w:r>
        <w:rPr>
          <w:i w:val="0"/>
        </w:rPr>
        <w:t xml:space="preserve"> is a function on configuration space whose sign structure says which slowly interconverting regions the system is being partitioned into. A two-state process with one barrier has one eigenvalue near unity below the first, and its eigenfunction is monotonic across the barrier. That eigenfunction, not any geometric variable, is the thing a collective variable should approximate.</w:t>
      </w:r>
    </w:p>
    <w:p>
      <w:r>
        <w:rPr>
          <w:i w:val="0"/>
        </w:rPr>
        <w:t xml:space="preserve">The variational principle for conformational dynamics makes this estimable. For any trial function, the Rayleigh quotient of the transfer operator is a lower bound on the true eigenvalue, so maximizing an estimated autocorrelation over a family of trial functions moves the estimate toward the true slow mode from below rather than in an uncontrolled direction. Time-lagged independent component analysis is what this becomes when the family is linear. Introduced to molecular kinetics in 2013 by Guillermo Pérez-Hernández, Fabian Paul, Toni Giorgino, Gianni De Fabritiis and Frank Noé, it takes a vector of molecular features </w:t>
      </w:r>
      <m:oMath>
        <m:r>
          <m:t>y(x)</m:t>
        </m:r>
      </m:oMath>
      <w:r>
        <w:rPr>
          <w:i w:val="0"/>
        </w:rPr>
        <w:t xml:space="preserve">, forms the instantaneous covariance </w:t>
      </w:r>
      <m:oMath>
        <m:r>
          <m:t>C(0)</m:t>
        </m:r>
      </m:oMath>
      <w:r>
        <w:rPr>
          <w:i w:val="0"/>
        </w:rPr>
        <w:t xml:space="preserve"> and the time-lagged covariance </w:t>
      </w:r>
      <m:oMath>
        <m:r>
          <m:t>C(τ)</m:t>
        </m:r>
      </m:oMath>
      <w:r>
        <w:rPr>
          <w:i w:val="0"/>
        </w:rPr>
        <w:t xml:space="preserve"> with entries </w:t>
      </w:r>
      <m:oMath>
        <m:r>
          <m:t>⟨</m:t>
        </m:r>
        <m:sSub>
          <m:e>
            <m:r>
              <m:t>y</m:t>
            </m:r>
          </m:e>
          <m:sub>
            <m:r>
              <m:t>i</m:t>
            </m:r>
          </m:sub>
        </m:sSub>
        <m:r>
          <m:t>(</m:t>
        </m:r>
        <m:sSub>
          <m:e>
            <m:r>
              <m:t>x</m:t>
            </m:r>
          </m:e>
          <m:sub>
            <m:r>
              <m:t>t</m:t>
            </m:r>
          </m:sub>
        </m:sSub>
        <m:r>
          <m:t>)</m:t>
        </m:r>
        <m:sSub>
          <m:e>
            <m:r>
              <m:t>y</m:t>
            </m:r>
          </m:e>
          <m:sub>
            <m:r>
              <m:t>j</m:t>
            </m:r>
          </m:sub>
        </m:sSub>
        <m:r>
          <m:t>(</m:t>
        </m:r>
        <m:sSub>
          <m:e>
            <m:r>
              <m:t>x</m:t>
            </m:r>
          </m:e>
          <m:sub>
            <m:r>
              <m:t>t+τ</m:t>
            </m:r>
          </m:sub>
        </m:sSub>
        <m:r>
          <m:t>)⟩</m:t>
        </m:r>
      </m:oMath>
      <w:r>
        <w:rPr>
          <w:i w:val="0"/>
        </w:rPr>
        <w:t>, and solves the generalized eigenvalue problem</w:t>
      </w:r>
    </w:p>
    <w:p>
      <w:pPr>
        <w:spacing w:before="200" w:after="200"/>
        <w:ind w:firstLine="0"/>
        <w:jc w:val="center"/>
        <w:contextualSpacing w:val="0"/>
      </w:pPr>
      <m:oMath>
        <m:r>
          <m:t>C(τ)</m:t>
        </m:r>
        <m:r>
          <m:t>u=λ</m:t>
        </m:r>
        <m:r>
          <m:t>C(0)</m:t>
        </m:r>
        <m:r>
          <m:t>u.</m:t>
        </m:r>
      </m:oMath>
    </w:p>
    <w:p>
      <w:r>
        <w:rPr>
          <w:i w:val="0"/>
        </w:rPr>
        <w:t xml:space="preserve">The projections </w:t>
      </w:r>
      <m:oMath>
        <m:sSup>
          <m:e>
            <m:r>
              <m:t>u</m:t>
            </m:r>
          </m:e>
          <m:sup>
            <m:r>
              <m:t>⊤</m:t>
            </m:r>
          </m:sup>
        </m:sSup>
        <m:r>
          <m:t>y</m:t>
        </m:r>
      </m:oMath>
      <w:r>
        <w:rPr>
          <w:i w:val="0"/>
        </w:rPr>
        <w:t xml:space="preserve"> are the linear combinations of features that decorrelate most slowly, and the same paper showed this replaces intuition-based feature selection in the construction of Markov state models. Christian R. Schwantes and Vijay S. Pande introduced time-structure based independent component analysis for the same purpose independently in 2013, and used it to reveal extensive non-native contacts in the folding of the protein NTL9, a mechanism that a coordinate chosen by eye from native-state geometry would not have exposed.</w:t>
      </w:r>
    </w:p>
    <w:p>
      <w:r>
        <w:rPr>
          <w:i w:val="0"/>
        </w:rPr>
        <w:t>The reason to care about which functions are resolved was established in 2011 by Jan-Hendrik Prinz, Hao Wu, Marco Sarich, Bettina Keller, Martin Senne, Martin Held, John D. Chodera, Christof Schütte and Frank Noé, who bounded the approximation error incurred when continuous dynamics is discretized into a transition matrix over states, and showed that the error shrinks as the discretization resolves the slow eigenfunctions of the transfer operator. A Markov state model is not accurate because its states are small. It is accurate because its state boundaries fall where the slow eigenfunctions change sign. That result converts the practical question, how to cluster, into the same spectral question, and it is why the entire downstream pipeline is only as good as the coordinates fed into the clustering.</w:t>
      </w:r>
    </w:p>
    <w:p>
      <w:pPr>
        <w:pStyle w:val="BookSection"/>
      </w:pPr>
      <w:r>
        <w:t>One network for the whole pipeline</w:t>
      </w:r>
    </w:p>
    <w:p>
      <w:r>
        <w:rPr>
          <w:i w:val="0"/>
        </w:rPr>
        <w:t xml:space="preserve">Time-lagged independent component analysis is variationally optimal only within the linear span of whatever features were handed to it, which relocates the guesswork rather than removing it. Andreas Mardt, Luca Pasquali, Hao Wu and Frank Noé removed the pipeline instead. VAMPnets, introduced in 2018, replace featurization, dimension reduction, clustering and transition matrix estimation with one neural network trained end to end. The architecture has two lobes with shared weights, one receiving the configuration at time </w:t>
      </w:r>
      <m:oMath>
        <m:r>
          <m:t>t</m:t>
        </m:r>
      </m:oMath>
      <w:r>
        <w:rPr>
          <w:i w:val="0"/>
        </w:rPr>
        <w:t xml:space="preserve"> and the other at </w:t>
      </w:r>
      <m:oMath>
        <m:r>
          <m:t>t+τ</m:t>
        </m:r>
      </m:oMath>
      <w:r>
        <w:rPr>
          <w:i w:val="0"/>
        </w:rPr>
        <w:t xml:space="preserve">, and the output is a soft assignment </w:t>
      </w:r>
      <m:oMath>
        <m:r>
          <m:t>χ(x)</m:t>
        </m:r>
      </m:oMath>
      <w:r>
        <w:rPr>
          <w:i w:val="0"/>
        </w:rPr>
        <w:t xml:space="preserve"> to a small number of states through a softmax layer. The training objective is a variational score for Markov processes, computed from the empirical covariances of the outputs: whitening by the instantaneous covariances gives</w:t>
      </w:r>
    </w:p>
    <w:p>
      <w:pPr>
        <w:spacing w:before="200" w:after="200"/>
        <w:ind w:firstLine="0"/>
        <w:jc w:val="center"/>
        <w:contextualSpacing w:val="0"/>
      </w:pPr>
      <m:oMath>
        <m:acc>
          <m:accPr>
            <m:chr m:val="̂"/>
          </m:accPr>
          <m:e>
            <m:r>
              <m:t>K</m:t>
            </m:r>
          </m:e>
        </m:acc>
        <m:r>
          <m:t>=</m:t>
        </m:r>
        <m:sSubSup>
          <m:e>
            <m:r>
              <m:t>C</m:t>
            </m:r>
          </m:e>
          <m:sub>
            <m:r>
              <m:t>00</m:t>
            </m:r>
          </m:sub>
          <m:sup>
            <m:r>
              <m:t>−1/2</m:t>
            </m:r>
          </m:sup>
        </m:sSubSup>
        <m:sSub>
          <m:e>
            <m:r>
              <m:t>C</m:t>
            </m:r>
          </m:e>
          <m:sub>
            <m:r>
              <m:t>0τ</m:t>
            </m:r>
          </m:sub>
        </m:sSub>
        <m:sSubSup>
          <m:e>
            <m:r>
              <m:t>C</m:t>
            </m:r>
          </m:e>
          <m:sub>
            <m:r>
              <m:t>ττ</m:t>
            </m:r>
          </m:sub>
          <m:sup>
            <m:r>
              <m:t>−1/2</m:t>
            </m:r>
          </m:sup>
        </m:sSubSup>
        <m:r>
          <m:t>,</m:t>
        </m:r>
      </m:oMath>
    </w:p>
    <w:p>
      <w:r>
        <w:rPr>
          <w:i w:val="0"/>
        </w:rPr>
        <w:t xml:space="preserve">and the VAMP-2 score is the squared Frobenius norm of </w:t>
      </w:r>
      <m:oMath>
        <m:acc>
          <m:accPr>
            <m:chr m:val="̂"/>
          </m:accPr>
          <m:e>
            <m:r>
              <m:t>K</m:t>
            </m:r>
          </m:e>
        </m:acc>
      </m:oMath>
      <w:r>
        <w:rPr>
          <w:i w:val="0"/>
        </w:rPr>
        <w:t>, that is, the sum of the squared singular values. Because that sum is bounded above by its value for the true propagator, maximizing it drives the network output toward a basis spanning the slow subspace. The score requires no reversibility assumption, which is why it is stated in terms of singular values rather than eigenvalues. What comes out is a soft partition into metastable states together with a transition matrix among them, obtained without anyone choosing a distance metric or a number of clusters by hand.</w:t>
      </w:r>
    </w:p>
    <w:p>
      <w:r>
        <w:rPr>
          <w:i w:val="0"/>
        </w:rPr>
        <w:t xml:space="preserve">Christoph Wehmeyer and Frank Noé examined a different objective in the same year. A time-lagged autoencoder is an encoder-decoder network trained not to reconstruct its input but to predict the configuration at </w:t>
      </w:r>
      <m:oMath>
        <m:r>
          <m:t>t+τ</m:t>
        </m:r>
      </m:oMath>
      <w:r>
        <w:rPr>
          <w:i w:val="0"/>
        </w:rPr>
        <w:t xml:space="preserve"> from the configuration at </w:t>
      </w:r>
      <m:oMath>
        <m:r>
          <m:t>t</m:t>
        </m:r>
      </m:oMath>
      <w:r>
        <w:rPr>
          <w:i w:val="0"/>
        </w:rPr>
        <w:t>, so the bottleneck must retain whatever is predictable over that lag and may discard whatever decorrelates faster. It does recover low-dimensional embeddings that capture the slow dynamics, and the analysis of how the objective relates to and differs from time-lagged independent component analysis matters more than the method: reconstruction error and a variational bound are not the same criterion, and only the second carries a guarantee about the direction of the error.</w:t>
      </w:r>
    </w:p>
    <w:p>
      <w:pPr>
        <w:pStyle w:val="BookSection"/>
      </w:pPr>
      <w:r>
        <w:t>Coordinates from data that never crossed</w:t>
      </w:r>
    </w:p>
    <w:p>
      <w:r>
        <w:rPr>
          <w:i w:val="0"/>
        </w:rPr>
        <w:t>Both approaches above require trajectories containing the transition. That is exactly the data a rare event does not supply. The line developed in Michele Parrinello's group takes the opposite starting point, learning from short unbiased simulations that stay inside the basins.</w:t>
      </w:r>
    </w:p>
    <w:p>
      <w:r>
        <w:rPr>
          <w:i w:val="0"/>
        </w:rPr>
        <w:t>Deep-LDA, introduced by Luigi Bonati, Valerio Rizzi and Michele Parrinello in 2020, feeds a large set of physical descriptors into a neural network and applies Fisher's linear discriminant to the network output. The discriminant maximizes</w:t>
      </w:r>
    </w:p>
    <w:p>
      <w:pPr>
        <w:spacing w:before="200" w:after="200"/>
        <w:ind w:firstLine="0"/>
        <w:jc w:val="center"/>
        <w:contextualSpacing w:val="0"/>
      </w:pPr>
      <m:oMath>
        <m:r>
          <m:t>J(w)=</m:t>
        </m:r>
        <m:f>
          <m:fPr>
            <m:type m:val="bar"/>
          </m:fPr>
          <m:num>
            <m:sSup>
              <m:e>
                <m:r>
                  <m:t>w</m:t>
                </m:r>
              </m:e>
              <m:sup>
                <m:r>
                  <m:t>⊤</m:t>
                </m:r>
              </m:sup>
            </m:sSup>
            <m:sSub>
              <m:e>
                <m:r>
                  <m:t>S</m:t>
                </m:r>
              </m:e>
              <m:sub>
                <m:r>
                  <m:t>b</m:t>
                </m:r>
              </m:sub>
            </m:sSub>
            <m:r>
              <m:t>w</m:t>
            </m:r>
          </m:num>
          <m:den>
            <m:sSup>
              <m:e>
                <m:r>
                  <m:t>w</m:t>
                </m:r>
              </m:e>
              <m:sup>
                <m:r>
                  <m:t>⊤</m:t>
                </m:r>
              </m:sup>
            </m:sSup>
            <m:sSub>
              <m:e>
                <m:r>
                  <m:t>S</m:t>
                </m:r>
              </m:e>
              <m:sub>
                <m:r>
                  <m:t>w</m:t>
                </m:r>
              </m:sub>
            </m:sSub>
            <m:r>
              <m:t>w</m:t>
            </m:r>
          </m:den>
        </m:f>
        <m:r>
          <m:t>,</m:t>
        </m:r>
      </m:oMath>
    </w:p>
    <w:p>
      <w:r>
        <w:rPr>
          <w:i w:val="0"/>
        </w:rPr>
        <w:t xml:space="preserve">the ratio of between-state to within-state scatter, solved as the generalized eigenvalue problem </w:t>
      </w:r>
      <m:oMath>
        <m:sSub>
          <m:e>
            <m:r>
              <m:t>S</m:t>
            </m:r>
          </m:e>
          <m:sub>
            <m:r>
              <m:t>b</m:t>
            </m:r>
          </m:sub>
        </m:sSub>
        <m:r>
          <m:t>w=λ</m:t>
        </m:r>
        <m:sSub>
          <m:e>
            <m:r>
              <m:t>S</m:t>
            </m:r>
          </m:e>
          <m:sub>
            <m:r>
              <m:t>w</m:t>
            </m:r>
          </m:sub>
        </m:sSub>
        <m:r>
          <m:t>w</m:t>
        </m:r>
      </m:oMath>
      <w:r>
        <w:rPr>
          <w:i w:val="0"/>
        </w:rPr>
        <w:t>. Applying it to a learned representation rather than to raw descriptors makes the separating surface nonlinear in the physical variables while keeping the objective a closed-form eigenproblem, and the whole thing is differentiable, so the network and the discriminant are trained together. The scatter matrices are estimated from configurations sampled within each basin. No barrier crossing is required, because the objective asks only which combination of descriptors best distinguishes the states, not how the system travels between them.</w:t>
      </w:r>
    </w:p>
    <w:p>
      <w:r>
        <w:rPr>
          <w:i w:val="0"/>
        </w:rPr>
        <w:t>Deep-TDA, introduced by Enrico Trizio and Michele Parrinello in 2021, replaces the discriminant with a target distribution. The network maps configurations onto a single scalar, and the loss penalizes the deviation of the per-state mean and variance of that scalar from pre-assigned values, chosen so that each metastable state occupies its own well-separated peak on the real line. Because the target is fixed in advance, the resulting variable comes out on an interpretable scale, and the free energy profile computed along it is directly readable as a reaction profile rather than as an arbitrary latent axis.</w:t>
      </w:r>
    </w:p>
    <w:p>
      <w:r>
        <w:rPr>
          <w:i w:val="0"/>
        </w:rPr>
        <w:t>What both methods buy with basin-only data they pay for in labels. A discriminant needs classes, and a target distribution needs one peak per state, so the metastable states have to be enumerated before training begins.</w:t>
      </w:r>
    </w:p>
    <w:p>
      <w:pPr>
        <w:pStyle w:val="BookSection"/>
      </w:pPr>
      <w:r>
        <w:t>Coordinates from data that was pushed</w:t>
      </w:r>
    </w:p>
    <w:p>
      <w:r>
        <w:rPr>
          <w:i w:val="0"/>
        </w:rPr>
        <w:t xml:space="preserve">The other way to get data near the barrier is to force the system there and correct for the forcing afterwards. Deep-TICA, introduced in 2021 by Luigi Bonati, by GiovanniMaria Piccini of Istituto Eulero at the Università della Svizzera italiana, and by Michele Parrinello, extracts transfer-operator eigenfunctions from trajectories that are already biased. Under a static bias </w:t>
      </w:r>
      <m:oMath>
        <m:r>
          <m:t>V(x)</m:t>
        </m:r>
      </m:oMath>
      <w:r>
        <w:rPr>
          <w:i w:val="0"/>
        </w:rPr>
        <w:t xml:space="preserve"> at inverse temperature </w:t>
      </w:r>
      <m:oMath>
        <m:r>
          <m:t>β</m:t>
        </m:r>
      </m:oMath>
      <w:r>
        <w:rPr>
          <w:i w:val="0"/>
        </w:rPr>
        <w:t xml:space="preserve">, configurations sampled from the biased ensemble carry statistical weight </w:t>
      </w:r>
      <m:oMath>
        <m:sSup>
          <m:e>
            <m:r>
              <m:t>e</m:t>
            </m:r>
          </m:e>
          <m:sup>
            <m:r>
              <m:t>βV(x)</m:t>
            </m:r>
          </m:sup>
        </m:sSup>
      </m:oMath>
      <w:r>
        <w:rPr>
          <w:i w:val="0"/>
        </w:rPr>
        <w:t xml:space="preserve"> relative to equilibrium, and the correlation matrices entering the eigenvalue problem are accumulated with those weights, with the lag measured in a rescaled time that accounts for the acceleration the bias produces. The eigenfunctions recovered are therefore those of the unbiased dynamics, estimated from data that the unbiased dynamics would have taken far too long to produce. The learned slow modes are then exported as collective variables for on-the-fly probability enhanced sampling, and the cycle repeats: a crude initial bias yields a few crossings, those crossings yield a better coordinate, the better coordinate yields a bias that produces many more crossings. The procedure was demonstrated on conformational transitions, mini-protein folding, and materials crystallization.</w:t>
      </w:r>
    </w:p>
    <w:p>
      <w:r>
        <w:rPr>
          <w:i w:val="0"/>
        </w:rPr>
        <w:t>Making that loop routine required software. The library mlcolvar, released in 2023 by Luigi Bonati, Enrico Trizio, Andrea Rizzi and Michele Parrinello, gathers the main families of machine-learned collective variables under one PyTorch interface with a multi-task training framework, so that a discriminant objective and a slow-mode objective can be imposed on the same network, and exports trained models directly to PLUMED. That last step is not a convenience. A collective variable is only a hypothesis until it is used to bias a simulation, and the biased simulation is the only test of it.</w:t>
      </w:r>
    </w:p>
    <w:p>
      <w:r>
        <w:rPr>
          <w:i w:val="0"/>
        </w:rPr>
        <w:t>Testing carries its own problem, which the PLUMED consortium named in a 2019 statement in Nature Methods. Biased simulation has many free parameters: bias height and width, deposition rate, tempering factor, lag time, choice of descriptors. Two groups reporting the same free energy barrier may have made different choices at every one of them. PLUMED-NEST, the public archive of complete input files established by that statement, exists so that the settings behind a published surface can be retrieved rather than reconstructed from a methods section. Learned coordinates make this sharper rather than softer, since a trained network is a much larger object than a dihedral angle and cannot be transcribed into prose at all.</w:t>
      </w:r>
    </w:p>
    <w:p>
      <w:pPr>
        <w:pStyle w:val="BookSection"/>
      </w:pPr>
      <w:r>
        <w:t>Bottlenecks and gaps</w:t>
      </w:r>
    </w:p>
    <w:p>
      <w:r>
        <w:rPr>
          <w:i w:val="0"/>
        </w:rPr>
        <w:t>A third line asks what makes a coordinate good and optimizes that quantity directly. SGOOP, introduced by Pratyush Tiwary and B. J. Berne in 2016, selects a reaction coordinate by maximizing the spectral gap, the separation between the slow eigenvalues and the fast ones, of a transition matrix inferred through a Maximum Caliber model. Maximum Caliber is the path-space form of maximum entropy: among all distributions over trajectories consistent with the imposed constraints, choose the one of greatest path entropy. The constraints combine a stationary probability density along the trial coordinate, obtained from a biased simulation such as metadynamics, with dynamical information estimated from short unbiased trajectories. Maximizing the gap rather than the leading eigenvalue encodes a specific claim about what a good coordinate is: not merely that some process along it is slow, but that a clean timescale separation exists, so that the remaining degrees of freedom can be treated as fast noise.</w:t>
      </w:r>
    </w:p>
    <w:p>
      <w:r>
        <w:rPr>
          <w:i w:val="0"/>
        </w:rPr>
        <w:t>RAVE, introduced in 2018 by João Marcelo Lamim Ribeiro, Pablo Bravo, Yihang Wang and Pratyush Tiwary, closes a loop of the same shape as the Deep-TICA loop but with a variational autoencoder in place of the eigenproblem. Trajectory data, reweighted to remove the effect of whatever bias produced it, trains a latent coordinate; biased simulation along that coordinate produces new data; the two alternate until the learned variable and the free energy landscape it generates are mutually consistent. Self-consistency is the convergence criterion, and it is weaker than a variational bound, because a fixed point of the iteration need not be the slowest process.</w:t>
      </w:r>
    </w:p>
    <w:p>
      <w:r>
        <w:rPr>
          <w:i w:val="0"/>
        </w:rPr>
        <w:t xml:space="preserve">The State Predictive Information Bottleneck, introduced by Dedi Wang and Pratyush Tiwary in 2021, states the objective in information-theoretic terms. Learn a latent representation </w:t>
      </w:r>
      <m:oMath>
        <m:r>
          <m:t>z</m:t>
        </m:r>
      </m:oMath>
      <w:r>
        <w:rPr>
          <w:i w:val="0"/>
        </w:rPr>
        <w:t xml:space="preserve"> of the current configuration that is maximally predictive of which metastable state the system occupies after a delay </w:t>
      </w:r>
      <m:oMath>
        <m:r>
          <m:t>Δt</m:t>
        </m:r>
      </m:oMath>
      <w:r>
        <w:rPr>
          <w:i w:val="0"/>
        </w:rPr>
        <w:t xml:space="preserve">, while carrying as little information about the configuration itself as possible, trading the two terms </w:t>
      </w:r>
      <m:oMath>
        <m:r>
          <m:t>I(z;</m:t>
        </m:r>
        <m:sSup>
          <m:e>
            <m:r>
              <m:t>y</m:t>
            </m:r>
          </m:e>
          <m:sup>
            <m:r>
              <m:t>Δt</m:t>
            </m:r>
          </m:sup>
        </m:sSup>
        <m:r>
          <m:t>)</m:t>
        </m:r>
      </m:oMath>
      <w:r>
        <w:rPr>
          <w:i w:val="0"/>
        </w:rPr>
        <w:t xml:space="preserve"> and </w:t>
      </w:r>
      <m:oMath>
        <m:r>
          <m:t>I(z;X)</m:t>
        </m:r>
      </m:oMath>
      <w:r>
        <w:rPr>
          <w:i w:val="0"/>
        </w:rPr>
        <w:t xml:space="preserve"> against each other. Wang and Tiwary showed that the learned representation is closely connected to the committor, which is what one should expect: a compressed variable whose only job is to predict future state membership is being trained on exactly the quantity the committor defines. The delay time is the resolution knob, controlling how finely metastable states are distinguished, since states that interconvert faster than </w:t>
      </w:r>
      <m:oMath>
        <m:r>
          <m:t>Δt</m:t>
        </m:r>
      </m:oMath>
      <w:r>
        <w:rPr>
          <w:i w:val="0"/>
        </w:rPr>
        <w:t xml:space="preserve"> merge into one prediction target.</w:t>
      </w:r>
    </w:p>
    <w:p>
      <w:pPr>
        <w:pStyle w:val="BookSection"/>
      </w:pPr>
      <w:r>
        <w:t>Abandoning the trajectory</w:t>
      </w:r>
    </w:p>
    <w:p>
      <w:r>
        <w:rPr>
          <w:i w:val="0"/>
        </w:rPr>
        <w:t xml:space="preserve">A different strand rejects the premise. If what is wanted is equilibrium statistics, the dynamics is a means, and an expensive one. Boltzmann generators, introduced by Frank Noé, Simon Olsson, Jonas Köhler and Hao Wu in 2019, train an invertible neural network to map a simple Gaussian latent variable </w:t>
      </w:r>
      <m:oMath>
        <m:r>
          <m:t>z</m:t>
        </m:r>
      </m:oMath>
      <w:r>
        <w:rPr>
          <w:i w:val="0"/>
        </w:rPr>
        <w:t xml:space="preserve"> onto configurations </w:t>
      </w:r>
      <m:oMath>
        <m:r>
          <m:t>x=F(z)</m:t>
        </m:r>
      </m:oMath>
      <w:r>
        <w:rPr>
          <w:i w:val="0"/>
        </w:rPr>
        <w:t xml:space="preserve">. Invertibility means the density of generated configurations is known exactly by change of variables, </w:t>
      </w:r>
      <m:oMath>
        <m:sSub>
          <m:e>
            <m:r>
              <m:t>q</m:t>
            </m:r>
          </m:e>
          <m:sub>
            <m:r>
              <m:t>X</m:t>
            </m:r>
          </m:sub>
        </m:sSub>
        <m:r>
          <m:t>(x)=</m:t>
        </m:r>
        <m:sSub>
          <m:e>
            <m:r>
              <m:t>q</m:t>
            </m:r>
          </m:e>
          <m:sub>
            <m:r>
              <m:t>Z</m:t>
            </m:r>
          </m:sub>
        </m:sSub>
        <m:r>
          <m:t>(z)</m:t>
        </m:r>
        <m:r>
          <m:t>|det</m:t>
        </m:r>
        <m:sSub>
          <m:e>
            <m:r>
              <m:t>J</m:t>
            </m:r>
          </m:e>
          <m:sub>
            <m:r>
              <m:t>F</m:t>
            </m:r>
          </m:sub>
        </m:sSub>
        <m:r>
          <m:t>(z)</m:t>
        </m:r>
        <m:sSup>
          <m:e>
            <m:r>
              <m:t>|</m:t>
            </m:r>
          </m:e>
          <m:sup>
            <m:r>
              <m:t>−1</m:t>
            </m:r>
          </m:sup>
        </m:sSup>
      </m:oMath>
      <w:r>
        <w:rPr>
          <w:i w:val="0"/>
        </w:rPr>
        <w:t>, so every sample arrives with a statistical weight</w:t>
      </w:r>
    </w:p>
    <w:p>
      <w:pPr>
        <w:spacing w:before="200" w:after="200"/>
        <w:ind w:firstLine="0"/>
        <w:jc w:val="center"/>
        <w:contextualSpacing w:val="0"/>
      </w:pPr>
      <m:oMath>
        <m:r>
          <m:t>w(x)∝</m:t>
        </m:r>
        <m:f>
          <m:fPr>
            <m:type m:val="bar"/>
          </m:fPr>
          <m:num>
            <m:sSup>
              <m:e>
                <m:r>
                  <m:t>e</m:t>
                </m:r>
              </m:e>
              <m:sup>
                <m:r>
                  <m:t>−βU(x)</m:t>
                </m:r>
              </m:sup>
            </m:sSup>
          </m:num>
          <m:den>
            <m:sSub>
              <m:e>
                <m:r>
                  <m:t>q</m:t>
                </m:r>
              </m:e>
              <m:sub>
                <m:r>
                  <m:t>X</m:t>
                </m:r>
              </m:sub>
            </m:sSub>
            <m:r>
              <m:t>(x)</m:t>
            </m:r>
          </m:den>
        </m:f>
      </m:oMath>
    </w:p>
    <w:p>
      <w:r>
        <w:rPr>
          <w:i w:val="0"/>
        </w:rPr>
        <w:t>that corrects whatever the network got wrong. Training combines a term that pushes generated configurations toward low energy with a term that maximizes the likelihood of configurations already observed. Because samples are drawn independently, configurations in distinct metastable states can be produced without simulating a single passage between them, and reweighting makes the resulting equilibrium averages unbiased. No reaction coordinate appears anywhere.</w:t>
      </w:r>
    </w:p>
    <w:p>
      <w:r>
        <w:rPr>
          <w:i w:val="0"/>
        </w:rPr>
        <w:t>Strict invertibility is a strong architectural constraint, and Hao Wu, Jonas Köhler and Frank Noé addressed it in 2020 with stochastic normalizing flows, which interleave deterministic invertible layers with stochastic Markov-chain sampling blocks. The stochastic blocks are not invertible, so the change-of-variables formula no longer applies to them, and the exact weights are supplied instead by non-equilibrium statistical mechanics: the Jarzynski equality and the Crooks fluctuation theorem relate the work accumulated along a driven path to equilibrium free energy differences, which is precisely the bookkeeping a partially stochastic generator needs.</w:t>
      </w:r>
    </w:p>
    <w:p>
      <w:r>
        <w:rPr>
          <w:i w:val="0"/>
        </w:rPr>
        <w:t>What this family does not escape is the data. A flow is trained on configurations, and configurations in a state nobody has sampled do not appear in the training set. The mode collapse of a generative model and the incomplete sampling of a simulation are the same failure wearing different clothes.</w:t>
      </w:r>
    </w:p>
    <w:p>
      <w:pPr>
        <w:pStyle w:val="BookSection"/>
      </w:pPr>
      <w:r>
        <w:t>The committor, learned directly</w:t>
      </w:r>
    </w:p>
    <w:p>
      <w:r>
        <w:rPr>
          <w:i w:val="0"/>
        </w:rPr>
        <w:t>The oldest thread runs to the object itself. Ao Ma and Aaron R. Dinner introduced the first automatic method for identifying reaction coordinates in 2005, combining a genetic algorithm with a neural network to select, from a pool of candidate coordinates, the subset that best predicts the committor values measured in transition path sampling data. The structure of every later committor network is already present: a function class, a pool of physical inputs, and a fit to committor data harvested from shooting.</w:t>
      </w:r>
    </w:p>
    <w:p>
      <w:r>
        <w:rPr>
          <w:i w:val="0"/>
        </w:rPr>
        <w:t>Qianxiao Li, Bo Lin and Weiqing Ren replaced the fit with the equation in 2019. The backward Kolmogorov problem has a variational form: the committor minimizes the Dirichlet energy</w:t>
      </w:r>
    </w:p>
    <w:p>
      <w:pPr>
        <w:spacing w:before="200" w:after="200"/>
        <w:ind w:firstLine="0"/>
        <w:jc w:val="center"/>
        <w:contextualSpacing w:val="0"/>
      </w:pPr>
      <m:oMath>
        <m:r>
          <m:t>ℰ[q]=∫|∇q(x)</m:t>
        </m:r>
        <m:sSup>
          <m:e>
            <m:r>
              <m:t>|</m:t>
            </m:r>
          </m:e>
          <m:sup>
            <m:r>
              <m:t>2</m:t>
            </m:r>
          </m:sup>
        </m:sSup>
        <m:sSup>
          <m:e>
            <m:r>
              <m:t>e</m:t>
            </m:r>
          </m:e>
          <m:sup>
            <m:r>
              <m:t>−βU(x)</m:t>
            </m:r>
          </m:sup>
        </m:sSup>
        <m:r>
          <m:t>dx</m:t>
        </m:r>
      </m:oMath>
    </w:p>
    <w:p>
      <w:r>
        <w:rPr>
          <w:i w:val="0"/>
        </w:rPr>
        <w:t xml:space="preserve">over functions satisfying the boundary conditions, and the Euler-Lagrange equation of that functional is the backward Kolmogorov equation itself. Training a deep network to minimize a Monte Carlo estimate of </w:t>
      </w:r>
      <m:oMath>
        <m:r>
          <m:t>ℰ</m:t>
        </m:r>
      </m:oMath>
      <w:r>
        <w:rPr>
          <w:i w:val="0"/>
        </w:rPr>
        <w:t xml:space="preserve"> therefore computes the committor without ever measuring one, since the integrand needs only configurations, the potential, and the network gradient. The boundary conditions are built directly into the functional form of the network rather than imposed by a penalty term, so no trade-off parameter has to be tuned between fitting and satisfying them. Training points in the transition region, where reactive configurations are otherwise vanishingly rare, are generated either by sampling at an elevated temperature and correcting through a likelihood ratio, or by metadynamics that fills the metastable wells.</w:t>
      </w:r>
    </w:p>
    <w:p>
      <w:r>
        <w:rPr>
          <w:i w:val="0"/>
        </w:rPr>
        <w:t>Hendrik Jung, Roberto Covino, A. Arjun, Christian Leitold, Christoph Dellago, Peter G. Bolhuis and Gerhard Hummer put the network inside the sampler in 2023. Each newly shot trajectory updates a neural committor model, and the updated model chooses where to shoot next, concentrating shooting points where the committor is near a half and the outcome is genuinely uncertain, which is where a shot carries the most information. Symbolic regression then condenses the trained model into human-readable physical observables, so that the output is a mechanism rather than a black-box function. The procedure was demonstrated on ion pairing, gas-hydrate crystal formation, polymer folding and membrane-protein assembly.</w:t>
      </w:r>
    </w:p>
    <w:p>
      <w:r>
        <w:rPr>
          <w:i w:val="0"/>
        </w:rPr>
        <w:t>Peilin Kang, Enrico Trizio and Michele Parrinello removed the trajectory harvesting in 2024, computing the committor self-consistently from information about the initial and final states alone. The current committor estimate defines a bias that drives sampling toward the transition region; the configurations collected there refine the estimate; the refined estimate biases the next round. The iteration converges on the transition state ensemble without a pre-specified reaction coordinate and without a library of reactive paths to fit against, which returns to the position transition path sampling occupied in 1998, now with the coordinate as the output rather than as an afterthought.</w:t>
      </w:r>
    </w:p>
    <w:p>
      <w:r>
        <w:rPr>
          <w:i w:val="0"/>
        </w:rPr>
        <w:t xml:space="preserve">Every method in this chapter needs something written down before it starts. The spectral methods need trajectories that visited both states. The discriminant methods need the basins enumerated and labelled. Deep-TICA needs a first bias good enough to produce a few crossings. Boltzmann generators need training configurations drawn from each state. The committor networks need the sets </w:t>
      </w:r>
      <m:oMath>
        <m:r>
          <m:t>A</m:t>
        </m:r>
      </m:oMath>
      <w:r>
        <w:rPr>
          <w:i w:val="0"/>
        </w:rPr>
        <w:t xml:space="preserve"> and </w:t>
      </w:r>
      <m:oMath>
        <m:r>
          <m:t>B</m:t>
        </m:r>
      </m:oMath>
      <w:r>
        <w:rPr>
          <w:i w:val="0"/>
        </w:rPr>
        <w:t xml:space="preserve">. The requirement has been weakened, from reactive paths to labelled basins to two state definitions, and it has never been removed. For a nucleating system whose product polymorph has not yet been observed, there is nothing to put in </w:t>
      </w:r>
      <m:oMath>
        <m:r>
          <m:t>B</m:t>
        </m:r>
      </m:oMath>
      <w:r>
        <w:rPr>
          <w:i w:val="0"/>
        </w:rPr>
        <w:t>, and a network cannot learn a coordinate toward a state nobody has told it to look for.</w:t>
      </w:r>
    </w:p>
    <w:p>
      <w:pPr>
        <w:pStyle w:val="Heading1"/>
      </w:pPr>
      <w:r>
        <w:t>References</w:t>
      </w:r>
    </w:p>
    <w:p>
      <w:pPr>
        <w:spacing w:before="120" w:after="0"/>
        <w:ind w:firstLine="0"/>
      </w:pPr>
      <w:r>
        <w:rPr>
          <w:i w:val="0"/>
        </w:rPr>
        <w:t xml:space="preserve">Barducci, Bussi, Parrinello (2008). Physical Review Letters 100, 020603. </w:t>
      </w:r>
      <w:hyperlink r:id="rId63">
        <w:r>
          <w:rPr>
            <w:rStyle w:val="Hyperlink"/>
          </w:rPr>
          <w:t xml:space="preserve">https://doi.org/10.1103/PhysRevLett.100.020603</w:t>
        </w:r>
      </w:hyperlink>
    </w:p>
    <w:p>
      <w:pPr>
        <w:spacing w:before="120" w:after="0"/>
        <w:ind w:firstLine="0"/>
      </w:pPr>
      <w:r>
        <w:rPr>
          <w:i w:val="0"/>
        </w:rPr>
        <w:t xml:space="preserve">Bolhuis, Chandler, Dellago, Geissler (2002). Annual Review of Physical Chemistry 53, 291-318. </w:t>
      </w:r>
      <w:hyperlink r:id="rId64">
        <w:r>
          <w:rPr>
            <w:rStyle w:val="Hyperlink"/>
          </w:rPr>
          <w:t xml:space="preserve">https://doi.org/10.1146/annurev.physchem.53.082301.113146</w:t>
        </w:r>
      </w:hyperlink>
    </w:p>
    <w:p>
      <w:pPr>
        <w:spacing w:before="120" w:after="0"/>
        <w:ind w:firstLine="0"/>
      </w:pPr>
      <w:r>
        <w:rPr>
          <w:i w:val="0"/>
        </w:rPr>
        <w:t xml:space="preserve">Bonati, Parrinello (2018). Silicon Liquid Structure and Crystal Nucleation from Ab Initio Deep Metadynamics. Physical Review Letters 121, 265701. </w:t>
      </w:r>
      <w:hyperlink r:id="rId65">
        <w:r>
          <w:rPr>
            <w:rStyle w:val="Hyperlink"/>
          </w:rPr>
          <w:t xml:space="preserve">https://doi.org/10.1103/PhysRevLett.121.265701</w:t>
        </w:r>
      </w:hyperlink>
    </w:p>
    <w:p>
      <w:pPr>
        <w:spacing w:before="120" w:after="0"/>
        <w:ind w:firstLine="0"/>
      </w:pPr>
      <w:r>
        <w:rPr>
          <w:i w:val="0"/>
        </w:rPr>
        <w:t xml:space="preserve">Bonati, Piccini, Parrinello (2021). Proceedings of the National Academy of Sciences 118(44), e2113533118; preprint arXiv:2107.03943. </w:t>
      </w:r>
      <w:hyperlink r:id="rId66">
        <w:r>
          <w:rPr>
            <w:rStyle w:val="Hyperlink"/>
          </w:rPr>
          <w:t xml:space="preserve">https://doi.org/10.1073/pnas.2113533118</w:t>
        </w:r>
      </w:hyperlink>
    </w:p>
    <w:p>
      <w:pPr>
        <w:spacing w:before="120" w:after="0"/>
        <w:ind w:firstLine="0"/>
      </w:pPr>
      <w:r>
        <w:rPr>
          <w:i w:val="0"/>
        </w:rPr>
        <w:t xml:space="preserve">Bonati, Rizzi, Parrinello (2020). The Journal of Physical Chemistry Letters 11(8), 2998-3004; preprint arXiv:2002.06562. </w:t>
      </w:r>
      <w:hyperlink r:id="rId67">
        <w:r>
          <w:rPr>
            <w:rStyle w:val="Hyperlink"/>
          </w:rPr>
          <w:t xml:space="preserve">https://doi.org/10.1021/acs.jpclett.0c00535</w:t>
        </w:r>
      </w:hyperlink>
    </w:p>
    <w:p>
      <w:pPr>
        <w:spacing w:before="120" w:after="0"/>
        <w:ind w:firstLine="0"/>
      </w:pPr>
      <w:r>
        <w:rPr>
          <w:i w:val="0"/>
        </w:rPr>
        <w:t xml:space="preserve">Bonati, Trizio, Rizzi, Parrinello (2023). The Journal of Chemical Physics 159(1), 014801; preprint arXiv:2305.19980. </w:t>
      </w:r>
      <w:hyperlink r:id="rId68">
        <w:r>
          <w:rPr>
            <w:rStyle w:val="Hyperlink"/>
          </w:rPr>
          <w:t xml:space="preserve">https://doi.org/10.1063/5.0156343</w:t>
        </w:r>
      </w:hyperlink>
    </w:p>
    <w:p>
      <w:pPr>
        <w:spacing w:before="120" w:after="0"/>
        <w:ind w:firstLine="0"/>
      </w:pPr>
      <w:r>
        <w:rPr>
          <w:i w:val="0"/>
        </w:rPr>
        <w:t xml:space="preserve">Dellago, Bolhuis, Csajka, Chandler (1998). The Journal of Chemical Physics 108(5), 1964-1977. </w:t>
      </w:r>
      <w:hyperlink r:id="rId69">
        <w:r>
          <w:rPr>
            <w:rStyle w:val="Hyperlink"/>
          </w:rPr>
          <w:t xml:space="preserve">https://doi.org/10.1063/1.475562</w:t>
        </w:r>
      </w:hyperlink>
    </w:p>
    <w:p>
      <w:pPr>
        <w:spacing w:before="120" w:after="0"/>
        <w:ind w:firstLine="0"/>
      </w:pPr>
      <w:r>
        <w:rPr>
          <w:i w:val="0"/>
        </w:rPr>
        <w:t xml:space="preserve">Invernizzi, Parrinello (2020). The Journal of Physical Chemistry Letters 11(7), 2731-2736. </w:t>
      </w:r>
      <w:hyperlink r:id="rId70">
        <w:r>
          <w:rPr>
            <w:rStyle w:val="Hyperlink"/>
          </w:rPr>
          <w:t xml:space="preserve">https://doi.org/10.1021/acs.jpclett.0c00497</w:t>
        </w:r>
      </w:hyperlink>
    </w:p>
    <w:p>
      <w:pPr>
        <w:spacing w:before="120" w:after="0"/>
        <w:ind w:firstLine="0"/>
      </w:pPr>
      <w:r>
        <w:rPr>
          <w:i w:val="0"/>
        </w:rPr>
        <w:t xml:space="preserve">Jung, Covino, Arjun, Leitold, Dellago, Bolhuis, Hummer (2023). Nature Computational Science 3(4), 334-345. </w:t>
      </w:r>
      <w:hyperlink r:id="rId71">
        <w:r>
          <w:rPr>
            <w:rStyle w:val="Hyperlink"/>
          </w:rPr>
          <w:t xml:space="preserve">https://doi.org/10.1038/s43588-023-00428-z</w:t>
        </w:r>
      </w:hyperlink>
    </w:p>
    <w:p>
      <w:pPr>
        <w:spacing w:before="120" w:after="0"/>
        <w:ind w:firstLine="0"/>
      </w:pPr>
      <w:r>
        <w:rPr>
          <w:i w:val="0"/>
        </w:rPr>
        <w:t xml:space="preserve">Kang, Trizio, Parrinello (2024). Nature Computational Science 4(6), 451-460. </w:t>
      </w:r>
      <w:hyperlink r:id="rId72">
        <w:r>
          <w:rPr>
            <w:rStyle w:val="Hyperlink"/>
          </w:rPr>
          <w:t xml:space="preserve">https://doi.org/10.1038/s43588-024-00645-0</w:t>
        </w:r>
      </w:hyperlink>
    </w:p>
    <w:p>
      <w:pPr>
        <w:spacing w:before="120" w:after="0"/>
        <w:ind w:firstLine="0"/>
      </w:pPr>
      <w:r>
        <w:rPr>
          <w:i w:val="0"/>
        </w:rPr>
        <w:t xml:space="preserve">Laio, Parrinello (2002). Proceedings of the National Academy of Sciences 99(20), 12562-12566. </w:t>
      </w:r>
      <w:hyperlink r:id="rId73">
        <w:r>
          <w:rPr>
            <w:rStyle w:val="Hyperlink"/>
          </w:rPr>
          <w:t xml:space="preserve">https://doi.org/10.1073/pnas.202427399</w:t>
        </w:r>
      </w:hyperlink>
    </w:p>
    <w:p>
      <w:pPr>
        <w:spacing w:before="120" w:after="0"/>
        <w:ind w:firstLine="0"/>
      </w:pPr>
      <w:r>
        <w:rPr>
          <w:i w:val="0"/>
        </w:rPr>
        <w:t xml:space="preserve">Li, Lin, Ren (2019). Computing committor functions for the study of rare events using deep learning. The Journal of Chemical Physics 151(5), 054112; preprint arXiv:1906.06285. </w:t>
      </w:r>
      <w:hyperlink r:id="rId74">
        <w:r>
          <w:rPr>
            <w:rStyle w:val="Hyperlink"/>
          </w:rPr>
          <w:t xml:space="preserve">https://doi.org/10.1063/1.5110439</w:t>
        </w:r>
      </w:hyperlink>
    </w:p>
    <w:p>
      <w:pPr>
        <w:spacing w:before="120" w:after="0"/>
        <w:ind w:firstLine="0"/>
      </w:pPr>
      <w:r>
        <w:rPr>
          <w:i w:val="0"/>
        </w:rPr>
        <w:t xml:space="preserve">Ma, Dinner (2005). The Journal of Physical Chemistry B 109(14), 6769-6779. </w:t>
      </w:r>
      <w:hyperlink r:id="rId75">
        <w:r>
          <w:rPr>
            <w:rStyle w:val="Hyperlink"/>
          </w:rPr>
          <w:t xml:space="preserve">https://doi.org/10.1021/jp045546c</w:t>
        </w:r>
      </w:hyperlink>
    </w:p>
    <w:p>
      <w:pPr>
        <w:spacing w:before="120" w:after="0"/>
        <w:ind w:firstLine="0"/>
      </w:pPr>
      <w:r>
        <w:rPr>
          <w:i w:val="0"/>
        </w:rPr>
        <w:t xml:space="preserve">Mardt, Pasquali, Wu, Noé (2018). Nature Communications 9, article 5. </w:t>
      </w:r>
      <w:hyperlink r:id="rId76">
        <w:r>
          <w:rPr>
            <w:rStyle w:val="Hyperlink"/>
          </w:rPr>
          <w:t xml:space="preserve">https://doi.org/10.1038/s41467-017-02388-1</w:t>
        </w:r>
      </w:hyperlink>
    </w:p>
    <w:p>
      <w:pPr>
        <w:spacing w:before="120" w:after="0"/>
        <w:ind w:firstLine="0"/>
      </w:pPr>
      <w:r>
        <w:rPr>
          <w:i w:val="0"/>
        </w:rPr>
        <w:t xml:space="preserve">Mehdi, Smith, Herron, Zou, Tiwary (2024). Annual Review of Physical Chemistry 75, 347-370; preprint arXiv:2306.09111. </w:t>
      </w:r>
      <w:hyperlink r:id="rId77">
        <w:r>
          <w:rPr>
            <w:rStyle w:val="Hyperlink"/>
          </w:rPr>
          <w:t xml:space="preserve">https://doi.org/10.1146/annurev-physchem-083122-125941</w:t>
        </w:r>
      </w:hyperlink>
    </w:p>
    <w:p>
      <w:pPr>
        <w:spacing w:before="120" w:after="0"/>
        <w:ind w:firstLine="0"/>
      </w:pPr>
      <w:r>
        <w:rPr>
          <w:i w:val="0"/>
        </w:rPr>
        <w:t xml:space="preserve">Noé, Olsson, Köhler, Wu (2019). Science 365(6457), eaaw1147. </w:t>
      </w:r>
      <w:hyperlink r:id="rId78">
        <w:r>
          <w:rPr>
            <w:rStyle w:val="Hyperlink"/>
          </w:rPr>
          <w:t xml:space="preserve">https://doi.org/10.1126/science.aaw1147</w:t>
        </w:r>
      </w:hyperlink>
    </w:p>
    <w:p>
      <w:pPr>
        <w:spacing w:before="120" w:after="0"/>
        <w:ind w:firstLine="0"/>
      </w:pPr>
      <w:r>
        <w:rPr>
          <w:i w:val="0"/>
        </w:rPr>
        <w:t xml:space="preserve">Prinz, Wu, Sarich, Keller, Senne, Held, Chodera, Schütte, Noé (2011). The Journal of Chemical Physics 134(17), 174105. </w:t>
      </w:r>
      <w:hyperlink r:id="rId79">
        <w:r>
          <w:rPr>
            <w:rStyle w:val="Hyperlink"/>
          </w:rPr>
          <w:t xml:space="preserve">https://doi.org/10.1063/1.3565032</w:t>
        </w:r>
      </w:hyperlink>
    </w:p>
    <w:p>
      <w:pPr>
        <w:spacing w:before="120" w:after="0"/>
        <w:ind w:firstLine="0"/>
      </w:pPr>
      <w:r>
        <w:rPr>
          <w:i w:val="0"/>
        </w:rPr>
        <w:t xml:space="preserve">Pérez-Hernández, Paul, Giorgino, De Fabritiis, Noé (2013). The Journal of Chemical Physics 139(1), 015102. </w:t>
      </w:r>
      <w:hyperlink r:id="rId80">
        <w:r>
          <w:rPr>
            <w:rStyle w:val="Hyperlink"/>
          </w:rPr>
          <w:t xml:space="preserve">https://doi.org/10.1063/1.4811489</w:t>
        </w:r>
      </w:hyperlink>
    </w:p>
    <w:p>
      <w:pPr>
        <w:spacing w:before="120" w:after="0"/>
        <w:ind w:firstLine="0"/>
      </w:pPr>
      <w:r>
        <w:rPr>
          <w:i w:val="0"/>
        </w:rPr>
        <w:t xml:space="preserve">Ribeiro, Bravo, Wang, Tiwary (2018). The Journal of Chemical Physics 149(7), 072301. </w:t>
      </w:r>
      <w:hyperlink r:id="rId81">
        <w:r>
          <w:rPr>
            <w:rStyle w:val="Hyperlink"/>
          </w:rPr>
          <w:t xml:space="preserve">https://doi.org/10.1063/1.5025487</w:t>
        </w:r>
      </w:hyperlink>
    </w:p>
    <w:p>
      <w:pPr>
        <w:spacing w:before="120" w:after="0"/>
        <w:ind w:firstLine="0"/>
      </w:pPr>
      <w:r>
        <w:rPr>
          <w:i w:val="0"/>
        </w:rPr>
        <w:t xml:space="preserve">Schwantes, Pande (2013). Journal of Chemical Theory and Computation 9(4), 2000-2009. </w:t>
      </w:r>
      <w:hyperlink r:id="rId82">
        <w:r>
          <w:rPr>
            <w:rStyle w:val="Hyperlink"/>
          </w:rPr>
          <w:t xml:space="preserve">https://doi.org/10.1021/ct300878a</w:t>
        </w:r>
      </w:hyperlink>
    </w:p>
    <w:p>
      <w:pPr>
        <w:spacing w:before="120" w:after="0"/>
        <w:ind w:firstLine="0"/>
      </w:pPr>
      <w:r>
        <w:rPr>
          <w:i w:val="0"/>
        </w:rPr>
        <w:t xml:space="preserve">The PLUMED consortium (2019). Nature Methods 16(8), 670-673. </w:t>
      </w:r>
      <w:hyperlink r:id="rId83">
        <w:r>
          <w:rPr>
            <w:rStyle w:val="Hyperlink"/>
          </w:rPr>
          <w:t xml:space="preserve">https://doi.org/10.1038/s41592-019-0506-8</w:t>
        </w:r>
      </w:hyperlink>
    </w:p>
    <w:p>
      <w:pPr>
        <w:spacing w:before="120" w:after="0"/>
        <w:ind w:firstLine="0"/>
      </w:pPr>
      <w:r>
        <w:rPr>
          <w:i w:val="0"/>
        </w:rPr>
        <w:t xml:space="preserve">Tiwary, Berne (2016). Spectral gap optimization of order parameters for sampling complex molecular systems. Proceedings of the National Academy of Sciences 113(11), 2839-2844. </w:t>
      </w:r>
      <w:hyperlink r:id="rId84">
        <w:r>
          <w:rPr>
            <w:rStyle w:val="Hyperlink"/>
          </w:rPr>
          <w:t xml:space="preserve">https://doi.org/10.1073/pnas.1600917113</w:t>
        </w:r>
      </w:hyperlink>
    </w:p>
    <w:p>
      <w:pPr>
        <w:spacing w:before="120" w:after="0"/>
        <w:ind w:firstLine="0"/>
      </w:pPr>
      <w:r>
        <w:rPr>
          <w:i w:val="0"/>
        </w:rPr>
        <w:t xml:space="preserve">Tribello, Bonomi, Branduardi, Camilloni, Bussi (2014). Computer Physics Communications 185(2), 604-613. </w:t>
      </w:r>
      <w:hyperlink r:id="rId85">
        <w:r>
          <w:rPr>
            <w:rStyle w:val="Hyperlink"/>
          </w:rPr>
          <w:t xml:space="preserve">https://doi.org/10.1016/j.cpc.2013.09.018</w:t>
        </w:r>
      </w:hyperlink>
    </w:p>
    <w:p>
      <w:pPr>
        <w:spacing w:before="120" w:after="0"/>
        <w:ind w:firstLine="0"/>
      </w:pPr>
      <w:r>
        <w:rPr>
          <w:i w:val="0"/>
        </w:rPr>
        <w:t xml:space="preserve">Trizio, Parrinello (2021). The Journal of Physical Chemistry Letters 12(35), 8621-8626. </w:t>
      </w:r>
      <w:hyperlink r:id="rId86">
        <w:r>
          <w:rPr>
            <w:rStyle w:val="Hyperlink"/>
          </w:rPr>
          <w:t xml:space="preserve">https://doi.org/10.1021/acs.jpclett.1c02317</w:t>
        </w:r>
      </w:hyperlink>
    </w:p>
    <w:p>
      <w:pPr>
        <w:spacing w:before="120" w:after="0"/>
        <w:ind w:firstLine="0"/>
      </w:pPr>
      <w:r>
        <w:rPr>
          <w:i w:val="0"/>
        </w:rPr>
        <w:t xml:space="preserve">Wang, Tiwary (2021). The Journal of Chemical Physics 154(13), 134111. </w:t>
      </w:r>
      <w:hyperlink r:id="rId87">
        <w:r>
          <w:rPr>
            <w:rStyle w:val="Hyperlink"/>
          </w:rPr>
          <w:t xml:space="preserve">https://doi.org/10.1063/5.0038198</w:t>
        </w:r>
      </w:hyperlink>
    </w:p>
    <w:p>
      <w:pPr>
        <w:spacing w:before="120" w:after="0"/>
        <w:ind w:firstLine="0"/>
      </w:pPr>
      <w:r>
        <w:rPr>
          <w:i w:val="0"/>
        </w:rPr>
        <w:t xml:space="preserve">Wehmeyer, Noé (2018). The Journal of Chemical Physics 148(24), 241703. </w:t>
      </w:r>
      <w:hyperlink r:id="rId88">
        <w:r>
          <w:rPr>
            <w:rStyle w:val="Hyperlink"/>
          </w:rPr>
          <w:t xml:space="preserve">https://doi.org/10.1063/1.5011399</w:t>
        </w:r>
      </w:hyperlink>
    </w:p>
    <w:p>
      <w:pPr>
        <w:spacing w:before="120" w:after="0"/>
        <w:ind w:firstLine="0"/>
      </w:pPr>
      <w:r>
        <w:rPr>
          <w:i w:val="0"/>
        </w:rPr>
        <w:t xml:space="preserve">Wu, Köhler, Noé (2020). Advances in Neural Information Processing Systems 33 (NeurIPS 2020); preprint arXiv:2002.06707. </w:t>
      </w:r>
      <w:hyperlink r:id="rId89">
        <w:r>
          <w:rPr>
            <w:rStyle w:val="Hyperlink"/>
          </w:rPr>
          <w:t xml:space="preserve">https://arxiv.org/abs/2002.06707</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Lett.100.020603" TargetMode="External"/><Relationship Id="rId64" Type="http://schemas.openxmlformats.org/officeDocument/2006/relationships/hyperlink" Target="https://doi.org/10.1146/annurev.physchem.53.082301.113146" TargetMode="External"/><Relationship Id="rId65" Type="http://schemas.openxmlformats.org/officeDocument/2006/relationships/hyperlink" Target="https://doi.org/10.1103/PhysRevLett.121.265701" TargetMode="External"/><Relationship Id="rId66" Type="http://schemas.openxmlformats.org/officeDocument/2006/relationships/hyperlink" Target="https://doi.org/10.1073/pnas.2113533118" TargetMode="External"/><Relationship Id="rId67" Type="http://schemas.openxmlformats.org/officeDocument/2006/relationships/hyperlink" Target="https://doi.org/10.1021/acs.jpclett.0c00535" TargetMode="External"/><Relationship Id="rId68" Type="http://schemas.openxmlformats.org/officeDocument/2006/relationships/hyperlink" Target="https://doi.org/10.1063/5.0156343" TargetMode="External"/><Relationship Id="rId69" Type="http://schemas.openxmlformats.org/officeDocument/2006/relationships/hyperlink" Target="https://doi.org/10.1063/1.475562" TargetMode="External"/><Relationship Id="rId70" Type="http://schemas.openxmlformats.org/officeDocument/2006/relationships/hyperlink" Target="https://doi.org/10.1021/acs.jpclett.0c00497" TargetMode="External"/><Relationship Id="rId71" Type="http://schemas.openxmlformats.org/officeDocument/2006/relationships/hyperlink" Target="https://doi.org/10.1038/s43588-023-00428-z" TargetMode="External"/><Relationship Id="rId72" Type="http://schemas.openxmlformats.org/officeDocument/2006/relationships/hyperlink" Target="https://doi.org/10.1038/s43588-024-00645-0" TargetMode="External"/><Relationship Id="rId73" Type="http://schemas.openxmlformats.org/officeDocument/2006/relationships/hyperlink" Target="https://doi.org/10.1073/pnas.202427399" TargetMode="External"/><Relationship Id="rId74" Type="http://schemas.openxmlformats.org/officeDocument/2006/relationships/hyperlink" Target="https://doi.org/10.1063/1.5110439" TargetMode="External"/><Relationship Id="rId75" Type="http://schemas.openxmlformats.org/officeDocument/2006/relationships/hyperlink" Target="https://doi.org/10.1021/jp045546c" TargetMode="External"/><Relationship Id="rId76" Type="http://schemas.openxmlformats.org/officeDocument/2006/relationships/hyperlink" Target="https://doi.org/10.1038/s41467-017-02388-1" TargetMode="External"/><Relationship Id="rId77" Type="http://schemas.openxmlformats.org/officeDocument/2006/relationships/hyperlink" Target="https://doi.org/10.1146/annurev-physchem-083122-125941" TargetMode="External"/><Relationship Id="rId78" Type="http://schemas.openxmlformats.org/officeDocument/2006/relationships/hyperlink" Target="https://doi.org/10.1126/science.aaw1147" TargetMode="External"/><Relationship Id="rId79" Type="http://schemas.openxmlformats.org/officeDocument/2006/relationships/hyperlink" Target="https://doi.org/10.1063/1.3565032" TargetMode="External"/><Relationship Id="rId80" Type="http://schemas.openxmlformats.org/officeDocument/2006/relationships/hyperlink" Target="https://doi.org/10.1063/1.4811489" TargetMode="External"/><Relationship Id="rId81" Type="http://schemas.openxmlformats.org/officeDocument/2006/relationships/hyperlink" Target="https://doi.org/10.1063/1.5025487" TargetMode="External"/><Relationship Id="rId82" Type="http://schemas.openxmlformats.org/officeDocument/2006/relationships/hyperlink" Target="https://doi.org/10.1021/ct300878a" TargetMode="External"/><Relationship Id="rId83" Type="http://schemas.openxmlformats.org/officeDocument/2006/relationships/hyperlink" Target="https://doi.org/10.1038/s41592-019-0506-8" TargetMode="External"/><Relationship Id="rId84" Type="http://schemas.openxmlformats.org/officeDocument/2006/relationships/hyperlink" Target="https://doi.org/10.1073/pnas.1600917113" TargetMode="External"/><Relationship Id="rId85" Type="http://schemas.openxmlformats.org/officeDocument/2006/relationships/hyperlink" Target="https://doi.org/10.1016/j.cpc.2013.09.018" TargetMode="External"/><Relationship Id="rId86" Type="http://schemas.openxmlformats.org/officeDocument/2006/relationships/hyperlink" Target="https://doi.org/10.1021/acs.jpclett.1c02317" TargetMode="External"/><Relationship Id="rId87" Type="http://schemas.openxmlformats.org/officeDocument/2006/relationships/hyperlink" Target="https://doi.org/10.1063/5.0038198" TargetMode="External"/><Relationship Id="rId88" Type="http://schemas.openxmlformats.org/officeDocument/2006/relationships/hyperlink" Target="https://doi.org/10.1063/1.5011399" TargetMode="External"/><Relationship Id="rId89" Type="http://schemas.openxmlformats.org/officeDocument/2006/relationships/hyperlink" Target="https://arxiv.org/abs/2002.06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