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13</w:t>
      </w:r>
    </w:p>
    <w:p>
      <w:pPr>
        <w:pStyle w:val="Heading1"/>
      </w:pPr>
      <w:r>
        <w:t>Neural Wave Functions</w:t>
      </w:r>
    </w:p>
    <w:p>
      <w:pPr>
        <w:pStyle w:val="BookSection"/>
      </w:pPr>
      <w:r>
        <w:t>The exponential wall and a polynomial ansatz</w:t>
      </w:r>
    </w:p>
    <w:p>
      <w:r>
        <w:rPr>
          <w:i w:val="0"/>
        </w:rPr>
        <w:t xml:space="preserve">Forty spin-1/2 particles span a Hilbert space of </w:t>
      </w:r>
      <m:oMath>
        <m:sSup>
          <m:e>
            <m:r>
              <m:t>2</m:t>
            </m:r>
          </m:e>
          <m:sup>
            <m:r>
              <m:t>40</m:t>
            </m:r>
          </m:sup>
        </m:sSup>
      </m:oMath>
      <w:r>
        <w:rPr>
          <w:i w:val="0"/>
        </w:rPr>
        <w:t xml:space="preserve"> basis configurations, about </w:t>
      </w:r>
      <m:oMath>
        <m:r>
          <m:t>1.1×</m:t>
        </m:r>
        <m:sSup>
          <m:e>
            <m:r>
              <m:t>10</m:t>
            </m:r>
          </m:e>
          <m:sup>
            <m:r>
              <m:t>12</m:t>
            </m:r>
          </m:sup>
        </m:sSup>
      </m:oMath>
      <w:r>
        <w:rPr>
          <w:i w:val="0"/>
        </w:rPr>
        <w:t xml:space="preserve"> complex amplitudes. At sixteen bytes an amplitude that is seventeen terabytes. Fifty sites is roughly eighteen petabytes. Sixty is beyond the storage capacity of any machine that will be built. The obstruction is not that the physics is subtle; it is that the object we have chosen to represent, the full amplitude vector, grows exponentially in the number of particles while the systems grow linearly.</w:t>
      </w:r>
    </w:p>
    <w:p>
      <w:r>
        <w:rPr>
          <w:i w:val="0"/>
        </w:rPr>
        <w:t xml:space="preserve">The escape has always been the same in outline. Ground states are not arbitrary points in Hilbert space. They are the lowest eigenvectors of local Hamiltonians, and that locality constrains them severely, so a family of states with polynomially many parameters may contain a member close to the true ground state. The Rayleigh-Ritz variational principle does the rest: for any normalized trial state, </w:t>
      </w:r>
      <m:oMath>
        <m:r>
          <m:t>⟨ψ|</m:t>
        </m:r>
        <m:acc>
          <m:accPr>
            <m:chr m:val="̂"/>
          </m:accPr>
          <m:e>
            <m:r>
              <m:t>H</m:t>
            </m:r>
          </m:e>
        </m:acc>
        <m:r>
          <m:t>|ψ⟩≥</m:t>
        </m:r>
        <m:sSub>
          <m:e>
            <m:r>
              <m:t>E</m:t>
            </m:r>
          </m:e>
          <m:sub>
            <m:r>
              <m:t>0</m:t>
            </m:r>
          </m:sub>
        </m:sSub>
      </m:oMath>
      <w:r>
        <w:rPr>
          <w:i w:val="0"/>
        </w:rPr>
        <w:t>, so lowering the energy of a parameterized family can only move it toward the ground state, and the energy reports the progress.</w:t>
      </w:r>
    </w:p>
    <w:p>
      <w:r>
        <w:rPr>
          <w:i w:val="0"/>
        </w:rPr>
        <w:t xml:space="preserve">What Giuseppe Carleo and Matthias Troyer proposed in Science in 2017, in a paper first posted to arXiv in June 2016, was to take the family from machine learning rather than from physical intuition. The ansatz was a restricted Boltzmann machine over the spin configuration </w:t>
      </w:r>
      <m:oMath>
        <m:r>
          <m:t>s=(</m:t>
        </m:r>
        <m:sSub>
          <m:e>
            <m:r>
              <m:t>s</m:t>
            </m:r>
          </m:e>
          <m:sub>
            <m:r>
              <m:t>1</m:t>
            </m:r>
          </m:sub>
        </m:sSub>
        <m:r>
          <m:t>,…,</m:t>
        </m:r>
        <m:sSub>
          <m:e>
            <m:r>
              <m:t>s</m:t>
            </m:r>
          </m:e>
          <m:sub>
            <m:r>
              <m:t>N</m:t>
            </m:r>
          </m:sub>
        </m:sSub>
        <m:r>
          <m:t>)</m:t>
        </m:r>
      </m:oMath>
      <w:r>
        <w:rPr>
          <w:i w:val="0"/>
        </w:rPr>
        <w:t xml:space="preserve"> with </w:t>
      </w:r>
      <m:oMath>
        <m:r>
          <m:t>M</m:t>
        </m:r>
      </m:oMath>
      <w:r>
        <w:rPr>
          <w:i w:val="0"/>
        </w:rPr>
        <w:t xml:space="preserve"> hidden binary units. Summing those units out analytically leaves a closed-form amplitude,</w:t>
      </w:r>
    </w:p>
    <w:p>
      <w:pPr>
        <w:spacing w:before="200" w:after="200"/>
        <w:ind w:firstLine="0"/>
        <w:jc w:val="center"/>
        <w:contextualSpacing w:val="0"/>
      </w:pPr>
      <m:oMath>
        <m:sSub>
          <m:e>
            <m:r>
              <m:t>ψ</m:t>
            </m:r>
          </m:e>
          <m:sub>
            <m:r>
              <m:t>θ</m:t>
            </m:r>
          </m:sub>
        </m:sSub>
        <m:r>
          <m:t>(s)=</m:t>
        </m:r>
        <m:r>
          <m:rPr>
            <m:sty m:val="p"/>
          </m:rPr>
          <m:t>exp</m:t>
        </m:r>
        <m:r>
          <m:t>(</m:t>
        </m:r>
        <m:nary>
          <m:naryPr>
            <m:chr m:val="∑"/>
            <m:limLoc m:val="subSup"/>
            <m:grow m:val="1"/>
            <m:subHide m:val="off"/>
            <m:supHide m:val="on"/>
          </m:naryPr>
          <m:sub>
            <m:r>
              <m:t>i</m:t>
            </m:r>
          </m:sub>
          <m:sup/>
          <m:e>
            <m:sSub>
              <m:e>
                <m:r>
                  <m:t>a</m:t>
                </m:r>
              </m:e>
              <m:sub>
                <m:r>
                  <m:t>i</m:t>
                </m:r>
              </m:sub>
            </m:sSub>
          </m:e>
        </m:nary>
        <m:sSub>
          <m:e>
            <m:r>
              <m:t>s</m:t>
            </m:r>
          </m:e>
          <m:sub>
            <m:r>
              <m:t>i</m:t>
            </m:r>
          </m:sub>
        </m:sSub>
        <m:r>
          <m:t>)</m:t>
        </m:r>
        <m:nary>
          <m:naryPr>
            <m:chr m:val="∏"/>
            <m:limLoc m:val="subSup"/>
            <m:grow m:val="1"/>
            <m:subHide m:val="off"/>
            <m:supHide m:val="off"/>
          </m:naryPr>
          <m:sub>
            <m:r>
              <m:t>j=1</m:t>
            </m:r>
          </m:sub>
          <m:sup>
            <m:r>
              <m:t>M</m:t>
            </m:r>
          </m:sup>
          <m:e>
            <m:r>
              <m:t>2</m:t>
            </m:r>
            <m:r>
              <m:rPr>
                <m:sty m:val="p"/>
              </m:rPr>
              <m:t>cosh</m:t>
            </m:r>
            <m:r>
              <m:t>(</m:t>
            </m:r>
          </m:e>
        </m:nary>
        <m:sSub>
          <m:e>
            <m:r>
              <m:t>b</m:t>
            </m:r>
          </m:e>
          <m:sub>
            <m:r>
              <m:t>j</m:t>
            </m:r>
          </m:sub>
        </m:sSub>
        <m:r>
          <m:t>+</m:t>
        </m:r>
        <m:nary>
          <m:naryPr>
            <m:chr m:val="∑"/>
            <m:limLoc m:val="subSup"/>
            <m:grow m:val="1"/>
            <m:subHide m:val="off"/>
            <m:supHide m:val="on"/>
          </m:naryPr>
          <m:sub>
            <m:r>
              <m:t>i</m:t>
            </m:r>
          </m:sub>
          <m:sup/>
          <m:e>
            <m:sSub>
              <m:e>
                <m:r>
                  <m:t>W</m:t>
                </m:r>
              </m:e>
              <m:sub>
                <m:r>
                  <m:t>ij</m:t>
                </m:r>
              </m:sub>
            </m:sSub>
          </m:e>
        </m:nary>
        <m:sSub>
          <m:e>
            <m:r>
              <m:t>s</m:t>
            </m:r>
          </m:e>
          <m:sub>
            <m:r>
              <m:t>i</m:t>
            </m:r>
          </m:sub>
        </m:sSub>
        <m:r>
          <m:t>),</m:t>
        </m:r>
      </m:oMath>
    </w:p>
    <w:p>
      <w:r>
        <w:rPr>
          <w:i w:val="0"/>
        </w:rPr>
        <w:t xml:space="preserve">with complex parameters </w:t>
      </w:r>
      <m:oMath>
        <m:r>
          <m:t>θ={</m:t>
        </m:r>
        <m:sSub>
          <m:e>
            <m:r>
              <m:t>a</m:t>
            </m:r>
          </m:e>
          <m:sub>
            <m:r>
              <m:t>i</m:t>
            </m:r>
          </m:sub>
        </m:sSub>
        <m:r>
          <m:t>,</m:t>
        </m:r>
        <m:sSub>
          <m:e>
            <m:r>
              <m:t>b</m:t>
            </m:r>
          </m:e>
          <m:sub>
            <m:r>
              <m:t>j</m:t>
            </m:r>
          </m:sub>
        </m:sSub>
        <m:r>
          <m:t>,</m:t>
        </m:r>
        <m:sSub>
          <m:e>
            <m:r>
              <m:t>W</m:t>
            </m:r>
          </m:e>
          <m:sub>
            <m:r>
              <m:t>ij</m:t>
            </m:r>
          </m:sub>
        </m:sSub>
        <m:r>
          <m:t>}</m:t>
        </m:r>
      </m:oMath>
      <w:r>
        <w:rPr>
          <w:i w:val="0"/>
        </w:rPr>
        <w:t xml:space="preserve">, so the parameter count is </w:t>
      </w:r>
      <m:oMath>
        <m:r>
          <m:t>N+M+NM</m:t>
        </m:r>
      </m:oMath>
      <w:r>
        <w:rPr>
          <w:i w:val="0"/>
        </w:rPr>
        <w:t xml:space="preserve"> rather than </w:t>
      </w:r>
      <m:oMath>
        <m:sSup>
          <m:e>
            <m:r>
              <m:t>2</m:t>
            </m:r>
          </m:e>
          <m:sup>
            <m:r>
              <m:t>N</m:t>
            </m:r>
          </m:sup>
        </m:sSup>
      </m:oMath>
      <w:r>
        <w:rPr>
          <w:i w:val="0"/>
        </w:rPr>
        <w:t xml:space="preserve">. The hidden-unit density </w:t>
      </w:r>
      <m:oMath>
        <m:r>
          <m:t>α=M/N</m:t>
        </m:r>
      </m:oMath>
      <w:r>
        <w:rPr>
          <w:i w:val="0"/>
        </w:rPr>
        <w:t xml:space="preserve"> is the knob that trades cost against expressiveness.</w:t>
      </w:r>
    </w:p>
    <w:p>
      <w:r>
        <w:rPr>
          <w:i w:val="0"/>
        </w:rPr>
        <w:t xml:space="preserve">Two things make this computable. First, the variational energy is an expectation over a probability distribution the ansatz itself defines. Writing </w:t>
      </w:r>
      <m:oMath>
        <m:sSub>
          <m:e>
            <m:r>
              <m:t>p</m:t>
            </m:r>
          </m:e>
          <m:sub>
            <m:r>
              <m:t>θ</m:t>
            </m:r>
          </m:sub>
        </m:sSub>
        <m:r>
          <m:t>(s)=|</m:t>
        </m:r>
        <m:sSub>
          <m:e>
            <m:r>
              <m:t>ψ</m:t>
            </m:r>
          </m:e>
          <m:sub>
            <m:r>
              <m:t>θ</m:t>
            </m:r>
          </m:sub>
        </m:sSub>
        <m:r>
          <m:t>(s)</m:t>
        </m:r>
        <m:sSup>
          <m:e>
            <m:r>
              <m:t>|</m:t>
            </m:r>
          </m:e>
          <m:sup>
            <m:r>
              <m:t>2</m:t>
            </m:r>
          </m:sup>
        </m:sSup>
        <m:r>
          <m:t>/</m:t>
        </m:r>
        <m:nary>
          <m:naryPr>
            <m:chr m:val="∑"/>
            <m:limLoc m:val="subSup"/>
            <m:grow m:val="1"/>
            <m:subHide m:val="off"/>
            <m:supHide m:val="on"/>
          </m:naryPr>
          <m:sub>
            <m:sSup>
              <m:e>
                <m:r>
                  <m:t>s</m:t>
                </m:r>
              </m:e>
              <m:sup>
                <m:r>
                  <m:t>′</m:t>
                </m:r>
              </m:sup>
            </m:sSup>
          </m:sub>
          <m:sup/>
          <m:e>
            <m:r>
              <m:t>|</m:t>
            </m:r>
          </m:e>
        </m:nary>
        <m:sSub>
          <m:e>
            <m:r>
              <m:t>ψ</m:t>
            </m:r>
          </m:e>
          <m:sub>
            <m:r>
              <m:t>θ</m:t>
            </m:r>
          </m:sub>
        </m:sSub>
        <m:r>
          <m:t>(</m:t>
        </m:r>
        <m:sSup>
          <m:e>
            <m:r>
              <m:t>s</m:t>
            </m:r>
          </m:e>
          <m:sup>
            <m:r>
              <m:t>′</m:t>
            </m:r>
          </m:sup>
        </m:sSup>
        <m:r>
          <m:t>)</m:t>
        </m:r>
        <m:sSup>
          <m:e>
            <m:r>
              <m:t>|</m:t>
            </m:r>
          </m:e>
          <m:sup>
            <m:r>
              <m:t>2</m:t>
            </m:r>
          </m:sup>
        </m:sSup>
      </m:oMath>
      <w:r>
        <w:rPr>
          <w:i w:val="0"/>
        </w:rPr>
        <w:t xml:space="preserve"> and</w:t>
      </w:r>
    </w:p>
    <w:p>
      <w:pPr>
        <w:spacing w:before="200" w:after="200"/>
        <w:ind w:firstLine="0"/>
        <w:jc w:val="center"/>
        <w:contextualSpacing w:val="0"/>
      </w:pPr>
      <m:oMath>
        <m:sSub>
          <m:e>
            <m:r>
              <m:t>E</m:t>
            </m:r>
          </m:e>
          <m:sub>
            <m:r>
              <m:rPr>
                <m:nor/>
              </m:rPr>
              <m:t>loc</m:t>
            </m:r>
          </m:sub>
        </m:sSub>
        <m:r>
          <m:t>(s)=</m:t>
        </m:r>
        <m:nary>
          <m:naryPr>
            <m:chr m:val="∑"/>
            <m:limLoc m:val="subSup"/>
            <m:grow m:val="1"/>
            <m:subHide m:val="off"/>
            <m:supHide m:val="on"/>
          </m:naryPr>
          <m:sub>
            <m:sSup>
              <m:e>
                <m:r>
                  <m:t>s</m:t>
                </m:r>
              </m:e>
              <m:sup>
                <m:r>
                  <m:t>′</m:t>
                </m:r>
              </m:sup>
            </m:sSup>
          </m:sub>
          <m:sup/>
          <m:e>
            <m:sSub>
              <m:e>
                <m:r>
                  <m:t>H</m:t>
                </m:r>
              </m:e>
              <m:sub>
                <m:r>
                  <m:t>s</m:t>
                </m:r>
                <m:sSup>
                  <m:e>
                    <m:r>
                      <m:t>s</m:t>
                    </m:r>
                  </m:e>
                  <m:sup>
                    <m:r>
                      <m:t>′</m:t>
                    </m:r>
                  </m:sup>
                </m:sSup>
              </m:sub>
            </m:sSub>
          </m:e>
        </m:nary>
        <m:f>
          <m:fPr>
            <m:type m:val="bar"/>
          </m:fPr>
          <m:num>
            <m:sSub>
              <m:e>
                <m:r>
                  <m:t>ψ</m:t>
                </m:r>
              </m:e>
              <m:sub>
                <m:r>
                  <m:t>θ</m:t>
                </m:r>
              </m:sub>
            </m:sSub>
            <m:r>
              <m:t>(</m:t>
            </m:r>
            <m:sSup>
              <m:e>
                <m:r>
                  <m:t>s</m:t>
                </m:r>
              </m:e>
              <m:sup>
                <m:r>
                  <m:t>′</m:t>
                </m:r>
              </m:sup>
            </m:sSup>
            <m:r>
              <m:t>)</m:t>
            </m:r>
          </m:num>
          <m:den>
            <m:sSub>
              <m:e>
                <m:r>
                  <m:t>ψ</m:t>
                </m:r>
              </m:e>
              <m:sub>
                <m:r>
                  <m:t>θ</m:t>
                </m:r>
              </m:sub>
            </m:sSub>
            <m:r>
              <m:t>(s)</m:t>
            </m:r>
          </m:den>
        </m:f>
        <m:r>
          <m:t>,</m:t>
        </m:r>
      </m:oMath>
    </w:p>
    <w:p>
      <w:r>
        <w:rPr>
          <w:i w:val="0"/>
        </w:rPr>
        <w:t xml:space="preserve">the energy is </w:t>
      </w:r>
      <m:oMath>
        <m:r>
          <m:t>E[θ]=</m:t>
        </m:r>
        <m:nary>
          <m:naryPr>
            <m:chr m:val="∑"/>
            <m:limLoc m:val="subSup"/>
            <m:grow m:val="1"/>
            <m:subHide m:val="off"/>
            <m:supHide m:val="on"/>
          </m:naryPr>
          <m:sub>
            <m:r>
              <m:t>s</m:t>
            </m:r>
          </m:sub>
          <m:sup/>
          <m:e>
            <m:sSub>
              <m:e>
                <m:r>
                  <m:t>p</m:t>
                </m:r>
              </m:e>
              <m:sub>
                <m:r>
                  <m:t>θ</m:t>
                </m:r>
              </m:sub>
            </m:sSub>
          </m:e>
        </m:nary>
        <m:r>
          <m:t>(s)</m:t>
        </m:r>
        <m:sSub>
          <m:e>
            <m:r>
              <m:t>E</m:t>
            </m:r>
          </m:e>
          <m:sub>
            <m:r>
              <m:rPr>
                <m:nor/>
              </m:rPr>
              <m:t>loc</m:t>
            </m:r>
          </m:sub>
        </m:sSub>
        <m:r>
          <m:t>(s)</m:t>
        </m:r>
      </m:oMath>
      <w:r>
        <w:rPr>
          <w:i w:val="0"/>
        </w:rPr>
        <w:t xml:space="preserve">, which the Metropolis algorithm estimates from a Markov chain of sampled configurations. Second, because </w:t>
      </w:r>
      <m:oMath>
        <m:acc>
          <m:accPr>
            <m:chr m:val="̂"/>
          </m:accPr>
          <m:e>
            <m:r>
              <m:t>H</m:t>
            </m:r>
          </m:e>
        </m:acc>
      </m:oMath>
      <w:r>
        <w:rPr>
          <w:i w:val="0"/>
        </w:rPr>
        <w:t xml:space="preserve"> is local, each row </w:t>
      </w:r>
      <m:oMath>
        <m:sSub>
          <m:e>
            <m:r>
              <m:t>H</m:t>
            </m:r>
          </m:e>
          <m:sub>
            <m:r>
              <m:t>s</m:t>
            </m:r>
            <m:sSup>
              <m:e>
                <m:r>
                  <m:t>s</m:t>
                </m:r>
              </m:e>
              <m:sup>
                <m:r>
                  <m:t>′</m:t>
                </m:r>
              </m:sup>
            </m:sSup>
          </m:sub>
        </m:sSub>
      </m:oMath>
      <w:r>
        <w:rPr>
          <w:i w:val="0"/>
        </w:rPr>
        <w:t xml:space="preserve"> has only order </w:t>
      </w:r>
      <m:oMath>
        <m:r>
          <m:t>N</m:t>
        </m:r>
      </m:oMath>
      <w:r>
        <w:rPr>
          <w:i w:val="0"/>
        </w:rPr>
        <w:t xml:space="preserve"> nonzero entries, so </w:t>
      </w:r>
      <m:oMath>
        <m:sSub>
          <m:e>
            <m:r>
              <m:t>E</m:t>
            </m:r>
          </m:e>
          <m:sub>
            <m:r>
              <m:rPr>
                <m:nor/>
              </m:rPr>
              <m:t>loc</m:t>
            </m:r>
          </m:sub>
        </m:sSub>
        <m:r>
          <m:t>(s)</m:t>
        </m:r>
      </m:oMath>
      <w:r>
        <w:rPr>
          <w:i w:val="0"/>
        </w:rPr>
        <w:t xml:space="preserve"> costs a polynomial evaluation per sample. Nothing in the loop enumerates the Hilbert space. This is variational Monte Carlo, decades older than the network; the network only supplies the trial function.</w:t>
      </w:r>
    </w:p>
    <w:p>
      <w:r>
        <w:rPr>
          <w:i w:val="0"/>
        </w:rPr>
        <w:t>The optimizer mattered as much as the ansatz. Carleo and Troyer used stochastic reconfiguration, which preconditions the energy gradient by the quantum geometric tensor</w:t>
      </w:r>
    </w:p>
    <w:p>
      <w:pPr>
        <w:spacing w:before="200" w:after="200"/>
        <w:ind w:firstLine="0"/>
        <w:jc w:val="center"/>
        <w:contextualSpacing w:val="0"/>
      </w:pPr>
      <m:oMath>
        <m:sSub>
          <m:e>
            <m:r>
              <m:t>S</m:t>
            </m:r>
          </m:e>
          <m:sub>
            <m:r>
              <m:t>k</m:t>
            </m:r>
            <m:sSup>
              <m:e>
                <m:r>
                  <m:t>k</m:t>
                </m:r>
              </m:e>
              <m:sup>
                <m:r>
                  <m:t>′</m:t>
                </m:r>
              </m:sup>
            </m:sSup>
          </m:sub>
        </m:sSub>
        <m:r>
          <m:t>=⟨</m:t>
        </m:r>
        <m:sSubSup>
          <m:e>
            <m:r>
              <m:t>O</m:t>
            </m:r>
          </m:e>
          <m:sub>
            <m:r>
              <m:t>k</m:t>
            </m:r>
          </m:sub>
          <m:sup>
            <m:r>
              <m:t>*</m:t>
            </m:r>
          </m:sup>
        </m:sSubSup>
        <m:sSub>
          <m:e>
            <m:r>
              <m:t>O</m:t>
            </m:r>
          </m:e>
          <m:sub>
            <m:sSup>
              <m:e>
                <m:r>
                  <m:t>k</m:t>
                </m:r>
              </m:e>
              <m:sup>
                <m:r>
                  <m:t>′</m:t>
                </m:r>
              </m:sup>
            </m:sSup>
          </m:sub>
        </m:sSub>
        <m:r>
          <m:t>⟩−⟨</m:t>
        </m:r>
        <m:sSubSup>
          <m:e>
            <m:r>
              <m:t>O</m:t>
            </m:r>
          </m:e>
          <m:sub>
            <m:r>
              <m:t>k</m:t>
            </m:r>
          </m:sub>
          <m:sup>
            <m:r>
              <m:t>*</m:t>
            </m:r>
          </m:sup>
        </m:sSubSup>
        <m:r>
          <m:t>⟩⟨</m:t>
        </m:r>
        <m:sSub>
          <m:e>
            <m:r>
              <m:t>O</m:t>
            </m:r>
          </m:e>
          <m:sub>
            <m:sSup>
              <m:e>
                <m:r>
                  <m:t>k</m:t>
                </m:r>
              </m:e>
              <m:sup>
                <m:r>
                  <m:t>′</m:t>
                </m:r>
              </m:sup>
            </m:sSup>
          </m:sub>
        </m:sSub>
        <m:r>
          <m:t>⟩,</m:t>
        </m:r>
        <m:sSub>
          <m:e>
            <m:r>
              <m:t>O</m:t>
            </m:r>
          </m:e>
          <m:sub>
            <m:r>
              <m:t>k</m:t>
            </m:r>
          </m:sub>
        </m:sSub>
        <m:r>
          <m:t>(s)=</m:t>
        </m:r>
        <m:f>
          <m:fPr>
            <m:type m:val="bar"/>
          </m:fPr>
          <m:num>
            <m:r>
              <m:t>∂</m:t>
            </m:r>
            <m:r>
              <m:rPr>
                <m:sty m:val="p"/>
              </m:rPr>
              <m:t>ln</m:t>
            </m:r>
            <m:sSub>
              <m:e>
                <m:r>
                  <m:t>ψ</m:t>
                </m:r>
              </m:e>
              <m:sub>
                <m:r>
                  <m:t>θ</m:t>
                </m:r>
              </m:sub>
            </m:sSub>
            <m:r>
              <m:t>(s)</m:t>
            </m:r>
          </m:num>
          <m:den>
            <m:r>
              <m:t>∂</m:t>
            </m:r>
            <m:sSub>
              <m:e>
                <m:r>
                  <m:t>θ</m:t>
                </m:r>
              </m:e>
              <m:sub>
                <m:r>
                  <m:t>k</m:t>
                </m:r>
              </m:sub>
            </m:sSub>
          </m:den>
        </m:f>
        <m:r>
          <m:t>,</m:t>
        </m:r>
      </m:oMath>
    </w:p>
    <w:p>
      <w:r>
        <w:rPr>
          <w:i w:val="0"/>
        </w:rPr>
        <w:t xml:space="preserve">and takes the step </w:t>
      </w:r>
      <m:oMath>
        <m:r>
          <m:t>δθ=−η</m:t>
        </m:r>
        <m:sSup>
          <m:e>
            <m:r>
              <m:t>S</m:t>
            </m:r>
          </m:e>
          <m:sup>
            <m:r>
              <m:t>−1</m:t>
            </m:r>
          </m:sup>
        </m:sSup>
        <m:sSub>
          <m:e>
            <m:r>
              <m:t>∇</m:t>
            </m:r>
          </m:e>
          <m:sub>
            <m:r>
              <m:t>θ</m:t>
            </m:r>
          </m:sub>
        </m:sSub>
        <m:r>
          <m:t>E</m:t>
        </m:r>
      </m:oMath>
      <w:r>
        <w:rPr>
          <w:i w:val="0"/>
        </w:rPr>
        <w:t>. This is the natural gradient: the step is fixed in the Fubini-Study distance between the old and new quantum states rather than in Euclidean distance between parameter vectors, which matters because the map from parameters to states is wildly non-isometric. With this machinery the 2017 paper obtained ground states and unitary time evolution for the transverse-field Ising and antiferromagnetic Heisenberg models in one and two dimensions. The one-dimensional transverse-field Ising model was the natural first target because it is exactly solvable: Pierre Pfeuty mapped it to free fermions by the Jordan-Wigner transformation in 1970 and located the critical point where the transverse field equals the exchange coupling. Every paper since has been expected to reproduce it.</w:t>
      </w:r>
    </w:p>
    <w:p>
      <w:pPr>
        <w:pStyle w:val="BookSection"/>
      </w:pPr>
      <w:r>
        <w:t>What the network can hold</w:t>
      </w:r>
    </w:p>
    <w:p>
      <w:r>
        <w:rPr>
          <w:i w:val="0"/>
        </w:rPr>
        <w:t>The immediate question was whether the restricted Boltzmann machine was expressive enough to be interesting, or merely a compact reparameterization of states that were already easy. Dong-Ling Deng, Xiaopeng Li and Sankar Das Sarma answered it in 2017: with unrestricted connectivity these states encode volume-law entanglement using polynomially many parameters, while short-range connectivity gives an area law. Representational capacity was not the binding constraint.</w:t>
      </w:r>
    </w:p>
    <w:p>
      <w:r>
        <w:rPr>
          <w:i w:val="0"/>
        </w:rPr>
        <w:t xml:space="preserve">The contrast that gives this force is the density matrix renormalization group, introduced by Steven R. White in 1992 at the University of California, Irvine. White's move was to truncate the Hilbert space by keeping the eigenvectors of the reduced density matrix with the largest weight rather than the states of lowest energy, the correct criterion because it minimizes the error in reproducing the state of the full system rather than that of a block in isolation. Ulrich Schollwöck's 2011 review recast the algorithm in the language of matrix product states, making the limitation explicit. A matrix product state with bond dimension </w:t>
      </w:r>
      <m:oMath>
        <m:r>
          <m:t>m</m:t>
        </m:r>
      </m:oMath>
      <w:r>
        <w:rPr>
          <w:i w:val="0"/>
        </w:rPr>
        <w:t xml:space="preserve"> carries at most </w:t>
      </w:r>
      <m:oMath>
        <m:r>
          <m:rPr>
            <m:sty m:val="p"/>
          </m:rPr>
          <m:t>log</m:t>
        </m:r>
        <m:r>
          <m:t>m</m:t>
        </m:r>
      </m:oMath>
      <w:r>
        <w:rPr>
          <w:i w:val="0"/>
        </w:rPr>
        <w:t xml:space="preserve"> of entanglement entropy across any cut. In one dimension the ground state of a gapped local Hamiltonian has entropy that saturates with subsystem size, so fixed </w:t>
      </w:r>
      <m:oMath>
        <m:r>
          <m:t>m</m:t>
        </m:r>
      </m:oMath>
      <w:r>
        <w:rPr>
          <w:i w:val="0"/>
        </w:rPr>
        <w:t xml:space="preserve"> suffices and the truncation error falls exponentially. On a two-dimensional strip of width </w:t>
      </w:r>
      <m:oMath>
        <m:r>
          <m:t>W</m:t>
        </m:r>
      </m:oMath>
      <w:r>
        <w:rPr>
          <w:i w:val="0"/>
        </w:rPr>
        <w:t xml:space="preserve"> the entropy across a cut grows with </w:t>
      </w:r>
      <m:oMath>
        <m:r>
          <m:t>W</m:t>
        </m:r>
      </m:oMath>
      <w:r>
        <w:rPr>
          <w:i w:val="0"/>
        </w:rPr>
        <w:t xml:space="preserve">, so </w:t>
      </w:r>
      <m:oMath>
        <m:r>
          <m:t>m</m:t>
        </m:r>
      </m:oMath>
      <w:r>
        <w:rPr>
          <w:i w:val="0"/>
        </w:rPr>
        <w:t xml:space="preserve"> must grow exponentially in </w:t>
      </w:r>
      <m:oMath>
        <m:r>
          <m:t>W</m:t>
        </m:r>
      </m:oMath>
      <w:r>
        <w:rPr>
          <w:i w:val="0"/>
        </w:rPr>
        <w:t>. Hence the method remains superior in one dimension and struggles beyond it, and neural-network states, whose entanglement capacity is not organized around a one-dimensional cut, looked like the right instrument for two.</w:t>
      </w:r>
    </w:p>
    <w:p>
      <w:r>
        <w:rPr>
          <w:i w:val="0"/>
        </w:rPr>
        <w:t>Two properties are easy to run together. Expressiveness is the claim that some parameter setting reproduces the target state; trainability is the claim that the optimizer finds it. Deng, Li and Das Sarma established the first. The density matrix renormalization group has a weaker guarantee on the first and a much stronger one on the second: the sweep is a controlled variational procedure with a single knob, and the discarded weight tells the user how far from converged the calculation is. Neural-network quantum states inherited no such diagnostic, and the next decade was largely about that gap.</w:t>
      </w:r>
    </w:p>
    <w:p>
      <w:r>
        <w:rPr>
          <w:i w:val="0"/>
        </w:rPr>
        <w:t>Stefanie Czischek, Martin Gärttner and Thomas Gasenzer made the point early in 2018. Testing restricted Boltzmann machine wave functions against exact solutions, time-dependent density matrix renormalization group and semi-classical methods for quenches near the Ising quantum critical point, the three found convergence slowing badly once long-range correlations built up. Precisely where the physics is universal, the ansatz is hardest to optimize.</w:t>
      </w:r>
    </w:p>
    <w:p>
      <w:pPr>
        <w:pStyle w:val="BookSection"/>
      </w:pPr>
      <w:r>
        <w:t>The lattice branch</w:t>
      </w:r>
    </w:p>
    <w:p>
      <w:r>
        <w:rPr>
          <w:i w:val="0"/>
        </w:rPr>
        <w:t>The lattice community consolidated around shared software. NetKet, released in SoftwareX in 2019 by a nineteen-author collaboration led by Giuseppe Carleo, packaged neural-network ansätze together with ground-state search, tomography and supervised learning on customizable lattices. NetKet 3, led by Filippo Vicentini with Carleo as senior author and published in SciPost Physics Codebases in 2022, rebuilt the library on JAX, so that an ansatz written in pure Python acquired just-in-time compilation, automatic differentiation, GPU and TPU execution, symmetry groups and drivers for dynamics. Architecture became a variable a graduate student could change in an afternoon.</w:t>
      </w:r>
    </w:p>
    <w:p>
      <w:r>
        <w:rPr>
          <w:i w:val="0"/>
        </w:rPr>
        <w:t xml:space="preserve">Architectures moved accordingly, and Hannah Lange, Anka Van de Walle, Atiye Abedinnia and Annabelle Bohrdt surveyed the result in 2024. Restricted Boltzmann machines were joined by convolutional networks, which share one filter across every site and so build lattice translation invariance into the parameterization instead of asking the optimizer to discover it; by recurrent and autoregressive models, which factorize the amplitude into conditional amplitudes taken site by site, so the normalization is exact by construction and independent samples can be drawn directly rather than through a Markov chain; and by transformers, which replace the fixed neighbourhood of a filter with attention weights computed from the configuration itself. Kenny Choo, Titus Neupert and Carleo applied a fully convolutional ansatz in 2019 to the frustrated spin-1/2 </w:t>
      </w:r>
      <m:oMath>
        <m:sSub>
          <m:e>
            <m:r>
              <m:t>J</m:t>
            </m:r>
          </m:e>
          <m:sub>
            <m:r>
              <m:t>1</m:t>
            </m:r>
          </m:sub>
        </m:sSub>
      </m:oMath>
      <w:r>
        <w:rPr>
          <w:i w:val="0"/>
        </w:rPr>
        <w:t>-</w:t>
      </w:r>
      <m:oMath>
        <m:sSub>
          <m:e>
            <m:r>
              <m:t>J</m:t>
            </m:r>
          </m:e>
          <m:sub>
            <m:r>
              <m:t>2</m:t>
            </m:r>
          </m:sub>
        </m:sSub>
      </m:oMath>
      <w:r>
        <w:rPr>
          <w:i w:val="0"/>
        </w:rPr>
        <w:t xml:space="preserve"> Heisenberg model on the square lattice, a benchmark quantum Monte Carlo cannot touch because the sign problem makes the sampling weights non-positive, and reached energies competitive with and in places better than the state of the art. Christopher Roth, Attila Szabó and Allan H. MacDonald showed in 2023 that group-convolutional networks four to sixteen layers deep, imposing the full lattice symmetry group rather than only translations, outperform state-of-the-art variational methods on highly frustrated magnets including square- and triangular-lattice spin-liquid candidates.</w:t>
      </w:r>
    </w:p>
    <w:p>
      <w:r>
        <w:rPr>
          <w:i w:val="0"/>
        </w:rPr>
        <w:t xml:space="preserve">Depth exposed the optimizer bottleneck. Stochastic reconfiguration solves a linear system whose matrix is the geometric tensor, of size </w:t>
      </w:r>
      <m:oMath>
        <m:r>
          <m:t>P×P</m:t>
        </m:r>
      </m:oMath>
      <w:r>
        <w:rPr>
          <w:i w:val="0"/>
        </w:rPr>
        <w:t xml:space="preserve"> in the parameter count </w:t>
      </w:r>
      <m:oMath>
        <m:r>
          <m:t>P</m:t>
        </m:r>
      </m:oMath>
      <w:r>
        <w:rPr>
          <w:i w:val="0"/>
        </w:rPr>
        <w:t xml:space="preserve">; the storage is quadratic and a dense solve is cubic, so the per-step cost grows as </w:t>
      </w:r>
      <m:oMath>
        <m:sSup>
          <m:e>
            <m:r>
              <m:t>P</m:t>
            </m:r>
          </m:e>
          <m:sup>
            <m:r>
              <m:t>3</m:t>
            </m:r>
          </m:sup>
        </m:sSup>
      </m:oMath>
      <w:r>
        <w:rPr>
          <w:i w:val="0"/>
        </w:rPr>
        <w:t xml:space="preserve"> and deep networks became unaffordable. Ao Chen and Markus Heyl removed the obstruction in 2024 by reformulating the step in the space of samples rather than parameters, a space whose dimension is the number of Monte Carlo samples and therefore independent of </w:t>
      </w:r>
      <m:oMath>
        <m:r>
          <m:t>P</m:t>
        </m:r>
      </m:oMath>
      <w:r>
        <w:rPr>
          <w:i w:val="0"/>
        </w:rPr>
        <w:t xml:space="preserve">. Applied to the </w:t>
      </w:r>
      <m:oMath>
        <m:sSub>
          <m:e>
            <m:r>
              <m:t>J</m:t>
            </m:r>
          </m:e>
          <m:sub>
            <m:r>
              <m:t>1</m:t>
            </m:r>
          </m:sub>
        </m:sSub>
      </m:oMath>
      <w:r>
        <w:rPr>
          <w:i w:val="0"/>
        </w:rPr>
        <w:t>-</w:t>
      </w:r>
      <m:oMath>
        <m:sSub>
          <m:e>
            <m:r>
              <m:t>J</m:t>
            </m:r>
          </m:e>
          <m:sub>
            <m:r>
              <m:t>2</m:t>
            </m:r>
          </m:sub>
        </m:sSub>
      </m:oMath>
      <w:r>
        <w:rPr>
          <w:i w:val="0"/>
        </w:rPr>
        <w:t xml:space="preserve"> model, it produced evidence for a gapless quantum spin-liquid phase.</w:t>
      </w:r>
    </w:p>
    <w:p>
      <w:r>
        <w:rPr>
          <w:i w:val="0"/>
        </w:rPr>
        <w:t xml:space="preserve">The difficulty in these models is worth naming precisely. For an unfrustrated antiferromagnet on a bipartite lattice, a rotation of one sublattice makes every ground-state amplitude real and non-negative, which is Marshall's sign rule, and the weights quantum Monte Carlo needs are then legitimate probabilities. Frustration destroys that. The amplitudes acquire a sign pattern with no simple closed form, the sampling weights become non-positive, and the statistical error grows exponentially with system size and inverse temperature, which is the sign problem. A neural-network ansatz routes around it rather than solving it: variational Monte Carlo samples </w:t>
      </w:r>
      <m:oMath>
        <m:sSup>
          <m:e>
            <m:d>
              <m:dPr>
                <m:begChr m:val="|"/>
                <m:sepChr m:val=""/>
                <m:endChr m:val="|"/>
              </m:dPr>
              <m:e>
                <m:sSub>
                  <m:e>
                    <m:r>
                      <m:t>ψ</m:t>
                    </m:r>
                  </m:e>
                  <m:sub>
                    <m:r>
                      <m:t>θ</m:t>
                    </m:r>
                  </m:sub>
                </m:sSub>
                <m:r>
                  <m:t>(s)</m:t>
                </m:r>
              </m:e>
            </m:d>
          </m:e>
          <m:sup>
            <m:r>
              <m:t>2</m:t>
            </m:r>
          </m:sup>
        </m:sSup>
      </m:oMath>
      <w:r>
        <w:rPr>
          <w:i w:val="0"/>
        </w:rPr>
        <w:t>, positive by construction, and puts the signs in the network output rather than in the weights. The cost is transferred to the optimization. The modulus of an amplitude is a comparatively smooth function of configuration and easy to fit; the phase is not, and the energy is very sensitive to getting it wrong.</w:t>
      </w:r>
    </w:p>
    <w:p>
      <w:r>
        <w:rPr>
          <w:i w:val="0"/>
        </w:rPr>
        <w:t>A parallel line kept the physics in the ansatz rather than delegating everything to the network. Yusuke Nomura, Andrew S. Darmawan, Youhei Yamaji and Masatoshi Imada combined a restricted Boltzmann machine with pair-product and Gutzwiller-Jastrow reference states in 2017, using the network as a correlator on top of a wave function that already had the right structure, and improved ground-state accuracy substantially for Heisenberg and Hubbard models on square lattices. Javier Robledo Moreno, Carleo, Antoine Georges and James Stokes pushed further in 2022 with hidden-fermion states: a Slater determinant in an enlarged Hilbert space, with a network parameterizing the constraint that projects back down. The family is provably universal and matched leading variational methods on the two-dimensional Hubbard model. The lesson from both is that the fermionic sign structure is better handled by a determinant than learned from scratch.</w:t>
      </w:r>
    </w:p>
    <w:p>
      <w:r>
        <w:rPr>
          <w:i w:val="0"/>
        </w:rPr>
        <w:t>Dynamics followed the same trajectory. Markus Schmitt and Markus Heyl simulated the two-dimensional transverse-field Ising model with neural networks in 2020, reaching times comparable to or beyond tensor-network methods and resolving collapse-and-revival oscillations of ferromagnetic order. Giacomo Torlai, Guglielmo Mazzola, Juan Carrasquilla, Troyer, Roger Melko and Carleo had already reversed the arrow in 2018, using the same ansatz for quantum state tomography, reconstructing highly entangled states, and quantities such as the entanglement entropy, from measurement outcomes.</w:t>
      </w:r>
    </w:p>
    <w:p>
      <w:pPr>
        <w:pStyle w:val="BookSection"/>
      </w:pPr>
      <w:r>
        <w:t>Continuous space</w:t>
      </w:r>
    </w:p>
    <w:p>
      <w:r>
        <w:rPr>
          <w:i w:val="0"/>
        </w:rPr>
        <w:t xml:space="preserve">Quantum chemistry took the same idea into continuous space, where the configuration is a set of electron coordinates rather than a spin string. There is no lattice to convolve over and no discrete basis to sum, so the Metropolis chain walks in the </w:t>
      </w:r>
      <m:oMath>
        <m:r>
          <m:t>3</m:t>
        </m:r>
        <m:sSub>
          <m:e>
            <m:r>
              <m:t>N</m:t>
            </m:r>
          </m:e>
          <m:sub>
            <m:r>
              <m:t>e</m:t>
            </m:r>
          </m:sub>
        </m:sSub>
      </m:oMath>
      <w:r>
        <w:rPr>
          <w:i w:val="0"/>
        </w:rPr>
        <w:t xml:space="preserve"> dimensions of the electron coordinates; the Coulomb potential diverges wherever two particles coincide; and antisymmetry under exchange is a hard constraint, so an ansatz that is only approximately antisymmetric is not an approximation to a fermionic state at all.</w:t>
      </w:r>
    </w:p>
    <w:p>
      <w:r>
        <w:rPr>
          <w:i w:val="0"/>
        </w:rPr>
        <w:t>Jan Hermann, Zeno Schätzle and Frank Noé introduced PauliNet in Nature Chemistry in 2020. The architecture builds in a multireference Hartree-Fock baseline, the electron-electron and electron-nucleus cusp conditions of Kato, and antisymmetry, and trains the remaining freedom by variational quantum Monte Carlo. The cusps matter because the exact wave function has a derivative discontinuity wherever two particles coincide, and a smooth network asked to learn that from samples wastes its capacity on it. PauliNet reached near-exact energies for molecules with up to thirty electrons. The DeepQMC package, published by Schätzle, P. Bernát Szabó, Matěj Mezera, Hermann and Noé in 2023, is the JAX codebase that contains PauliNet along with several other such architectures.</w:t>
      </w:r>
    </w:p>
    <w:p>
      <w:r>
        <w:rPr>
          <w:i w:val="0"/>
        </w:rPr>
        <w:t>David Pfau, James S. Spencer, Alexander G. de G. Matthews and W. M. C. Foulkes took the opposite design decision with FermiNet in 2020. Rather than antisymmetrize a product of single-particle orbitals, FermiNet replaces the Slater determinant with determinants of permutation-equivariant many-electron orbitals, each depending on all electron positions while transforming correctly under exchange. That removes the need for a basis set and for any reference wave function, and it reached chemical accuracy on small molecules with neither. Pfau, Simon Axelrod, Halvard Sutterud, Ingrid von Glehn and Spencer extended the approach to excited states in 2024, recasting the search for the lowest excited states as a ground-state problem in an expanded system with no explicit orthogonalization.</w:t>
      </w:r>
    </w:p>
    <w:p>
      <w:pPr>
        <w:pStyle w:val="BookSection"/>
      </w:pPr>
      <w:r>
        <w:t>Scoring the field</w:t>
      </w:r>
    </w:p>
    <w:p>
      <w:r>
        <w:rPr>
          <w:i w:val="0"/>
        </w:rPr>
        <w:t xml:space="preserve">By 2023 the incomparability had become the field's central embarrassment. Choo, Neupert and Carleo reported energies for the square-lattice </w:t>
      </w:r>
      <m:oMath>
        <m:sSub>
          <m:e>
            <m:r>
              <m:t>J</m:t>
            </m:r>
          </m:e>
          <m:sub>
            <m:r>
              <m:t>1</m:t>
            </m:r>
          </m:sub>
        </m:sSub>
      </m:oMath>
      <w:r>
        <w:rPr>
          <w:i w:val="0"/>
        </w:rPr>
        <w:t>-</w:t>
      </w:r>
      <m:oMath>
        <m:sSub>
          <m:e>
            <m:r>
              <m:t>J</m:t>
            </m:r>
          </m:e>
          <m:sub>
            <m:r>
              <m:t>2</m:t>
            </m:r>
          </m:sub>
        </m:sSub>
      </m:oMath>
      <w:r>
        <w:rPr>
          <w:i w:val="0"/>
        </w:rPr>
        <w:t xml:space="preserve"> model; Roth, Szabó and MacDonald for triangular-lattice spin-liquid candidates; Nomura, Darmawan, Yamaji and Imada for Heisenberg and Hubbard models; Robledo Moreno, Carleo, Georges and Stokes for the two-dimensional Hubbard model. Every one of those calculations is careful, and no two arrive with a shared statement of how far from converged the quoted number is. An energy per site, at a particular lattice size and boundary condition, against a particular reference, cannot tell a reader whether a lower number means a better wave function or an easier problem. Dian Wu, Riccardo Rossi, Filippo Vicentini and Giuseppe Carleo, with a thirty-three-author consortium that included Steven R. White, Masatoshi Imada, Federico Becca, Juan Carrasquilla and Antoine Georges, supplied the missing instrument in Science in October 2024.</w:t>
      </w:r>
    </w:p>
    <w:p>
      <w:r>
        <w:rPr>
          <w:i w:val="0"/>
        </w:rPr>
        <w:t xml:space="preserve">The construction rests on the zero-variance principle. If </w:t>
      </w:r>
      <m:oMath>
        <m:r>
          <m:t>|ψ⟩</m:t>
        </m:r>
      </m:oMath>
      <w:r>
        <w:rPr>
          <w:i w:val="0"/>
        </w:rPr>
        <w:t xml:space="preserve"> is an exact eigenstate of </w:t>
      </w:r>
      <m:oMath>
        <m:acc>
          <m:accPr>
            <m:chr m:val="̂"/>
          </m:accPr>
          <m:e>
            <m:r>
              <m:t>H</m:t>
            </m:r>
          </m:e>
        </m:acc>
      </m:oMath>
      <w:r>
        <w:rPr>
          <w:i w:val="0"/>
        </w:rPr>
        <w:t xml:space="preserve">, then </w:t>
      </w:r>
      <m:oMath>
        <m:sSub>
          <m:e>
            <m:r>
              <m:t>E</m:t>
            </m:r>
          </m:e>
          <m:sub>
            <m:r>
              <m:rPr>
                <m:nor/>
              </m:rPr>
              <m:t>loc</m:t>
            </m:r>
          </m:sub>
        </m:sSub>
        <m:r>
          <m:t>(s)</m:t>
        </m:r>
      </m:oMath>
      <w:r>
        <w:rPr>
          <w:i w:val="0"/>
        </w:rPr>
        <w:t xml:space="preserve"> takes the same value for every configuration, so </w:t>
      </w:r>
      <m:oMath>
        <m:r>
          <m:rPr>
            <m:nor/>
          </m:rPr>
          <m:t>Var</m:t>
        </m:r>
        <m:r>
          <m:t>[</m:t>
        </m:r>
        <m:acc>
          <m:accPr>
            <m:chr m:val="̂"/>
          </m:accPr>
          <m:e>
            <m:r>
              <m:t>H</m:t>
            </m:r>
          </m:e>
        </m:acc>
        <m:r>
          <m:t>]=⟨</m:t>
        </m:r>
        <m:sSup>
          <m:e>
            <m:acc>
              <m:accPr>
                <m:chr m:val="̂"/>
              </m:accPr>
              <m:e>
                <m:r>
                  <m:t>H</m:t>
                </m:r>
              </m:e>
            </m:acc>
          </m:e>
          <m:sup>
            <m:r>
              <m:t>2</m:t>
            </m:r>
          </m:sup>
        </m:sSup>
        <m:r>
          <m:t>⟩−⟨</m:t>
        </m:r>
        <m:acc>
          <m:accPr>
            <m:chr m:val="̂"/>
          </m:accPr>
          <m:e>
            <m:r>
              <m:t>H</m:t>
            </m:r>
          </m:e>
        </m:acc>
        <m:sSup>
          <m:e>
            <m:r>
              <m:t>⟩</m:t>
            </m:r>
          </m:e>
          <m:sup>
            <m:r>
              <m:t>2</m:t>
            </m:r>
          </m:sup>
        </m:sSup>
      </m:oMath>
      <w:r>
        <w:rPr>
          <w:i w:val="0"/>
        </w:rPr>
        <w:t xml:space="preserve"> vanishes identically. The variance is therefore a distance from an eigenstate that requires no knowledge of the exact answer, which is what a benchmark on unsolved models needs. It is not yet a usable score, because the variance is extensive and carries units of energy squared. Dividing by the square of an energy makes it dimensionless, and multiplying by the number of sites makes it size-intensive, which gives</w:t>
      </w:r>
    </w:p>
    <w:p>
      <w:pPr>
        <w:spacing w:before="200" w:after="200"/>
        <w:ind w:firstLine="0"/>
        <w:jc w:val="center"/>
        <w:contextualSpacing w:val="0"/>
      </w:pPr>
      <m:oMath>
        <m:r>
          <m:t>V=</m:t>
        </m:r>
        <m:f>
          <m:fPr>
            <m:type m:val="bar"/>
          </m:fPr>
          <m:num>
            <m:r>
              <m:t>N</m:t>
            </m:r>
            <m:r>
              <m:rPr>
                <m:nor/>
              </m:rPr>
              <m:t>Var</m:t>
            </m:r>
            <m:r>
              <m:t>[</m:t>
            </m:r>
            <m:acc>
              <m:accPr>
                <m:chr m:val="̂"/>
              </m:accPr>
              <m:e>
                <m:r>
                  <m:t>H</m:t>
                </m:r>
              </m:e>
            </m:acc>
            <m:r>
              <m:t>]</m:t>
            </m:r>
          </m:num>
          <m:den>
            <m:sSup>
              <m:e>
                <m:d>
                  <m:dPr>
                    <m:sepChr m:val=""/>
                  </m:dPr>
                  <m:e>
                    <m:r>
                      <m:t>E</m:t>
                    </m:r>
                    <m:r>
                      <m:t>−</m:t>
                    </m:r>
                    <m:sSub>
                      <m:e>
                        <m:r>
                          <m:t>E</m:t>
                        </m:r>
                      </m:e>
                      <m:sub>
                        <m:r>
                          <m:t>∞</m:t>
                        </m:r>
                      </m:sub>
                    </m:sSub>
                  </m:e>
                </m:d>
              </m:e>
              <m:sup>
                <m:r>
                  <m:t>2</m:t>
                </m:r>
              </m:sup>
            </m:sSup>
          </m:den>
        </m:f>
        <m:r>
          <m:t>,</m:t>
        </m:r>
      </m:oMath>
    </w:p>
    <w:p>
      <w:r>
        <w:rPr>
          <w:i w:val="0"/>
        </w:rPr>
        <w:t xml:space="preserve">with </w:t>
      </w:r>
      <m:oMath>
        <m:sSub>
          <m:e>
            <m:r>
              <m:t>E</m:t>
            </m:r>
          </m:e>
          <m:sub>
            <m:r>
              <m:t>∞</m:t>
            </m:r>
          </m:sub>
        </m:sSub>
      </m:oMath>
      <w:r>
        <w:rPr>
          <w:i w:val="0"/>
        </w:rPr>
        <w:t xml:space="preserve"> a Hamiltonian-dependent reference offset that keeps the denominator from vanishing. The V-score is comparable across models, methods, and system sizes, and it falls toward zero as a calculation approaches the true eigenstate.</w:t>
      </w:r>
    </w:p>
    <w:p>
      <w:r>
        <w:rPr>
          <w:i w:val="0"/>
        </w:rPr>
        <w:t>Two cautions travel with the metric. A vanishing variance identifies an eigenstate, not the ground state, so a calculation that converges cleanly onto a low-lying excited state will score well and still be wrong; the energy has to be read alongside the variance rather than instead of it. And the variance is itself a Monte Carlo estimate with its own statistical error, computed from the same chain of samples as the energy, so a V-score is only as trustworthy as the sampling that produced it, which is precisely what degrades where the score matters most. The consortium supplied not a proof of convergence but a common currency in which competing claims of convergence can be compared.</w:t>
      </w:r>
    </w:p>
    <w:p>
      <w:r>
        <w:rPr>
          <w:i w:val="0"/>
        </w:rPr>
        <w:t>Applied to a curated dataset of variational calculations across many-body Hamiltonians, the V-score sorted the field. Some models are effectively finished: unfrustrated spin systems and one-dimensional chains score low by every method. Frustrated spin models and doped Hubbard-type systems retain V-scores orders of magnitude larger, and the gap is not closed by any entry, neural or tensor-network or quantum Monte Carlo. The scorecard is honest in an uncomfortable way. It does not rank methods by who reports the lowest energy; it reports that on the hardest Hamiltonians nobody can currently certify that the state they have found is the state they were looking for.</w:t>
      </w:r>
    </w:p>
    <w:p>
      <w:pPr>
        <w:pStyle w:val="BookSection"/>
      </w:pPr>
      <w:r>
        <w:t>Machines that do not write the wave function down</w:t>
      </w:r>
    </w:p>
    <w:p>
      <w:r>
        <w:rPr>
          <w:i w:val="0"/>
        </w:rPr>
        <w:t>The other check arrived from hardware. Markus Greiner, Olaf Mandel, Tilman Esslinger, Theodor W. Hänsch and Immanuel Bloch observed the superfluid-to-Mott-insulator quantum phase transition in 2002 by loading a Bose-Einstein condensate into a three-dimensional optical lattice and tuning the transition with lattice depth. Fifteen years later Anton Mazurenko and colleagues in Greiner's group at Harvard realized a Fermi-Hubbard antiferromagnet on roughly eighty sites in a quantum gas microscope, with antiferromagnetic correlations whose correlation length reached the system size. Half filling on a square lattice is the tractable corner of the Hubbard problem, not the doped regime the V-score marks as open, so this is not a result past the classical frontier. What it shows is a different mode of access: the correlation function comes out of the apparatus site by site, with no trial state anywhere in the procedure and so nothing variational to score.</w:t>
      </w:r>
    </w:p>
    <w:p>
      <w:r>
        <w:rPr>
          <w:i w:val="0"/>
        </w:rPr>
        <w:t>Programmable Rydberg arrays have taken that mode into territory the scorecard does mark as open. Sepehr Ebadi and colleagues at Harvard and MIT mapped the phase diagram of a 256-atom simulator in 2021, resolving checkerboard, striated and star ordered phases and the transitions between them. Giulia Semeghini and co-workers placed 219 atoms on the links of a kagome lattice, using Rydberg blockade to build a frustrated state with no local order, and detected a toric-code-type quantum spin liquid through topological string operators. A frustrated lattice whose ordering appears only in nonlocal operators is the class on which the consortium reports that no method can certify its own answer.</w:t>
      </w:r>
    </w:p>
    <w:p>
      <w:r>
        <w:rPr>
          <w:i w:val="0"/>
        </w:rPr>
        <w:t>The sharper break is not about which Hamiltonian but about which quantity. Two years before the phase-diagram work, the same platform tested a prediction about the approach to a critical point rather than about the state at it. Tom W. B. Kibble argued in 1976 that in a spontaneously broken gauge theory the kind of defect that forms, domain wall or string or monopole, is fixed by the homotopy groups of the manifold of degenerate vacua, and across that paper and a 1980 follow-up developed the causality argument that domains cannot be correlated over distances larger than the causal horizon at the transition, which sets a defect separation. Wojciech H. Zurek brought the idea into the laboratory in 1985 by proposing superfluid vortex lines as the analogue of cosmic strings, with the condensate phase chosen independently in domains whose size fixes how many vortices are left behind. Zurek's 1996 review states the resulting scaling law in the form the field now uses.</w:t>
      </w:r>
    </w:p>
    <w:p>
      <w:r>
        <w:rPr>
          <w:i w:val="0"/>
        </w:rPr>
        <w:t xml:space="preserve">The mechanism is that a system swept through a continuous transition at finite rate cannot stay adiabatic near the critical point, because the relaxation time diverges there; the state freezes when the remaining time to the transition falls below the local relaxation time, and the correlation length frozen in at that moment sets the defect density. Adolfo del Campo and Zurek gave the standard modern statement in 2014: for a quench of duration </w:t>
      </w:r>
      <m:oMath>
        <m:sSub>
          <m:e>
            <m:r>
              <m:t>τ</m:t>
            </m:r>
          </m:e>
          <m:sub>
            <m:r>
              <m:t>Q</m:t>
            </m:r>
          </m:sub>
        </m:sSub>
      </m:oMath>
      <w:r>
        <w:rPr>
          <w:i w:val="0"/>
        </w:rPr>
        <w:t>,</w:t>
      </w:r>
    </w:p>
    <w:p>
      <w:pPr>
        <w:spacing w:before="200" w:after="200"/>
        <w:ind w:firstLine="0"/>
        <w:jc w:val="center"/>
        <w:contextualSpacing w:val="0"/>
      </w:pPr>
      <m:oMath>
        <m:acc>
          <m:accPr>
            <m:chr m:val="̂"/>
          </m:accPr>
          <m:e>
            <m:r>
              <m:t>ξ</m:t>
            </m:r>
          </m:e>
        </m:acc>
        <m:r>
          <m:t>=</m:t>
        </m:r>
        <m:sSub>
          <m:e>
            <m:r>
              <m:t>ξ</m:t>
            </m:r>
          </m:e>
          <m:sub>
            <m:r>
              <m:t>0</m:t>
            </m:r>
          </m:sub>
        </m:sSub>
        <m:r>
          <m:t>(</m:t>
        </m:r>
        <m:sSub>
          <m:e>
            <m:r>
              <m:t>τ</m:t>
            </m:r>
          </m:e>
          <m:sub>
            <m:r>
              <m:t>Q</m:t>
            </m:r>
          </m:sub>
        </m:sSub>
        <m:r>
          <m:t>/</m:t>
        </m:r>
        <m:sSub>
          <m:e>
            <m:r>
              <m:t>τ</m:t>
            </m:r>
          </m:e>
          <m:sub>
            <m:r>
              <m:t>0</m:t>
            </m:r>
          </m:sub>
        </m:sSub>
        <m:sSup>
          <m:e>
            <m:r>
              <m:t>)</m:t>
            </m:r>
          </m:e>
          <m:sup>
            <m:r>
              <m:t>ν/(1+zν)</m:t>
            </m:r>
          </m:sup>
        </m:sSup>
        <m:r>
          <m:t>,</m:t>
        </m:r>
        <m:r>
          <m:t>n~</m:t>
        </m:r>
        <m:sSup>
          <m:e>
            <m:acc>
              <m:accPr>
                <m:chr m:val="̂"/>
              </m:accPr>
              <m:e>
                <m:r>
                  <m:t>ξ</m:t>
                </m:r>
              </m:e>
            </m:acc>
          </m:e>
          <m:sup>
            <m:r>
              <m:t>−(D−d)</m:t>
            </m:r>
          </m:sup>
        </m:sSup>
        <m:r>
          <m:t>,</m:t>
        </m:r>
      </m:oMath>
    </w:p>
    <w:p>
      <w:r>
        <w:rPr>
          <w:i w:val="0"/>
        </w:rPr>
        <w:t xml:space="preserve">where </w:t>
      </w:r>
      <m:oMath>
        <m:r>
          <m:t>ν</m:t>
        </m:r>
      </m:oMath>
      <w:r>
        <w:rPr>
          <w:i w:val="0"/>
        </w:rPr>
        <w:t xml:space="preserve"> and </w:t>
      </w:r>
      <m:oMath>
        <m:r>
          <m:t>z</m:t>
        </m:r>
      </m:oMath>
      <w:r>
        <w:rPr>
          <w:i w:val="0"/>
        </w:rPr>
        <w:t xml:space="preserve"> are the correlation-length and dynamical exponents, </w:t>
      </w:r>
      <m:oMath>
        <m:r>
          <m:t>D</m:t>
        </m:r>
      </m:oMath>
      <w:r>
        <w:rPr>
          <w:i w:val="0"/>
        </w:rPr>
        <w:t xml:space="preserve"> is the dimension of space and </w:t>
      </w:r>
      <m:oMath>
        <m:r>
          <m:t>d</m:t>
        </m:r>
      </m:oMath>
      <w:r>
        <w:rPr>
          <w:i w:val="0"/>
        </w:rPr>
        <w:t xml:space="preserve"> the dimension of the defect, so the density scales as the inverse codimension power of the frozen length. The quantum version was established in 2005 by three groups. Bogdan Damski reframed Landau-Zener transitions in avoided crossings as the simplest quantum model producing Kibble-Zurek defects; Zurek, Uwe Dorner and Peter Zoller developed both a thermodynamic argument transcribed into the quantum setting and a purely quantum one based on the Landau-Zener transition probability, and showed the two give compatible defect-density scaling; Jacek Dziarmaga solved the linearly quenched quantum Ising model exactly.</w:t>
      </w:r>
    </w:p>
    <w:p>
      <w:r>
        <w:rPr>
          <w:i w:val="0"/>
        </w:rPr>
        <w:t xml:space="preserve">Alexander Keesling and co-workers in Mikhail D. Lukin's group tested it in 2019 on a 51-atom array of rubidium-87 with programmable van der Waals interactions, swept across an Ising-type transition into a </w:t>
      </w:r>
      <m:oMath>
        <m:sSub>
          <m:e>
            <m:r>
              <m:t>Z</m:t>
            </m:r>
          </m:e>
          <m:sub>
            <m:r>
              <m:t>2</m:t>
            </m:r>
          </m:sub>
        </m:sSub>
      </m:oMath>
      <w:r>
        <w:rPr>
          <w:i w:val="0"/>
        </w:rPr>
        <w:t xml:space="preserve">-ordered phase. The measured object was the Rydberg density-density correlation function </w:t>
      </w:r>
      <m:oMath>
        <m:r>
          <m:t>G(r)</m:t>
        </m:r>
      </m:oMath>
      <w:r>
        <w:rPr>
          <w:i w:val="0"/>
        </w:rPr>
        <w:t xml:space="preserve">, from which a correlation length was extracted by fitting an exponential decay to its modulus. A power-law fit of that length against the inverse detuning sweep rate gave </w:t>
      </w:r>
      <m:oMath>
        <m:r>
          <m:t>μ=ν/(1+zν)=0.50(3)</m:t>
        </m:r>
      </m:oMath>
      <w:r>
        <w:rPr>
          <w:i w:val="0"/>
        </w:rPr>
        <w:t xml:space="preserve">, consistent within the quoted uncertainty with the one-dimensional Ising value of </w:t>
      </w:r>
      <m:oMath>
        <m:f>
          <m:fPr>
            <m:type m:val="lin"/>
          </m:fPr>
          <m:num>
            <m:r>
              <m:t>1</m:t>
            </m:r>
          </m:num>
          <m:den>
            <m:r>
              <m:t>2</m:t>
            </m:r>
          </m:den>
        </m:f>
      </m:oMath>
      <w:r>
        <w:rPr>
          <w:i w:val="0"/>
        </w:rPr>
        <w:t xml:space="preserve"> and excluding the mean-field value of </w:t>
      </w:r>
      <m:oMath>
        <m:f>
          <m:fPr>
            <m:type m:val="lin"/>
          </m:fPr>
          <m:num>
            <m:r>
              <m:t>1</m:t>
            </m:r>
          </m:num>
          <m:den>
            <m:r>
              <m:t>3</m:t>
            </m:r>
          </m:den>
        </m:f>
      </m:oMath>
      <w:r>
        <w:rPr>
          <w:i w:val="0"/>
        </w:rPr>
        <w:t>. Defect density, the coarse-grained observable the mechanism is usually stated in terms of, was not what the experiment measured, and the authors draw the distinction explicitly: the correlation function carries microscopic structure the coarse-grained prediction does not contain. They also report deviations from the prediction where the correlations turn negative at some separations.</w:t>
      </w:r>
    </w:p>
    <w:p>
      <w:r>
        <w:rPr>
          <w:i w:val="0"/>
        </w:rPr>
        <w:t>The defect count itself came from superconducting circuits. Andrew D. King and collaborators drove a one-dimensional transverse-field Ising chain of up to 2,000 flux qubits coherently through its quantum critical point in 2022 and recovered the predicted kink statistics together with positive kink-kink correlations, independent of device temperature and in quantitative agreement with closed-system analytical solutions.</w:t>
      </w:r>
    </w:p>
    <w:p>
      <w:r>
        <w:rPr>
          <w:i w:val="0"/>
        </w:rPr>
        <w:t>Notice which Hamiltonians those two experiments use. Both are one-dimensional Ising chains, and the King chain is the Pfeuty model itself, the exactly solvable case the V-score files under finished. The ground-state problem there is closed, and the quantity measured is not a ground-state property. A state produced by a ramp of finite duration is not an eigenstate of the instantaneous Hamiltonian and is not meant to be; its energy variance is large by construction and reports nothing about how accurately anything was computed. The zero-variance principle has no purchase on it, and the consortium's score, defined for a stationary variational eigenstate, has no dynamical analogue. The simulators have not merely moved into the open corner of the scorecard. They have moved into a class of quantities the scorecard was never built to cover.</w:t>
      </w:r>
    </w:p>
    <w:p>
      <w:r>
        <w:rPr>
          <w:i w:val="0"/>
        </w:rPr>
        <w:t>Neural networks are already there. Schmitt and Heyl were simulating this physics, quench dynamics of the transverse-field Ising model in two dimensions, reaching times comparable to or beyond what tensor networks could hold. What nobody can do is certify such a result the way a V-score certifies a ground-state energy. The available check is agreement with a tensor network in the window where both are affordable, and Czischek, Gärttner and Gasenzer had already shown that convergence for quenches degrades once long-range correlations build, which is the regime that sets the frozen length.</w:t>
      </w:r>
    </w:p>
    <w:p>
      <w:r>
        <w:rPr>
          <w:i w:val="0"/>
        </w:rPr>
        <w:t>Trond I. Andersen, Nikita Astrakhantsev and colleagues at Google Quantum AI, with groups at Princeton, the Paul Scherrer Institute and Geneva, ran a 69-qubit analogue-digital simulator on the XY model in 2025 and found Kibble-Zurek scaling breaking down through coarsening, alongside signatures of the Kosterlitz-Thouless transition, with cross-entropy benchmarking placing the evolution outside the reach of classical simulation. A universal prediction failed, for a physical reason, in a regime where no classical calculation can be run to adjudicate. The V-score can be computed for a state that has stopped moving. Nobody has yet written down what the corresponding number would be for a state that has not.</w:t>
      </w:r>
    </w:p>
    <w:p>
      <w:pPr>
        <w:pStyle w:val="Heading1"/>
      </w:pPr>
      <w:r>
        <w:t>References</w:t>
      </w:r>
    </w:p>
    <w:p>
      <w:pPr>
        <w:spacing w:before="120" w:after="0"/>
        <w:ind w:firstLine="0"/>
      </w:pPr>
      <w:r>
        <w:rPr>
          <w:i w:val="0"/>
        </w:rPr>
        <w:t xml:space="preserve">Andersen, Astrakhantsev, Karamlou, Berndtsson, Motruk, Szasz and colleagues (2025). Nature 638(8049), 79-85; preprint arXiv:2405.17385. </w:t>
      </w:r>
      <w:hyperlink r:id="rId63">
        <w:r>
          <w:rPr>
            <w:rStyle w:val="Hyperlink"/>
          </w:rPr>
          <w:t xml:space="preserve">https://doi.org/10.1038/s41586-024-08460-3</w:t>
        </w:r>
      </w:hyperlink>
    </w:p>
    <w:p>
      <w:pPr>
        <w:spacing w:before="120" w:after="0"/>
        <w:ind w:firstLine="0"/>
      </w:pPr>
      <w:r>
        <w:rPr>
          <w:i w:val="0"/>
        </w:rPr>
        <w:t xml:space="preserve">Carleo, Choo, Hofmann, Smith, Westerhout, Alet, Davis, Efthymiou, Glasser, Lin, Mauri, Mazzola, Mendl, van Nieuwenburg, O'Reilly, Théveniaut, Torlai, Vicentini, Wietek (2019). SoftwareX 10, 100311; preprint arXiv:1904.00031. </w:t>
      </w:r>
      <w:hyperlink r:id="rId64">
        <w:r>
          <w:rPr>
            <w:rStyle w:val="Hyperlink"/>
          </w:rPr>
          <w:t xml:space="preserve">https://doi.org/10.1016/j.softx.2019.100311</w:t>
        </w:r>
      </w:hyperlink>
    </w:p>
    <w:p>
      <w:pPr>
        <w:spacing w:before="120" w:after="0"/>
        <w:ind w:firstLine="0"/>
      </w:pPr>
      <w:r>
        <w:rPr>
          <w:i w:val="0"/>
        </w:rPr>
        <w:t xml:space="preserve">Carleo, Troyer (2017). Science 355(6325), 602-606; preprint arXiv:1606.02318. </w:t>
      </w:r>
      <w:hyperlink r:id="rId65">
        <w:r>
          <w:rPr>
            <w:rStyle w:val="Hyperlink"/>
          </w:rPr>
          <w:t xml:space="preserve">https://doi.org/10.1126/science.aag2302</w:t>
        </w:r>
      </w:hyperlink>
    </w:p>
    <w:p>
      <w:pPr>
        <w:spacing w:before="120" w:after="0"/>
        <w:ind w:firstLine="0"/>
      </w:pPr>
      <w:r>
        <w:rPr>
          <w:i w:val="0"/>
        </w:rPr>
        <w:t xml:space="preserve">Chen, Heyl (2024). Nature Physics 20, 1476-1481. </w:t>
      </w:r>
      <w:hyperlink r:id="rId66">
        <w:r>
          <w:rPr>
            <w:rStyle w:val="Hyperlink"/>
          </w:rPr>
          <w:t xml:space="preserve">https://doi.org/10.1038/s41567-024-02566-1</w:t>
        </w:r>
      </w:hyperlink>
    </w:p>
    <w:p>
      <w:pPr>
        <w:spacing w:before="120" w:after="0"/>
        <w:ind w:firstLine="0"/>
      </w:pPr>
      <w:r>
        <w:rPr>
          <w:i w:val="0"/>
        </w:rPr>
        <w:t xml:space="preserve">Choo, Neupert, Carleo (2019). Physical Review B 100, 125124. </w:t>
      </w:r>
      <w:hyperlink r:id="rId67">
        <w:r>
          <w:rPr>
            <w:rStyle w:val="Hyperlink"/>
          </w:rPr>
          <w:t xml:space="preserve">https://doi.org/10.1103/PhysRevB.100.125124</w:t>
        </w:r>
      </w:hyperlink>
    </w:p>
    <w:p>
      <w:pPr>
        <w:spacing w:before="120" w:after="0"/>
        <w:ind w:firstLine="0"/>
      </w:pPr>
      <w:r>
        <w:rPr>
          <w:i w:val="0"/>
        </w:rPr>
        <w:t xml:space="preserve">Czischek, Gärttner, Gasenzer (2018). Physical Review B 98, 024311. </w:t>
      </w:r>
      <w:hyperlink r:id="rId68">
        <w:r>
          <w:rPr>
            <w:rStyle w:val="Hyperlink"/>
          </w:rPr>
          <w:t xml:space="preserve">https://doi.org/10.1103/PhysRevB.98.024311</w:t>
        </w:r>
      </w:hyperlink>
    </w:p>
    <w:p>
      <w:pPr>
        <w:spacing w:before="120" w:after="0"/>
        <w:ind w:firstLine="0"/>
      </w:pPr>
      <w:r>
        <w:rPr>
          <w:i w:val="0"/>
        </w:rPr>
        <w:t xml:space="preserve">Damski (2005). Physical Review Letters 95, 035701. </w:t>
      </w:r>
      <w:hyperlink r:id="rId69">
        <w:r>
          <w:rPr>
            <w:rStyle w:val="Hyperlink"/>
          </w:rPr>
          <w:t xml:space="preserve">https://doi.org/10.1103/PhysRevLett.95.035701</w:t>
        </w:r>
      </w:hyperlink>
    </w:p>
    <w:p>
      <w:pPr>
        <w:spacing w:before="120" w:after="0"/>
        <w:ind w:firstLine="0"/>
      </w:pPr>
      <w:r>
        <w:rPr>
          <w:i w:val="0"/>
        </w:rPr>
        <w:t xml:space="preserve">del Campo, Zurek (2014). International Journal of Modern Physics A 29(8), 1430018. </w:t>
      </w:r>
      <w:hyperlink r:id="rId70">
        <w:r>
          <w:rPr>
            <w:rStyle w:val="Hyperlink"/>
          </w:rPr>
          <w:t xml:space="preserve">https://doi.org/10.1142/S0217751X1430018X</w:t>
        </w:r>
      </w:hyperlink>
    </w:p>
    <w:p>
      <w:pPr>
        <w:spacing w:before="120" w:after="0"/>
        <w:ind w:firstLine="0"/>
      </w:pPr>
      <w:r>
        <w:rPr>
          <w:i w:val="0"/>
        </w:rPr>
        <w:t xml:space="preserve">Deng, Li, Das Sarma (2017). Physical Review X 7, 021021. </w:t>
      </w:r>
      <w:hyperlink r:id="rId71">
        <w:r>
          <w:rPr>
            <w:rStyle w:val="Hyperlink"/>
          </w:rPr>
          <w:t xml:space="preserve">https://doi.org/10.1103/PhysRevX.7.021021</w:t>
        </w:r>
      </w:hyperlink>
    </w:p>
    <w:p>
      <w:pPr>
        <w:spacing w:before="120" w:after="0"/>
        <w:ind w:firstLine="0"/>
      </w:pPr>
      <w:r>
        <w:rPr>
          <w:i w:val="0"/>
        </w:rPr>
        <w:t xml:space="preserve">Dziarmaga (2005). Physical Review Letters 95, 245701. </w:t>
      </w:r>
      <w:hyperlink r:id="rId72">
        <w:r>
          <w:rPr>
            <w:rStyle w:val="Hyperlink"/>
          </w:rPr>
          <w:t xml:space="preserve">https://doi.org/10.1103/PhysRevLett.95.245701</w:t>
        </w:r>
      </w:hyperlink>
    </w:p>
    <w:p>
      <w:pPr>
        <w:spacing w:before="120" w:after="0"/>
        <w:ind w:firstLine="0"/>
      </w:pPr>
      <w:r>
        <w:rPr>
          <w:i w:val="0"/>
        </w:rPr>
        <w:t xml:space="preserve">Ebadi, Wang, Levine, Keesling, Semeghini, Omran, Bluvstein, Samajdar, Pichler, Ho, Choi, Sachdev, Greiner, Vuletić, Lukin (2021). Nature 595(7866), 227-232. </w:t>
      </w:r>
      <w:hyperlink r:id="rId73">
        <w:r>
          <w:rPr>
            <w:rStyle w:val="Hyperlink"/>
          </w:rPr>
          <w:t xml:space="preserve">https://doi.org/10.1038/s41586-021-03582-4</w:t>
        </w:r>
      </w:hyperlink>
    </w:p>
    <w:p>
      <w:pPr>
        <w:spacing w:before="120" w:after="0"/>
        <w:ind w:firstLine="0"/>
      </w:pPr>
      <w:r>
        <w:rPr>
          <w:i w:val="0"/>
        </w:rPr>
        <w:t xml:space="preserve">Greiner, Mandel, Esslinger, Hänsch, Bloch (2002). Nature 415(6867), 39-44. </w:t>
      </w:r>
      <w:hyperlink r:id="rId74">
        <w:r>
          <w:rPr>
            <w:rStyle w:val="Hyperlink"/>
          </w:rPr>
          <w:t xml:space="preserve">https://doi.org/10.1038/415039a</w:t>
        </w:r>
      </w:hyperlink>
    </w:p>
    <w:p>
      <w:pPr>
        <w:spacing w:before="120" w:after="0"/>
        <w:ind w:firstLine="0"/>
      </w:pPr>
      <w:r>
        <w:rPr>
          <w:i w:val="0"/>
        </w:rPr>
        <w:t xml:space="preserve">Hermann, Schätzle, Noé (2020). Nature Chemistry 12, 891-897; preprint arXiv:1909.08423. </w:t>
      </w:r>
      <w:hyperlink r:id="rId75">
        <w:r>
          <w:rPr>
            <w:rStyle w:val="Hyperlink"/>
          </w:rPr>
          <w:t xml:space="preserve">https://doi.org/10.1038/s41557-020-0544-y</w:t>
        </w:r>
      </w:hyperlink>
    </w:p>
    <w:p>
      <w:pPr>
        <w:spacing w:before="120" w:after="0"/>
        <w:ind w:firstLine="0"/>
      </w:pPr>
      <w:r>
        <w:rPr>
          <w:i w:val="0"/>
        </w:rPr>
        <w:t xml:space="preserve">Keesling, Omran, Levine, Bernien, Pichler, Choi, Samajdar, Schwartz, Silvi, Sachdev, Zoller, Endres, Greiner, Vuletić, Lukin (2019). Nature 568(7751), 207-211; preprint arXiv:1809.05540. </w:t>
      </w:r>
      <w:hyperlink r:id="rId76">
        <w:r>
          <w:rPr>
            <w:rStyle w:val="Hyperlink"/>
          </w:rPr>
          <w:t xml:space="preserve">https://doi.org/10.1038/s41586-019-1070-1</w:t>
        </w:r>
      </w:hyperlink>
    </w:p>
    <w:p>
      <w:pPr>
        <w:spacing w:before="120" w:after="0"/>
        <w:ind w:firstLine="0"/>
      </w:pPr>
      <w:r>
        <w:rPr>
          <w:i w:val="0"/>
        </w:rPr>
        <w:t xml:space="preserve">Kibble (1976). Journal of Physics A: Mathematical and General 9(8), 1387-1398. </w:t>
      </w:r>
      <w:hyperlink r:id="rId77">
        <w:r>
          <w:rPr>
            <w:rStyle w:val="Hyperlink"/>
          </w:rPr>
          <w:t xml:space="preserve">https://doi.org/10.1088/0305-4470/9/8/029</w:t>
        </w:r>
      </w:hyperlink>
    </w:p>
    <w:p>
      <w:pPr>
        <w:spacing w:before="120" w:after="0"/>
        <w:ind w:firstLine="0"/>
      </w:pPr>
      <w:r>
        <w:rPr>
          <w:i w:val="0"/>
        </w:rPr>
        <w:t xml:space="preserve">Kibble (1980). Some implications of a cosmological phase transition. Physics Reports 67(1), 183-199. </w:t>
      </w:r>
      <w:hyperlink r:id="rId78">
        <w:r>
          <w:rPr>
            <w:rStyle w:val="Hyperlink"/>
          </w:rPr>
          <w:t xml:space="preserve">https://doi.org/10.1016/0370-1573(80</w:t>
        </w:r>
      </w:hyperlink>
      <w:r>
        <w:rPr>
          <w:i w:val="0"/>
        </w:rPr>
        <w:t>)90091-5</w:t>
      </w:r>
    </w:p>
    <w:p>
      <w:pPr>
        <w:spacing w:before="120" w:after="0"/>
        <w:ind w:firstLine="0"/>
      </w:pPr>
      <w:r>
        <w:rPr>
          <w:i w:val="0"/>
        </w:rPr>
        <w:t xml:space="preserve">King, Suzuki, Raymond, Zucca, Lanting, Altomare, Berkley, Ejtemaee and colleagues (2022). Nature Physics 18, 1324-1328; preprint arXiv:2202.05847. </w:t>
      </w:r>
      <w:hyperlink r:id="rId79">
        <w:r>
          <w:rPr>
            <w:rStyle w:val="Hyperlink"/>
          </w:rPr>
          <w:t xml:space="preserve">https://doi.org/10.1038/s41567-022-01741-6</w:t>
        </w:r>
      </w:hyperlink>
    </w:p>
    <w:p>
      <w:pPr>
        <w:spacing w:before="120" w:after="0"/>
        <w:ind w:firstLine="0"/>
      </w:pPr>
      <w:r>
        <w:rPr>
          <w:i w:val="0"/>
        </w:rPr>
        <w:t xml:space="preserve">Lange, Van de Walle, Abedinnia, Bohrdt (2024). Quantum Science and Technology 9(4), 040501; preprint arXiv:2402.09402. </w:t>
      </w:r>
      <w:hyperlink r:id="rId80">
        <w:r>
          <w:rPr>
            <w:rStyle w:val="Hyperlink"/>
          </w:rPr>
          <w:t xml:space="preserve">https://doi.org/10.1088/2058-9565/ad7168</w:t>
        </w:r>
      </w:hyperlink>
    </w:p>
    <w:p>
      <w:pPr>
        <w:spacing w:before="120" w:after="0"/>
        <w:ind w:firstLine="0"/>
      </w:pPr>
      <w:r>
        <w:rPr>
          <w:i w:val="0"/>
        </w:rPr>
        <w:t xml:space="preserve">Mazurenko, Chiu, Ji, Parsons, Kanász-Nagy, Schmidt, Grusdt, Demler, Greif, Greiner (2017). Nature 545(7655), 462-466. </w:t>
      </w:r>
      <w:hyperlink r:id="rId81">
        <w:r>
          <w:rPr>
            <w:rStyle w:val="Hyperlink"/>
          </w:rPr>
          <w:t xml:space="preserve">https://doi.org/10.1038/nature22362</w:t>
        </w:r>
      </w:hyperlink>
    </w:p>
    <w:p>
      <w:pPr>
        <w:spacing w:before="120" w:after="0"/>
        <w:ind w:firstLine="0"/>
      </w:pPr>
      <w:r>
        <w:rPr>
          <w:i w:val="0"/>
        </w:rPr>
        <w:t xml:space="preserve">Nomura, Darmawan, Yamaji, Imada (2017). Physical Review B 96, 205152. </w:t>
      </w:r>
      <w:hyperlink r:id="rId82">
        <w:r>
          <w:rPr>
            <w:rStyle w:val="Hyperlink"/>
          </w:rPr>
          <w:t xml:space="preserve">https://doi.org/10.1103/PhysRevB.96.205152</w:t>
        </w:r>
      </w:hyperlink>
    </w:p>
    <w:p>
      <w:pPr>
        <w:spacing w:before="120" w:after="0"/>
        <w:ind w:firstLine="0"/>
      </w:pPr>
      <w:r>
        <w:rPr>
          <w:i w:val="0"/>
        </w:rPr>
        <w:t xml:space="preserve">Pfau, Axelrod, Sutterud, von Glehn, Spencer (2024). Science 385(6711); preprint arXiv:2308.16848. </w:t>
      </w:r>
      <w:hyperlink r:id="rId83">
        <w:r>
          <w:rPr>
            <w:rStyle w:val="Hyperlink"/>
          </w:rPr>
          <w:t xml:space="preserve">https://doi.org/10.1126/science.adn0137</w:t>
        </w:r>
      </w:hyperlink>
    </w:p>
    <w:p>
      <w:pPr>
        <w:spacing w:before="120" w:after="0"/>
        <w:ind w:firstLine="0"/>
      </w:pPr>
      <w:r>
        <w:rPr>
          <w:i w:val="0"/>
        </w:rPr>
        <w:t xml:space="preserve">Pfau, Spencer, Matthews, Foulkes (2020). Ab-Initio Solution of the Many-Electron Schrödinger Equation with Deep Neural Networks. Physical Review Research 2(3), 033429; preprint arXiv:1909.02487. </w:t>
      </w:r>
      <w:hyperlink r:id="rId84">
        <w:r>
          <w:rPr>
            <w:rStyle w:val="Hyperlink"/>
          </w:rPr>
          <w:t xml:space="preserve">https://doi.org/10.1103/PhysRevResearch.2.033429</w:t>
        </w:r>
      </w:hyperlink>
    </w:p>
    <w:p>
      <w:pPr>
        <w:spacing w:before="120" w:after="0"/>
        <w:ind w:firstLine="0"/>
      </w:pPr>
      <w:r>
        <w:rPr>
          <w:i w:val="0"/>
        </w:rPr>
        <w:t xml:space="preserve">Pfeuty (1970). Annals of Physics 57(1), 79-90. </w:t>
      </w:r>
      <w:hyperlink r:id="rId85">
        <w:r>
          <w:rPr>
            <w:rStyle w:val="Hyperlink"/>
          </w:rPr>
          <w:t xml:space="preserve">https://doi.org/10.1016/0003-4916(70</w:t>
        </w:r>
      </w:hyperlink>
      <w:r>
        <w:rPr>
          <w:i w:val="0"/>
        </w:rPr>
        <w:t>)90270-8</w:t>
      </w:r>
    </w:p>
    <w:p>
      <w:pPr>
        <w:spacing w:before="120" w:after="0"/>
        <w:ind w:firstLine="0"/>
      </w:pPr>
      <w:r>
        <w:rPr>
          <w:i w:val="0"/>
        </w:rPr>
        <w:t xml:space="preserve">Robledo Moreno, Carleo, Georges, Stokes (2022). Proceedings of the National Academy of Sciences 119, e2122059119; preprint arXiv:2111.10420. </w:t>
      </w:r>
      <w:hyperlink r:id="rId86">
        <w:r>
          <w:rPr>
            <w:rStyle w:val="Hyperlink"/>
          </w:rPr>
          <w:t xml:space="preserve">https://doi.org/10.1073/pnas.2122059119</w:t>
        </w:r>
      </w:hyperlink>
    </w:p>
    <w:p>
      <w:pPr>
        <w:spacing w:before="120" w:after="0"/>
        <w:ind w:firstLine="0"/>
      </w:pPr>
      <w:r>
        <w:rPr>
          <w:i w:val="0"/>
        </w:rPr>
        <w:t xml:space="preserve">Roth, Szabó, MacDonald (2023). Physical Review B 108, 054410; preprint arXiv:2211.07749. </w:t>
      </w:r>
      <w:hyperlink r:id="rId87">
        <w:r>
          <w:rPr>
            <w:rStyle w:val="Hyperlink"/>
          </w:rPr>
          <w:t xml:space="preserve">https://doi.org/10.1103/PhysRevB.108.054410</w:t>
        </w:r>
      </w:hyperlink>
    </w:p>
    <w:p>
      <w:pPr>
        <w:spacing w:before="120" w:after="0"/>
        <w:ind w:firstLine="0"/>
      </w:pPr>
      <w:r>
        <w:rPr>
          <w:i w:val="0"/>
        </w:rPr>
        <w:t xml:space="preserve">Schmitt, Heyl (2020). Physical Review Letters 125, 100503; preprint arXiv:1912.08828. </w:t>
      </w:r>
      <w:hyperlink r:id="rId88">
        <w:r>
          <w:rPr>
            <w:rStyle w:val="Hyperlink"/>
          </w:rPr>
          <w:t xml:space="preserve">https://doi.org/10.1103/PhysRevLett.125.100503</w:t>
        </w:r>
      </w:hyperlink>
    </w:p>
    <w:p>
      <w:pPr>
        <w:spacing w:before="120" w:after="0"/>
        <w:ind w:firstLine="0"/>
      </w:pPr>
      <w:r>
        <w:rPr>
          <w:i w:val="0"/>
        </w:rPr>
        <w:t xml:space="preserve">Schollwöck (2011). Annals of Physics 326(1), 96-192; preprint arXiv:1008.3477. </w:t>
      </w:r>
      <w:hyperlink r:id="rId89">
        <w:r>
          <w:rPr>
            <w:rStyle w:val="Hyperlink"/>
          </w:rPr>
          <w:t xml:space="preserve">https://doi.org/10.1016/j.aop.2010.09.012</w:t>
        </w:r>
      </w:hyperlink>
    </w:p>
    <w:p>
      <w:pPr>
        <w:spacing w:before="120" w:after="0"/>
        <w:ind w:firstLine="0"/>
      </w:pPr>
      <w:r>
        <w:rPr>
          <w:i w:val="0"/>
        </w:rPr>
        <w:t xml:space="preserve">Schätzle, Szabó, Mezera, Hermann, Noé (2023). The Journal of Chemical Physics 159(9), 094108; preprint arXiv:2307.14123. </w:t>
      </w:r>
      <w:hyperlink r:id="rId90">
        <w:r>
          <w:rPr>
            <w:rStyle w:val="Hyperlink"/>
          </w:rPr>
          <w:t xml:space="preserve">https://doi.org/10.1063/5.0157512</w:t>
        </w:r>
      </w:hyperlink>
    </w:p>
    <w:p>
      <w:pPr>
        <w:spacing w:before="120" w:after="0"/>
        <w:ind w:firstLine="0"/>
      </w:pPr>
      <w:r>
        <w:rPr>
          <w:i w:val="0"/>
        </w:rPr>
        <w:t xml:space="preserve">Semeghini, Levine, Keesling, Ebadi, Wang, Bluvstein, Verresen, Pichler, Kalinowski, Samajdar, Omran, Sachdev, Vishwanath, Greiner, Vuletić, Lukin (2021). Science 374(6572), 1242-1247; preprint arXiv:2104.04119. </w:t>
      </w:r>
      <w:hyperlink r:id="rId91">
        <w:r>
          <w:rPr>
            <w:rStyle w:val="Hyperlink"/>
          </w:rPr>
          <w:t xml:space="preserve">https://doi.org/10.1126/science.abi8794</w:t>
        </w:r>
      </w:hyperlink>
    </w:p>
    <w:p>
      <w:pPr>
        <w:spacing w:before="120" w:after="0"/>
        <w:ind w:firstLine="0"/>
      </w:pPr>
      <w:r>
        <w:rPr>
          <w:i w:val="0"/>
        </w:rPr>
        <w:t xml:space="preserve">Torlai, Mazzola, Carrasquilla, Troyer, Melko, Carleo (2018). Many-body quantum state tomography with neural networks. Nature Physics 14, 447-450; preprint arXiv:1703.05334. </w:t>
      </w:r>
      <w:hyperlink r:id="rId92">
        <w:r>
          <w:rPr>
            <w:rStyle w:val="Hyperlink"/>
          </w:rPr>
          <w:t xml:space="preserve">https://doi.org/10.1038/s41567-018-0048-5</w:t>
        </w:r>
      </w:hyperlink>
    </w:p>
    <w:p>
      <w:pPr>
        <w:spacing w:before="120" w:after="0"/>
        <w:ind w:firstLine="0"/>
      </w:pPr>
      <w:r>
        <w:rPr>
          <w:i w:val="0"/>
        </w:rPr>
        <w:t xml:space="preserve">Vicentini, Hofmann, Szabó, Wu, Roth, Giuliani, Pescia, Nys, Vargas-Calderón, Astrakhantsev, Carleo (2022). SciPost Physics Codebases 7; preprint arXiv:2112.10526. </w:t>
      </w:r>
      <w:hyperlink r:id="rId93">
        <w:r>
          <w:rPr>
            <w:rStyle w:val="Hyperlink"/>
          </w:rPr>
          <w:t xml:space="preserve">https://doi.org/10.21468/SciPostPhysCodeb.7</w:t>
        </w:r>
      </w:hyperlink>
    </w:p>
    <w:p>
      <w:pPr>
        <w:spacing w:before="120" w:after="0"/>
        <w:ind w:firstLine="0"/>
      </w:pPr>
      <w:r>
        <w:rPr>
          <w:i w:val="0"/>
        </w:rPr>
        <w:t xml:space="preserve">White (1992). Physical Review Letters 69(19), 2863-2866. </w:t>
      </w:r>
      <w:hyperlink r:id="rId94">
        <w:r>
          <w:rPr>
            <w:rStyle w:val="Hyperlink"/>
          </w:rPr>
          <w:t xml:space="preserve">https://doi.org/10.1103/PhysRevLett.69.2863</w:t>
        </w:r>
      </w:hyperlink>
    </w:p>
    <w:p>
      <w:pPr>
        <w:spacing w:before="120" w:after="0"/>
        <w:ind w:firstLine="0"/>
      </w:pPr>
      <w:r>
        <w:rPr>
          <w:i w:val="0"/>
        </w:rPr>
        <w:t xml:space="preserve">Wu, Rossi, Vicentini, Astrakhantsev, Becca, Cao, Carrasquilla, Ferrari, Georges, Hibat-Allah, Imada, Läuchli, Mazzola, Mezzacapo, Millis, Robledo Moreno, Neupert, Nomura, Nys, Parcollet, Pohle, Romero, Schmid, Silvester, Sorella, Tocchio, Wang, White, Wietek, Yang, Yang, Zhang, Carleo (2024). Variational benchmarks for quantum many-body problems. Science 386(6719), 296-301; preprint arXiv:2302.04919. </w:t>
      </w:r>
      <w:hyperlink r:id="rId95">
        <w:r>
          <w:rPr>
            <w:rStyle w:val="Hyperlink"/>
          </w:rPr>
          <w:t xml:space="preserve">https://doi.org/10.1126/science.adg9774</w:t>
        </w:r>
      </w:hyperlink>
    </w:p>
    <w:p>
      <w:pPr>
        <w:spacing w:before="120" w:after="0"/>
        <w:ind w:firstLine="0"/>
      </w:pPr>
      <w:r>
        <w:rPr>
          <w:i w:val="0"/>
        </w:rPr>
        <w:t xml:space="preserve">Zurek (1985). Nature 317(6037), 505-508. </w:t>
      </w:r>
      <w:hyperlink r:id="rId96">
        <w:r>
          <w:rPr>
            <w:rStyle w:val="Hyperlink"/>
          </w:rPr>
          <w:t xml:space="preserve">https://doi.org/10.1038/317505a0</w:t>
        </w:r>
      </w:hyperlink>
    </w:p>
    <w:p>
      <w:pPr>
        <w:spacing w:before="120" w:after="0"/>
        <w:ind w:firstLine="0"/>
      </w:pPr>
      <w:r>
        <w:rPr>
          <w:i w:val="0"/>
        </w:rPr>
        <w:t xml:space="preserve">Zurek (1996). Physics Reports 276, 177-221. </w:t>
      </w:r>
      <w:hyperlink r:id="rId97">
        <w:r>
          <w:rPr>
            <w:rStyle w:val="Hyperlink"/>
          </w:rPr>
          <w:t xml:space="preserve">https://doi.org/10.1016/S0370-1573(96</w:t>
        </w:r>
      </w:hyperlink>
      <w:r>
        <w:rPr>
          <w:i w:val="0"/>
        </w:rPr>
        <w:t>)00009-9</w:t>
      </w:r>
    </w:p>
    <w:p>
      <w:pPr>
        <w:spacing w:before="120" w:after="0"/>
        <w:ind w:firstLine="0"/>
      </w:pPr>
      <w:r>
        <w:rPr>
          <w:i w:val="0"/>
        </w:rPr>
        <w:t xml:space="preserve">Zurek, Dorner, Zoller (2005). Dynamics of a Quantum Phase Transition. Physical Review Letters 95, 105701. </w:t>
      </w:r>
      <w:hyperlink r:id="rId98">
        <w:r>
          <w:rPr>
            <w:rStyle w:val="Hyperlink"/>
          </w:rPr>
          <w:t xml:space="preserve">https://doi.org/10.1103/PhysRevLett.95.105701</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038/s41586-024-08460-3" TargetMode="External"/><Relationship Id="rId64" Type="http://schemas.openxmlformats.org/officeDocument/2006/relationships/hyperlink" Target="https://doi.org/10.1016/j.softx.2019.100311" TargetMode="External"/><Relationship Id="rId65" Type="http://schemas.openxmlformats.org/officeDocument/2006/relationships/hyperlink" Target="https://doi.org/10.1126/science.aag2302" TargetMode="External"/><Relationship Id="rId66" Type="http://schemas.openxmlformats.org/officeDocument/2006/relationships/hyperlink" Target="https://doi.org/10.1038/s41567-024-02566-1" TargetMode="External"/><Relationship Id="rId67" Type="http://schemas.openxmlformats.org/officeDocument/2006/relationships/hyperlink" Target="https://doi.org/10.1103/PhysRevB.100.125124" TargetMode="External"/><Relationship Id="rId68" Type="http://schemas.openxmlformats.org/officeDocument/2006/relationships/hyperlink" Target="https://doi.org/10.1103/PhysRevB.98.024311" TargetMode="External"/><Relationship Id="rId69" Type="http://schemas.openxmlformats.org/officeDocument/2006/relationships/hyperlink" Target="https://doi.org/10.1103/PhysRevLett.95.035701" TargetMode="External"/><Relationship Id="rId70" Type="http://schemas.openxmlformats.org/officeDocument/2006/relationships/hyperlink" Target="https://doi.org/10.1142/S0217751X1430018X" TargetMode="External"/><Relationship Id="rId71" Type="http://schemas.openxmlformats.org/officeDocument/2006/relationships/hyperlink" Target="https://doi.org/10.1103/PhysRevX.7.021021" TargetMode="External"/><Relationship Id="rId72" Type="http://schemas.openxmlformats.org/officeDocument/2006/relationships/hyperlink" Target="https://doi.org/10.1103/PhysRevLett.95.245701" TargetMode="External"/><Relationship Id="rId73" Type="http://schemas.openxmlformats.org/officeDocument/2006/relationships/hyperlink" Target="https://doi.org/10.1038/s41586-021-03582-4" TargetMode="External"/><Relationship Id="rId74" Type="http://schemas.openxmlformats.org/officeDocument/2006/relationships/hyperlink" Target="https://doi.org/10.1038/415039a" TargetMode="External"/><Relationship Id="rId75" Type="http://schemas.openxmlformats.org/officeDocument/2006/relationships/hyperlink" Target="https://doi.org/10.1038/s41557-020-0544-y" TargetMode="External"/><Relationship Id="rId76" Type="http://schemas.openxmlformats.org/officeDocument/2006/relationships/hyperlink" Target="https://doi.org/10.1038/s41586-019-1070-1" TargetMode="External"/><Relationship Id="rId77" Type="http://schemas.openxmlformats.org/officeDocument/2006/relationships/hyperlink" Target="https://doi.org/10.1088/0305-4470/9/8/029" TargetMode="External"/><Relationship Id="rId78" Type="http://schemas.openxmlformats.org/officeDocument/2006/relationships/hyperlink" Target="https://doi.org/10.1016/0370-1573(80" TargetMode="External"/><Relationship Id="rId79" Type="http://schemas.openxmlformats.org/officeDocument/2006/relationships/hyperlink" Target="https://doi.org/10.1038/s41567-022-01741-6" TargetMode="External"/><Relationship Id="rId80" Type="http://schemas.openxmlformats.org/officeDocument/2006/relationships/hyperlink" Target="https://doi.org/10.1088/2058-9565/ad7168" TargetMode="External"/><Relationship Id="rId81" Type="http://schemas.openxmlformats.org/officeDocument/2006/relationships/hyperlink" Target="https://doi.org/10.1038/nature22362" TargetMode="External"/><Relationship Id="rId82" Type="http://schemas.openxmlformats.org/officeDocument/2006/relationships/hyperlink" Target="https://doi.org/10.1103/PhysRevB.96.205152" TargetMode="External"/><Relationship Id="rId83" Type="http://schemas.openxmlformats.org/officeDocument/2006/relationships/hyperlink" Target="https://doi.org/10.1126/science.adn0137" TargetMode="External"/><Relationship Id="rId84" Type="http://schemas.openxmlformats.org/officeDocument/2006/relationships/hyperlink" Target="https://doi.org/10.1103/PhysRevResearch.2.033429" TargetMode="External"/><Relationship Id="rId85" Type="http://schemas.openxmlformats.org/officeDocument/2006/relationships/hyperlink" Target="https://doi.org/10.1016/0003-4916(70" TargetMode="External"/><Relationship Id="rId86" Type="http://schemas.openxmlformats.org/officeDocument/2006/relationships/hyperlink" Target="https://doi.org/10.1073/pnas.2122059119" TargetMode="External"/><Relationship Id="rId87" Type="http://schemas.openxmlformats.org/officeDocument/2006/relationships/hyperlink" Target="https://doi.org/10.1103/PhysRevB.108.054410" TargetMode="External"/><Relationship Id="rId88" Type="http://schemas.openxmlformats.org/officeDocument/2006/relationships/hyperlink" Target="https://doi.org/10.1103/PhysRevLett.125.100503" TargetMode="External"/><Relationship Id="rId89" Type="http://schemas.openxmlformats.org/officeDocument/2006/relationships/hyperlink" Target="https://doi.org/10.1016/j.aop.2010.09.012" TargetMode="External"/><Relationship Id="rId90" Type="http://schemas.openxmlformats.org/officeDocument/2006/relationships/hyperlink" Target="https://doi.org/10.1063/5.0157512" TargetMode="External"/><Relationship Id="rId91" Type="http://schemas.openxmlformats.org/officeDocument/2006/relationships/hyperlink" Target="https://doi.org/10.1126/science.abi8794" TargetMode="External"/><Relationship Id="rId92" Type="http://schemas.openxmlformats.org/officeDocument/2006/relationships/hyperlink" Target="https://doi.org/10.1038/s41567-018-0048-5" TargetMode="External"/><Relationship Id="rId93" Type="http://schemas.openxmlformats.org/officeDocument/2006/relationships/hyperlink" Target="https://doi.org/10.21468/SciPostPhysCodeb.7" TargetMode="External"/><Relationship Id="rId94" Type="http://schemas.openxmlformats.org/officeDocument/2006/relationships/hyperlink" Target="https://doi.org/10.1103/PhysRevLett.69.2863" TargetMode="External"/><Relationship Id="rId95" Type="http://schemas.openxmlformats.org/officeDocument/2006/relationships/hyperlink" Target="https://doi.org/10.1126/science.adg9774" TargetMode="External"/><Relationship Id="rId96" Type="http://schemas.openxmlformats.org/officeDocument/2006/relationships/hyperlink" Target="https://doi.org/10.1038/317505a0" TargetMode="External"/><Relationship Id="rId97" Type="http://schemas.openxmlformats.org/officeDocument/2006/relationships/hyperlink" Target="https://doi.org/10.1016/S0370-1573(96" TargetMode="External"/><Relationship Id="rId98" Type="http://schemas.openxmlformats.org/officeDocument/2006/relationships/hyperlink" Target="https://doi.org/10.1103/PhysRevLett.95.105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