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16</w:t>
      </w:r>
    </w:p>
    <w:p>
      <w:pPr>
        <w:pStyle w:val="Heading1"/>
      </w:pPr>
      <w:r>
        <w:t>Milliseconds: Disruption in Fusion Plasmas</w:t>
      </w:r>
    </w:p>
    <w:p>
      <w:pPr>
        <w:pStyle w:val="BookSection"/>
      </w:pPr>
      <w:r>
        <w:t>The jump at Garching</w:t>
      </w:r>
    </w:p>
    <w:p>
      <w:r>
        <w:rPr>
          <w:i w:val="0"/>
        </w:rPr>
        <w:t>In 1982 the ASDEX tokamak at the Max-Planck-Institut für Plasmaphysik in Garching was heating a divertor discharge with neutral beams, and the confinement did something nobody had asked it to do. Fritz Wagner and the ASDEX team reported that above a threshold in injected power the discharge did not improve gradually. It jumped, into a regime of roughly doubled energy confinement, a change of state visible within a single shot rather than in a scan of averages. The new regime was called H-mode, and everything the machine had done before it became L-mode by retrospect.</w:t>
      </w:r>
    </w:p>
    <w:p>
      <w:r>
        <w:rPr>
          <w:i w:val="0"/>
        </w:rPr>
        <w:t>This is the cleanest discontinuity in applied plasma physics, and the tokamak is the best-instrumented laboratory anyone has built for discontinuous transitions. Magnetic pickup coils, interferometers and reflectometers are digitized at tens or hundreds of kilohertz, fast enough to resolve a collapse while it happens; Thomson scattering returns profiles at tens to a few hundred hertz, fast against the evolution of a discharge but not against its termination. And the machine can be reset and run again within the hour. A climate, a fishery, a market cross once, with no second attempt.</w:t>
      </w:r>
    </w:p>
    <w:p>
      <w:r>
        <w:rPr>
          <w:i w:val="0"/>
        </w:rPr>
        <w:t>The transition is not an equilibrium phase transition: no free energy is being minimized, there is no thermodynamic limit and no critical exponent to measure. It is a bifurcation in a driven dissipative system, where varying a control parameter changes the number and the stability of the steady states. The analogy with a first-order transition is structural and worth taking seriously, but order parameter and latent heat do not carry over.</w:t>
      </w:r>
    </w:p>
    <w:p>
      <w:pPr>
        <w:pStyle w:val="BookSection"/>
      </w:pPr>
      <w:r>
        <w:t>Three branches of the heat flux</w:t>
      </w:r>
    </w:p>
    <w:p>
      <w:r>
        <w:rPr>
          <w:i w:val="0"/>
        </w:rPr>
        <w:t>The first explicit bifurcation model of the L-H transition was published in 1989 by Ker-Chung Shaing and E. C. Crume Jr., who showed that the poloidal momentum balance equation admits bifurcated solutions, so that the poloidal flow and the radial electric field jump discontinuously, suppressing turbulent fluctuations. Shaing, Crume and W. A. Houlberg extended the model the following year, carrying that suppression into the equations themselves rather than reading it off the size of the jump.</w:t>
      </w:r>
    </w:p>
    <w:p>
      <w:r>
        <w:rPr>
          <w:i w:val="0"/>
        </w:rPr>
        <w:t>The physical ingredient is the radial force balance for a plasma species,</w:t>
      </w:r>
    </w:p>
    <w:p>
      <w:pPr>
        <w:spacing w:before="200" w:after="200"/>
        <w:ind w:firstLine="0"/>
        <w:jc w:val="center"/>
        <w:contextualSpacing w:val="0"/>
      </w:pPr>
      <m:oMath>
        <m:sSub>
          <m:e>
            <m:r>
              <m:t>E</m:t>
            </m:r>
          </m:e>
          <m:sub>
            <m:r>
              <m:t>r</m:t>
            </m:r>
          </m:sub>
        </m:sSub>
        <m:r>
          <m:t>=</m:t>
        </m:r>
        <m:f>
          <m:fPr>
            <m:type m:val="bar"/>
          </m:fPr>
          <m:num>
            <m:r>
              <m:t>1</m:t>
            </m:r>
          </m:num>
          <m:den>
            <m:r>
              <m:t>Zen</m:t>
            </m:r>
          </m:den>
        </m:f>
        <m:f>
          <m:fPr>
            <m:type m:val="bar"/>
          </m:fPr>
          <m:num>
            <m:r>
              <m:t>dp</m:t>
            </m:r>
          </m:num>
          <m:den>
            <m:r>
              <m:t>dr</m:t>
            </m:r>
          </m:den>
        </m:f>
        <m:r>
          <m:t>−</m:t>
        </m:r>
        <m:sSub>
          <m:e>
            <m:r>
              <m:t>v</m:t>
            </m:r>
          </m:e>
          <m:sub>
            <m:r>
              <m:t>θ</m:t>
            </m:r>
          </m:sub>
        </m:sSub>
        <m:sSub>
          <m:e>
            <m:r>
              <m:t>B</m:t>
            </m:r>
          </m:e>
          <m:sub>
            <m:r>
              <m:t>ϕ</m:t>
            </m:r>
          </m:sub>
        </m:sSub>
        <m:r>
          <m:t>+</m:t>
        </m:r>
        <m:sSub>
          <m:e>
            <m:r>
              <m:t>v</m:t>
            </m:r>
          </m:e>
          <m:sub>
            <m:r>
              <m:t>ϕ</m:t>
            </m:r>
          </m:sub>
        </m:sSub>
        <m:sSub>
          <m:e>
            <m:r>
              <m:t>B</m:t>
            </m:r>
          </m:e>
          <m:sub>
            <m:r>
              <m:t>θ</m:t>
            </m:r>
          </m:sub>
        </m:sSub>
        <m:r>
          <m:t>,</m:t>
        </m:r>
      </m:oMath>
    </w:p>
    <w:p>
      <w:r>
        <w:rPr>
          <w:i w:val="0"/>
        </w:rPr>
        <w:t xml:space="preserve">which ties the radial electric field to the pressure gradient and to the flows. What matters for turbulence is not </w:t>
      </w:r>
      <m:oMath>
        <m:sSub>
          <m:e>
            <m:r>
              <m:t>E</m:t>
            </m:r>
          </m:e>
          <m:sub>
            <m:r>
              <m:t>r</m:t>
            </m:r>
          </m:sub>
        </m:sSub>
      </m:oMath>
      <w:r>
        <w:rPr>
          <w:i w:val="0"/>
        </w:rPr>
        <w:t xml:space="preserve"> but its shear, since the </w:t>
      </w:r>
      <m:oMath>
        <m:r>
          <m:t>E×B</m:t>
        </m:r>
      </m:oMath>
      <w:r>
        <w:rPr>
          <w:i w:val="0"/>
        </w:rPr>
        <w:t xml:space="preserve"> flow shear it produces, with rate of order </w:t>
      </w:r>
      <m:oMath>
        <m:sSub>
          <m:e>
            <m:r>
              <m:t>ω</m:t>
            </m:r>
          </m:e>
          <m:sub>
            <m:r>
              <m:t>E×B</m:t>
            </m:r>
          </m:sub>
        </m:sSub>
        <m:r>
          <m:t>~|</m:t>
        </m:r>
        <m:sSub>
          <m:e>
            <m:r>
              <m:t>∂</m:t>
            </m:r>
          </m:e>
          <m:sub>
            <m:r>
              <m:t>r</m:t>
            </m:r>
          </m:sub>
        </m:sSub>
        <m:r>
          <m:t>(</m:t>
        </m:r>
        <m:sSub>
          <m:e>
            <m:r>
              <m:t>E</m:t>
            </m:r>
          </m:e>
          <m:sub>
            <m:r>
              <m:t>r</m:t>
            </m:r>
          </m:sub>
        </m:sSub>
        <m:r>
          <m:t>/B)|</m:t>
        </m:r>
      </m:oMath>
      <w:r>
        <w:rPr>
          <w:i w:val="0"/>
        </w:rPr>
        <w:t>, tears apart turbulent eddies once it exceeds their decorrelation rate. This is a mean flow, a property of the equilibrium, and the diamagnetic term makes it a function of the pressure gradient. The gradient therefore feeds a mechanism that reduces the transport carrying it away, and such positive feedback is the standard route to multiple steady states.</w:t>
      </w:r>
    </w:p>
    <w:p>
      <w:r>
        <w:rPr>
          <w:i w:val="0"/>
        </w:rPr>
        <w:t>Frederick L. Hinton formalized the consequence as a thermal confinement bifurcation. What follows is not Hinton's model but a minimal construction assembled here to expose its geometry, so the criterion it yields is a property of this toy, not a published result. Write the edge heat flux in the usual diffusive form, with a diffusivity in two pieces: a turbulent piece that shear can quench, and a residual piece it cannot touch, not being turbulent. The residual is neoclassical transport, the collisional diffusion of heat along drift orbits in a toroidal field, which persists in a plasma with no fluctuations in it whatever. So</w:t>
      </w:r>
    </w:p>
    <w:p>
      <w:pPr>
        <w:spacing w:before="200" w:after="200"/>
        <w:ind w:firstLine="0"/>
        <w:jc w:val="center"/>
        <w:contextualSpacing w:val="0"/>
      </w:pPr>
      <m:oMath>
        <m:r>
          <m:t>Q=−</m:t>
        </m:r>
        <m:r>
          <m:t>n</m:t>
        </m:r>
        <m:r>
          <m:t>χ</m:t>
        </m:r>
        <m:f>
          <m:fPr>
            <m:type m:val="bar"/>
          </m:fPr>
          <m:num>
            <m:r>
              <m:t>dT</m:t>
            </m:r>
          </m:num>
          <m:den>
            <m:r>
              <m:t>dr</m:t>
            </m:r>
          </m:den>
        </m:f>
        <m:r>
          <m:t>,</m:t>
        </m:r>
        <m:r>
          <m:t>χ=</m:t>
        </m:r>
        <m:sSub>
          <m:e>
            <m:r>
              <m:t>χ</m:t>
            </m:r>
          </m:e>
          <m:sub>
            <m:r>
              <m:rPr>
                <m:sty m:val="p"/>
              </m:rPr>
              <m:t>neo</m:t>
            </m:r>
          </m:sub>
        </m:sSub>
        <m:r>
          <m:t>+</m:t>
        </m:r>
        <m:f>
          <m:fPr>
            <m:type m:val="bar"/>
          </m:fPr>
          <m:num>
            <m:sSub>
              <m:e>
                <m:r>
                  <m:t>χ</m:t>
                </m:r>
              </m:e>
              <m:sub>
                <m:r>
                  <m:rPr>
                    <m:sty m:val="p"/>
                  </m:rPr>
                  <m:t>turb</m:t>
                </m:r>
              </m:sub>
            </m:sSub>
          </m:num>
          <m:den>
            <m:r>
              <m:t>1+α</m:t>
            </m:r>
            <m:sSubSup>
              <m:e>
                <m:r>
                  <m:t>ω</m:t>
                </m:r>
              </m:e>
              <m:sub>
                <m:r>
                  <m:t>E×B</m:t>
                </m:r>
              </m:sub>
              <m:sup>
                <m:r>
                  <m:t>2</m:t>
                </m:r>
              </m:sup>
            </m:sSubSup>
            <m:r>
              <m:t>/</m:t>
            </m:r>
            <m:sSubSup>
              <m:e>
                <m:r>
                  <m:t>γ</m:t>
                </m:r>
              </m:e>
              <m:sub>
                <m:r>
                  <m:rPr>
                    <m:sty m:val="p"/>
                  </m:rPr>
                  <m:t>turb</m:t>
                </m:r>
              </m:sub>
              <m:sup>
                <m:r>
                  <m:t>2</m:t>
                </m:r>
              </m:sup>
            </m:sSubSup>
          </m:den>
        </m:f>
        <m:r>
          <m:t>,</m:t>
        </m:r>
      </m:oMath>
    </w:p>
    <w:p>
      <w:r>
        <w:rPr>
          <w:i w:val="0"/>
        </w:rPr>
        <w:t xml:space="preserve">and let </w:t>
      </w:r>
      <m:oMath>
        <m:sSub>
          <m:e>
            <m:r>
              <m:t>ω</m:t>
            </m:r>
          </m:e>
          <m:sub>
            <m:r>
              <m:t>E×B</m:t>
            </m:r>
          </m:sub>
        </m:sSub>
      </m:oMath>
      <w:r>
        <w:rPr>
          <w:i w:val="0"/>
        </w:rPr>
        <w:t xml:space="preserve"> grow with the gradient through the diamagnetic term. Writing </w:t>
      </w:r>
      <m:oMath>
        <m:r>
          <m:t>g=|dT/dr|</m:t>
        </m:r>
      </m:oMath>
      <w:r>
        <w:rPr>
          <w:i w:val="0"/>
        </w:rPr>
        <w:t xml:space="preserve"> and taking </w:t>
      </w:r>
      <m:oMath>
        <m:r>
          <m:t>α</m:t>
        </m:r>
        <m:sSubSup>
          <m:e>
            <m:r>
              <m:t>ω</m:t>
            </m:r>
          </m:e>
          <m:sub>
            <m:r>
              <m:t>E×B</m:t>
            </m:r>
          </m:sub>
          <m:sup>
            <m:r>
              <m:t>2</m:t>
            </m:r>
          </m:sup>
        </m:sSubSup>
        <m:r>
          <m:t>/</m:t>
        </m:r>
        <m:sSubSup>
          <m:e>
            <m:r>
              <m:t>γ</m:t>
            </m:r>
          </m:e>
          <m:sub>
            <m:r>
              <m:rPr>
                <m:sty m:val="p"/>
              </m:rPr>
              <m:t>turb</m:t>
            </m:r>
          </m:sub>
          <m:sup>
            <m:r>
              <m:t>2</m:t>
            </m:r>
          </m:sup>
        </m:sSubSup>
        <m:r>
          <m:t>=k</m:t>
        </m:r>
        <m:sSup>
          <m:e>
            <m:r>
              <m:t>g</m:t>
            </m:r>
          </m:e>
          <m:sup>
            <m:r>
              <m:t>2</m:t>
            </m:r>
          </m:sup>
        </m:sSup>
      </m:oMath>
      <w:r>
        <w:rPr>
          <w:i w:val="0"/>
        </w:rPr>
        <w:t xml:space="preserve"> gives</w:t>
      </w:r>
    </w:p>
    <w:p>
      <w:pPr>
        <w:spacing w:before="200" w:after="200"/>
        <w:ind w:firstLine="0"/>
        <w:jc w:val="center"/>
        <w:contextualSpacing w:val="0"/>
      </w:pPr>
      <m:oMath>
        <m:r>
          <m:t>Q(g)=n</m:t>
        </m:r>
        <m:sSub>
          <m:e>
            <m:r>
              <m:t>χ</m:t>
            </m:r>
          </m:e>
          <m:sub>
            <m:r>
              <m:rPr>
                <m:sty m:val="p"/>
              </m:rPr>
              <m:t>neo</m:t>
            </m:r>
          </m:sub>
        </m:sSub>
        <m:r>
          <m:t>g+</m:t>
        </m:r>
        <m:f>
          <m:fPr>
            <m:type m:val="bar"/>
          </m:fPr>
          <m:num>
            <m:r>
              <m:t>n</m:t>
            </m:r>
            <m:sSub>
              <m:e>
                <m:r>
                  <m:t>χ</m:t>
                </m:r>
              </m:e>
              <m:sub>
                <m:r>
                  <m:rPr>
                    <m:sty m:val="p"/>
                  </m:rPr>
                  <m:t>turb</m:t>
                </m:r>
              </m:sub>
            </m:sSub>
            <m:r>
              <m:t>g</m:t>
            </m:r>
          </m:num>
          <m:den>
            <m:r>
              <m:t>1+k</m:t>
            </m:r>
            <m:sSup>
              <m:e>
                <m:r>
                  <m:t>g</m:t>
                </m:r>
              </m:e>
              <m:sup>
                <m:r>
                  <m:t>2</m:t>
                </m:r>
              </m:sup>
            </m:sSup>
          </m:den>
        </m:f>
        <m:r>
          <m:t>.</m:t>
        </m:r>
      </m:oMath>
    </w:p>
    <w:p>
      <w:r>
        <w:rPr>
          <w:i w:val="0"/>
        </w:rPr>
        <w:t xml:space="preserve">Three gradients are being treated as one here. The flux is written against the temperature gradient, the diamagnetic term carries the pressure gradient, and </w:t>
      </w:r>
      <m:oMath>
        <m:sSub>
          <m:e>
            <m:r>
              <m:t>ω</m:t>
            </m:r>
          </m:e>
          <m:sub>
            <m:r>
              <m:t>E×B</m:t>
            </m:r>
          </m:sub>
        </m:sSub>
      </m:oMath>
      <w:r>
        <w:rPr>
          <w:i w:val="0"/>
        </w:rPr>
        <w:t xml:space="preserve"> is a radial derivative of </w:t>
      </w:r>
      <m:oMath>
        <m:f>
          <m:fPr>
            <m:type m:val="lin"/>
          </m:fPr>
          <m:num>
            <m:sSub>
              <m:e>
                <m:r>
                  <m:t>E</m:t>
                </m:r>
              </m:e>
              <m:sub>
                <m:r>
                  <m:t>r</m:t>
                </m:r>
              </m:sub>
            </m:sSub>
          </m:num>
          <m:den>
            <m:r>
              <m:t>B</m:t>
            </m:r>
          </m:den>
        </m:f>
      </m:oMath>
      <w:r>
        <w:rPr>
          <w:i w:val="0"/>
        </w:rPr>
        <w:t xml:space="preserve"> and hence a second derivative of pressure. Collapsing them into a single </w:t>
      </w:r>
      <m:oMath>
        <m:r>
          <m:t>g</m:t>
        </m:r>
      </m:oMath>
      <w:r>
        <w:rPr>
          <w:i w:val="0"/>
        </w:rPr>
        <w:t xml:space="preserve"> is legitimate for establishing that a fold exists and illegitimate for predicting where it sits.</w:t>
      </w:r>
    </w:p>
    <w:p>
      <w:r>
        <w:rPr>
          <w:i w:val="0"/>
        </w:rPr>
        <w:t xml:space="preserve">With that understood, </w:t>
      </w:r>
      <m:oMath>
        <m:r>
          <m:t>Q(g)</m:t>
        </m:r>
      </m:oMath>
      <w:r>
        <w:rPr>
          <w:i w:val="0"/>
        </w:rPr>
        <w:t xml:space="preserve"> is not monotonic. At small </w:t>
      </w:r>
      <m:oMath>
        <m:r>
          <m:t>g</m:t>
        </m:r>
      </m:oMath>
      <w:r>
        <w:rPr>
          <w:i w:val="0"/>
        </w:rPr>
        <w:t xml:space="preserve"> it rises with slope </w:t>
      </w:r>
      <m:oMath>
        <m:r>
          <m:t>n(</m:t>
        </m:r>
        <m:sSub>
          <m:e>
            <m:r>
              <m:t>χ</m:t>
            </m:r>
          </m:e>
          <m:sub>
            <m:r>
              <m:rPr>
                <m:sty m:val="p"/>
              </m:rPr>
              <m:t>neo</m:t>
            </m:r>
          </m:sub>
        </m:sSub>
        <m:r>
          <m:t>+</m:t>
        </m:r>
        <m:sSub>
          <m:e>
            <m:r>
              <m:t>χ</m:t>
            </m:r>
          </m:e>
          <m:sub>
            <m:r>
              <m:rPr>
                <m:sty m:val="p"/>
              </m:rPr>
              <m:t>turb</m:t>
            </m:r>
          </m:sub>
        </m:sSub>
        <m:r>
          <m:t>)</m:t>
        </m:r>
      </m:oMath>
      <w:r>
        <w:rPr>
          <w:i w:val="0"/>
        </w:rPr>
        <w:t xml:space="preserve">. In the middle the turbulent term passes its maximum at </w:t>
      </w:r>
      <m:oMath>
        <m:r>
          <m:t>k</m:t>
        </m:r>
        <m:sSup>
          <m:e>
            <m:r>
              <m:t>g</m:t>
            </m:r>
          </m:e>
          <m:sup>
            <m:r>
              <m:t>2</m:t>
            </m:r>
          </m:sup>
        </m:sSup>
        <m:r>
          <m:t>=1</m:t>
        </m:r>
      </m:oMath>
      <w:r>
        <w:rPr>
          <w:i w:val="0"/>
        </w:rPr>
        <w:t xml:space="preserve"> and then decays, and if it decays fast enough it drags the total down. At large </w:t>
      </w:r>
      <m:oMath>
        <m:r>
          <m:t>g</m:t>
        </m:r>
      </m:oMath>
      <w:r>
        <w:rPr>
          <w:i w:val="0"/>
        </w:rPr>
        <w:t xml:space="preserve"> the turbulent term is quenched and </w:t>
      </w:r>
      <m:oMath>
        <m:r>
          <m:t>Q→n</m:t>
        </m:r>
        <m:sSub>
          <m:e>
            <m:r>
              <m:t>χ</m:t>
            </m:r>
          </m:e>
          <m:sub>
            <m:r>
              <m:rPr>
                <m:sty m:val="p"/>
              </m:rPr>
              <m:t>neo</m:t>
            </m:r>
          </m:sub>
        </m:sSub>
        <m:r>
          <m:t>g</m:t>
        </m:r>
      </m:oMath>
      <w:r>
        <w:rPr>
          <w:i w:val="0"/>
        </w:rPr>
        <w:t>, rising again with the slope of the residual floor, which keeps H-mode confinement finite. Differentiating,</w:t>
      </w:r>
    </w:p>
    <w:p>
      <w:pPr>
        <w:spacing w:before="200" w:after="200"/>
        <w:ind w:firstLine="0"/>
        <w:jc w:val="center"/>
        <w:contextualSpacing w:val="0"/>
      </w:pPr>
      <m:oMath>
        <m:f>
          <m:fPr>
            <m:type m:val="bar"/>
          </m:fPr>
          <m:num>
            <m:r>
              <m:t>1</m:t>
            </m:r>
          </m:num>
          <m:den>
            <m:r>
              <m:t>n</m:t>
            </m:r>
          </m:den>
        </m:f>
        <m:f>
          <m:fPr>
            <m:type m:val="bar"/>
          </m:fPr>
          <m:num>
            <m:r>
              <m:t>dQ</m:t>
            </m:r>
          </m:num>
          <m:den>
            <m:r>
              <m:t>dg</m:t>
            </m:r>
          </m:den>
        </m:f>
        <m:r>
          <m:t>=</m:t>
        </m:r>
        <m:sSub>
          <m:e>
            <m:r>
              <m:t>χ</m:t>
            </m:r>
          </m:e>
          <m:sub>
            <m:r>
              <m:rPr>
                <m:sty m:val="p"/>
              </m:rPr>
              <m:t>neo</m:t>
            </m:r>
          </m:sub>
        </m:sSub>
        <m:r>
          <m:t>+</m:t>
        </m:r>
        <m:sSub>
          <m:e>
            <m:r>
              <m:t>χ</m:t>
            </m:r>
          </m:e>
          <m:sub>
            <m:r>
              <m:rPr>
                <m:sty m:val="p"/>
              </m:rPr>
              <m:t>turb</m:t>
            </m:r>
          </m:sub>
        </m:sSub>
        <m:f>
          <m:fPr>
            <m:type m:val="bar"/>
          </m:fPr>
          <m:num>
            <m:r>
              <m:t>1−k</m:t>
            </m:r>
            <m:sSup>
              <m:e>
                <m:r>
                  <m:t>g</m:t>
                </m:r>
              </m:e>
              <m:sup>
                <m:r>
                  <m:t>2</m:t>
                </m:r>
              </m:sup>
            </m:sSup>
          </m:num>
          <m:den>
            <m:sSup>
              <m:e>
                <m:d>
                  <m:dPr>
                    <m:sepChr m:val=""/>
                  </m:dPr>
                  <m:e>
                    <m:r>
                      <m:t>1</m:t>
                    </m:r>
                    <m:r>
                      <m:t>+</m:t>
                    </m:r>
                    <m:r>
                      <m:t>k</m:t>
                    </m:r>
                    <m:sSup>
                      <m:e>
                        <m:r>
                          <m:t>g</m:t>
                        </m:r>
                      </m:e>
                      <m:sup>
                        <m:r>
                          <m:t>2</m:t>
                        </m:r>
                      </m:sup>
                    </m:sSup>
                  </m:e>
                </m:d>
              </m:e>
              <m:sup>
                <m:r>
                  <m:t>2</m:t>
                </m:r>
              </m:sup>
            </m:sSup>
          </m:den>
        </m:f>
        <m:r>
          <m:t>,</m:t>
        </m:r>
      </m:oMath>
    </w:p>
    <w:p>
      <w:r>
        <w:rPr>
          <w:i w:val="0"/>
        </w:rPr>
        <w:t xml:space="preserve">and the second term reaches its minimum value of </w:t>
      </w:r>
      <m:oMath>
        <m:r>
          <m:t>−</m:t>
        </m:r>
        <m:sSub>
          <m:e>
            <m:r>
              <m:t>χ</m:t>
            </m:r>
          </m:e>
          <m:sub>
            <m:r>
              <m:rPr>
                <m:sty m:val="p"/>
              </m:rPr>
              <m:t>turb</m:t>
            </m:r>
          </m:sub>
        </m:sSub>
        <m:r>
          <m:t>/8</m:t>
        </m:r>
      </m:oMath>
      <w:r>
        <w:rPr>
          <w:i w:val="0"/>
        </w:rPr>
        <w:t xml:space="preserve"> at </w:t>
      </w:r>
      <m:oMath>
        <m:r>
          <m:t>k</m:t>
        </m:r>
        <m:sSup>
          <m:e>
            <m:r>
              <m:t>g</m:t>
            </m:r>
          </m:e>
          <m:sup>
            <m:r>
              <m:t>2</m:t>
            </m:r>
          </m:sup>
        </m:sSup>
        <m:r>
          <m:t>=3</m:t>
        </m:r>
      </m:oMath>
      <w:r>
        <w:rPr>
          <w:i w:val="0"/>
        </w:rPr>
        <w:t xml:space="preserve">. The curve has a falling middle branch, and is S-shaped, exactly when </w:t>
      </w:r>
      <m:oMath>
        <m:sSub>
          <m:e>
            <m:r>
              <m:t>χ</m:t>
            </m:r>
          </m:e>
          <m:sub>
            <m:r>
              <m:rPr>
                <m:sty m:val="p"/>
              </m:rPr>
              <m:t>neo</m:t>
            </m:r>
          </m:sub>
        </m:sSub>
        <m:r>
          <m:t>&lt;</m:t>
        </m:r>
        <m:sSub>
          <m:e>
            <m:r>
              <m:t>χ</m:t>
            </m:r>
          </m:e>
          <m:sub>
            <m:r>
              <m:rPr>
                <m:sty m:val="p"/>
              </m:rPr>
              <m:t>turb</m:t>
            </m:r>
          </m:sub>
        </m:sSub>
        <m:r>
          <m:t>/8</m:t>
        </m:r>
      </m:oMath>
      <w:r>
        <w:rPr>
          <w:i w:val="0"/>
        </w:rPr>
        <w:t>. Confinement bifurcates only if the turbulence the plasma can shed is more than roughly eightfold larger than the transport it cannot.</w:t>
      </w:r>
    </w:p>
    <w:p>
      <w:r>
        <w:rPr>
          <w:i w:val="0"/>
        </w:rPr>
        <w:t xml:space="preserve">The steady state is set by the power crossing the last closed flux surface, </w:t>
      </w:r>
      <m:oMath>
        <m:r>
          <m:t>Q=</m:t>
        </m:r>
        <m:sSub>
          <m:e>
            <m:r>
              <m:t>P</m:t>
            </m:r>
          </m:e>
          <m:sub>
            <m:r>
              <m:rPr>
                <m:sty m:val="p"/>
              </m:rPr>
              <m:t>sep</m:t>
            </m:r>
          </m:sub>
        </m:sSub>
        <m:r>
          <m:t>/A</m:t>
        </m:r>
      </m:oMath>
      <w:r>
        <w:rPr>
          <w:i w:val="0"/>
        </w:rPr>
        <w:t>, a horizontal line across this curve. Over a window of powers the line cuts it three times: a low-gradient solution on the first rising branch, a high-gradient solution on the third, and an unstable one on the falling branch, where a small increase of the gradient reduces the flux and lets the gradient grow further. Raise the power past the local maximum and the low-gradient solution ceases to exist, so the plasma has nowhere to go but the upper branch, reaching it on a transport timescale rather than a heating timescale. This saddle-node bifurcation, or fold, predicts hysteresis: lower the power afterwards and the plasma should stay in H-mode until the upper branch itself folds back, below the power that triggered the transition. That is demanding to test, since the measured threshold depends on wall conditioning and density history as well as ramp direction.</w:t>
      </w:r>
    </w:p>
    <w:p>
      <w:pPr>
        <w:pStyle w:val="BookSection"/>
      </w:pPr>
      <w:r>
        <w:t>The predator and the prey</w:t>
      </w:r>
    </w:p>
    <w:p>
      <w:r>
        <w:rPr>
          <w:i w:val="0"/>
        </w:rPr>
        <w:t xml:space="preserve">The shear in the fold model is a mean flow, tied to the pressure gradient by the diamagnetic term, which is why it could be written as a function of </w:t>
      </w:r>
      <m:oMath>
        <m:r>
          <m:t>g</m:t>
        </m:r>
      </m:oMath>
      <w:r>
        <w:rPr>
          <w:i w:val="0"/>
        </w:rPr>
        <w:t>. Patrick H. Diamond, Y.-M. Liang, B. A. Carreras and P. W. Terry changed the object in 1994. The flow in their picture is made by the turbulence: correlations between radial and poloidal velocity fluctuations transport momentum, the Reynolds stress, and drive a flow uniform on a flux surface, a zonal flow, which then shears apart the eddies that made it. Such a flow has no diamagnetic origin: it is a state variable in its own right, free to rise and collapse on turbulence timescales while the gradient sits still, and that is a change of physics rather than of notation.</w:t>
      </w:r>
    </w:p>
    <w:p>
      <w:r>
        <w:rPr>
          <w:i w:val="0"/>
        </w:rPr>
        <w:t>The distinction is the content of the modern two-stage account. Eun-jin Kim and Patrick H. Diamond showed in 2003 that zonal flows trigger the L-H transition, and that the trigger is preceded by a transient oscillatory phase before a steep pressure gradient locks in a quiescent H-mode. The zonal flow trips the transition, the mean diamagnetic flow of the previous section holds it, and the gradient is the third variable, the one that ends the oscillatory phase.</w:t>
      </w:r>
    </w:p>
    <w:p>
      <w:r>
        <w:rPr>
          <w:i w:val="0"/>
        </w:rPr>
        <w:t>What follows is again a construction assembled here rather than the published model, and this time that is the point, because it is a deliberate truncation. Delete the gradient, keep the turbulence and the flow, and what remains has the schematic form of a Lotka-Volterra predator-prey pair,</w:t>
      </w:r>
    </w:p>
    <w:p>
      <w:pPr>
        <w:spacing w:before="200" w:after="200"/>
        <w:ind w:firstLine="0"/>
        <w:jc w:val="center"/>
        <w:contextualSpacing w:val="0"/>
      </w:pPr>
      <m:oMath>
        <m:limUpp>
          <m:e>
            <m:r>
              <m:t>ℰ</m:t>
            </m:r>
          </m:e>
          <m:lim>
            <m:r>
              <m:t>˙</m:t>
            </m:r>
          </m:lim>
        </m:limUpp>
        <m:r>
          <m:t>=γ</m:t>
        </m:r>
        <m:r>
          <m:t>ℰ−a</m:t>
        </m:r>
        <m:sSup>
          <m:e>
            <m:r>
              <m:t>ℰ</m:t>
            </m:r>
          </m:e>
          <m:sup>
            <m:r>
              <m:t>2</m:t>
            </m:r>
          </m:sup>
        </m:sSup>
        <m:r>
          <m:t>−b</m:t>
        </m:r>
        <m:sSup>
          <m:e>
            <m:r>
              <m:t>V</m:t>
            </m:r>
          </m:e>
          <m:sup>
            <m:r>
              <m:t>2</m:t>
            </m:r>
          </m:sup>
        </m:sSup>
        <m:r>
          <m:t>ℰ,</m:t>
        </m:r>
        <m:limUpp>
          <m:e>
            <m:r>
              <m:t>V</m:t>
            </m:r>
          </m:e>
          <m:lim>
            <m:r>
              <m:t>˙</m:t>
            </m:r>
          </m:lim>
        </m:limUpp>
        <m:r>
          <m:t>=c</m:t>
        </m:r>
        <m:r>
          <m:t>ℰ</m:t>
        </m:r>
        <m:r>
          <m:t>V−</m:t>
        </m:r>
        <m:sSub>
          <m:e>
            <m:r>
              <m:t>γ</m:t>
            </m:r>
          </m:e>
          <m:sub>
            <m:r>
              <m:t>d</m:t>
            </m:r>
          </m:sub>
        </m:sSub>
        <m:r>
          <m:t>V,</m:t>
        </m:r>
      </m:oMath>
    </w:p>
    <w:p>
      <w:r>
        <w:rPr>
          <w:i w:val="0"/>
        </w:rPr>
        <w:t xml:space="preserve">with </w:t>
      </w:r>
      <m:oMath>
        <m:r>
          <m:t>ℰ</m:t>
        </m:r>
      </m:oMath>
      <w:r>
        <w:rPr>
          <w:i w:val="0"/>
        </w:rPr>
        <w:t xml:space="preserve"> the turbulence intensity, the prey, driven at rate </w:t>
      </w:r>
      <m:oMath>
        <m:r>
          <m:t>γ</m:t>
        </m:r>
      </m:oMath>
      <w:r>
        <w:rPr>
          <w:i w:val="0"/>
        </w:rPr>
        <w:t xml:space="preserve"> and saturating on itself through </w:t>
      </w:r>
      <m:oMath>
        <m:r>
          <m:t>a</m:t>
        </m:r>
      </m:oMath>
      <w:r>
        <w:rPr>
          <w:i w:val="0"/>
        </w:rPr>
        <w:t xml:space="preserve">, and </w:t>
      </w:r>
      <m:oMath>
        <m:r>
          <m:t>V</m:t>
        </m:r>
      </m:oMath>
      <w:r>
        <w:rPr>
          <w:i w:val="0"/>
        </w:rPr>
        <w:t xml:space="preserve"> the zonal-flow amplitude, the predator, feeding on the turbulence at rate </w:t>
      </w:r>
      <m:oMath>
        <m:r>
          <m:t>c</m:t>
        </m:r>
      </m:oMath>
      <w:r>
        <w:rPr>
          <w:i w:val="0"/>
        </w:rPr>
        <w:t xml:space="preserve"> and damping at rate </w:t>
      </w:r>
      <m:oMath>
        <m:sSub>
          <m:e>
            <m:r>
              <m:t>γ</m:t>
            </m:r>
          </m:e>
          <m:sub>
            <m:r>
              <m:t>d</m:t>
            </m:r>
          </m:sub>
        </m:sSub>
      </m:oMath>
      <w:r>
        <w:rPr>
          <w:i w:val="0"/>
        </w:rPr>
        <w:t xml:space="preserve"> without it. The linear algebra is worth doing, because what the truncated pair fails to do is the informative part.</w:t>
      </w:r>
    </w:p>
    <w:p>
      <w:r>
        <w:rPr>
          <w:i w:val="0"/>
        </w:rPr>
        <w:t xml:space="preserve">The coexistence fixed point sits at </w:t>
      </w:r>
      <m:oMath>
        <m:sSup>
          <m:e>
            <m:r>
              <m:t>ℰ</m:t>
            </m:r>
          </m:e>
          <m:sup>
            <m:r>
              <m:t>*</m:t>
            </m:r>
          </m:sup>
        </m:sSup>
        <m:r>
          <m:t>=</m:t>
        </m:r>
        <m:sSub>
          <m:e>
            <m:r>
              <m:t>γ</m:t>
            </m:r>
          </m:e>
          <m:sub>
            <m:r>
              <m:t>d</m:t>
            </m:r>
          </m:sub>
        </m:sSub>
        <m:r>
          <m:t>/c</m:t>
        </m:r>
      </m:oMath>
      <w:r>
        <w:rPr>
          <w:i w:val="0"/>
        </w:rPr>
        <w:t xml:space="preserve">, fixed entirely by the predator's own rates, with </w:t>
      </w:r>
      <m:oMath>
        <m:r>
          <m:t>b</m:t>
        </m:r>
        <m:sSup>
          <m:e>
            <m:r>
              <m:t>V</m:t>
            </m:r>
          </m:e>
          <m:sup>
            <m:r>
              <m:t>*2</m:t>
            </m:r>
          </m:sup>
        </m:sSup>
        <m:r>
          <m:t>=γ−a</m:t>
        </m:r>
        <m:sSup>
          <m:e>
            <m:r>
              <m:t>ℰ</m:t>
            </m:r>
          </m:e>
          <m:sup>
            <m:r>
              <m:t>*</m:t>
            </m:r>
          </m:sup>
        </m:sSup>
      </m:oMath>
      <w:r>
        <w:rPr>
          <w:i w:val="0"/>
        </w:rPr>
        <w:t xml:space="preserve">, so raising the drive raises the flow and leaves the turbulence level alone. Using </w:t>
      </w:r>
      <m:oMath>
        <m:r>
          <m:t>γ−2a</m:t>
        </m:r>
        <m:sSup>
          <m:e>
            <m:r>
              <m:t>ℰ</m:t>
            </m:r>
          </m:e>
          <m:sup>
            <m:r>
              <m:t>*</m:t>
            </m:r>
          </m:sup>
        </m:sSup>
        <m:r>
          <m:t>−b</m:t>
        </m:r>
        <m:sSup>
          <m:e>
            <m:r>
              <m:t>V</m:t>
            </m:r>
          </m:e>
          <m:sup>
            <m:r>
              <m:t>*2</m:t>
            </m:r>
          </m:sup>
        </m:sSup>
        <m:r>
          <m:t>=−a</m:t>
        </m:r>
        <m:sSup>
          <m:e>
            <m:r>
              <m:t>ℰ</m:t>
            </m:r>
          </m:e>
          <m:sup>
            <m:r>
              <m:t>*</m:t>
            </m:r>
          </m:sup>
        </m:sSup>
      </m:oMath>
      <w:r>
        <w:rPr>
          <w:i w:val="0"/>
        </w:rPr>
        <w:t xml:space="preserve"> and </w:t>
      </w:r>
      <m:oMath>
        <m:r>
          <m:t>c</m:t>
        </m:r>
        <m:sSup>
          <m:e>
            <m:r>
              <m:t>ℰ</m:t>
            </m:r>
          </m:e>
          <m:sup>
            <m:r>
              <m:t>*</m:t>
            </m:r>
          </m:sup>
        </m:sSup>
        <m:r>
          <m:t>−</m:t>
        </m:r>
        <m:sSub>
          <m:e>
            <m:r>
              <m:t>γ</m:t>
            </m:r>
          </m:e>
          <m:sub>
            <m:r>
              <m:t>d</m:t>
            </m:r>
          </m:sub>
        </m:sSub>
        <m:r>
          <m:t>=0</m:t>
        </m:r>
      </m:oMath>
      <w:r>
        <w:rPr>
          <w:i w:val="0"/>
        </w:rPr>
        <w:t>, the Jacobian there is</w:t>
      </w:r>
    </w:p>
    <w:p>
      <w:pPr>
        <w:spacing w:before="200" w:after="200"/>
        <w:ind w:firstLine="0"/>
        <w:jc w:val="center"/>
        <w:contextualSpacing w:val="0"/>
      </w:pPr>
      <m:oMath>
        <m:r>
          <m:t>J=(</m:t>
        </m:r>
        <m:m>
          <m:mPr>
            <m:baseJc m:val="center"/>
            <m:plcHide m:val="on"/>
            <m:mcs>
              <m:mc>
                <m:mcPr>
                  <m:count m:val="2"/>
                  <m:mcJc m:val="center"/>
                </m:mcPr>
              </m:mc>
            </m:mcs>
          </m:mPr>
          <m:mr>
            <m:e>
              <m:r>
                <m:t>−a</m:t>
              </m:r>
              <m:sSup>
                <m:e>
                  <m:r>
                    <m:t>ℰ</m:t>
                  </m:r>
                </m:e>
                <m:sup>
                  <m:r>
                    <m:t>*</m:t>
                  </m:r>
                </m:sup>
              </m:sSup>
            </m:e>
            <m:e>
              <m:r>
                <m:t>−2b</m:t>
              </m:r>
              <m:sSup>
                <m:e>
                  <m:r>
                    <m:t>ℰ</m:t>
                  </m:r>
                </m:e>
                <m:sup>
                  <m:r>
                    <m:t>*</m:t>
                  </m:r>
                </m:sup>
              </m:sSup>
              <m:sSup>
                <m:e>
                  <m:r>
                    <m:t>V</m:t>
                  </m:r>
                </m:e>
                <m:sup>
                  <m:r>
                    <m:t>*</m:t>
                  </m:r>
                </m:sup>
              </m:sSup>
            </m:e>
          </m:mr>
          <m:mr>
            <m:e>
              <m:r>
                <m:t>[</m:t>
              </m:r>
              <m:r>
                <m:rPr>
                  <m:sty m:val="p"/>
                </m:rPr>
                <m:t>2pt</m:t>
              </m:r>
              <m:r>
                <m:t>]c</m:t>
              </m:r>
              <m:sSup>
                <m:e>
                  <m:r>
                    <m:t>V</m:t>
                  </m:r>
                </m:e>
                <m:sup>
                  <m:r>
                    <m:t>*</m:t>
                  </m:r>
                </m:sup>
              </m:sSup>
            </m:e>
            <m:e>
              <m:r>
                <m:t>0</m:t>
              </m:r>
            </m:e>
          </m:mr>
        </m:m>
        <m:r>
          <m:t>),</m:t>
        </m:r>
        <m:r>
          <m:t>trJ=−</m:t>
        </m:r>
        <m:f>
          <m:fPr>
            <m:type m:val="bar"/>
          </m:fPr>
          <m:num>
            <m:r>
              <m:t>a</m:t>
            </m:r>
            <m:sSub>
              <m:e>
                <m:r>
                  <m:t>γ</m:t>
                </m:r>
              </m:e>
              <m:sub>
                <m:r>
                  <m:t>d</m:t>
                </m:r>
              </m:sub>
            </m:sSub>
          </m:num>
          <m:den>
            <m:r>
              <m:t>c</m:t>
            </m:r>
          </m:den>
        </m:f>
        <m:r>
          <m:t>,</m:t>
        </m:r>
        <m:r>
          <m:t>detJ=2c</m:t>
        </m:r>
        <m:sSup>
          <m:e>
            <m:r>
              <m:t>ℰ</m:t>
            </m:r>
          </m:e>
          <m:sup>
            <m:r>
              <m:t>*</m:t>
            </m:r>
          </m:sup>
        </m:sSup>
        <m:r>
          <m:t>(γ−a</m:t>
        </m:r>
        <m:sSup>
          <m:e>
            <m:r>
              <m:t>ℰ</m:t>
            </m:r>
          </m:e>
          <m:sup>
            <m:r>
              <m:t>*</m:t>
            </m:r>
          </m:sup>
        </m:sSup>
        <m:r>
          <m:t>).</m:t>
        </m:r>
      </m:oMath>
    </w:p>
    <w:p>
      <w:r>
        <w:rPr>
          <w:i w:val="0"/>
        </w:rPr>
        <w:t xml:space="preserve">The trace is a negative constant, independent of the drive. It cannot cross zero, so the fixed point is linearly stable for every </w:t>
      </w:r>
      <m:oMath>
        <m:r>
          <m:t>γ</m:t>
        </m:r>
      </m:oMath>
      <w:r>
        <w:rPr>
          <w:i w:val="0"/>
        </w:rPr>
        <w:t xml:space="preserve"> above </w:t>
      </w:r>
      <m:oMath>
        <m:r>
          <m:t>a</m:t>
        </m:r>
        <m:sSub>
          <m:e>
            <m:r>
              <m:t>γ</m:t>
            </m:r>
          </m:e>
          <m:sub>
            <m:r>
              <m:t>d</m:t>
            </m:r>
          </m:sub>
        </m:sSub>
        <m:r>
          <m:t>/c</m:t>
        </m:r>
      </m:oMath>
      <w:r>
        <w:rPr>
          <w:i w:val="0"/>
        </w:rPr>
        <w:t xml:space="preserve">, and there is no Hopf bifurcation at any drive. That alone does not exclude closed orbits, which can be born away from a fixed point with no eigenvalue crossing, so the stronger claim needs a stronger argument. Take the Dulac function </w:t>
      </w:r>
      <m:oMath>
        <m:r>
          <m:t>B=1/(ℰV)</m:t>
        </m:r>
      </m:oMath>
      <w:r>
        <w:rPr>
          <w:i w:val="0"/>
        </w:rPr>
        <w:t xml:space="preserve">: then </w:t>
      </w:r>
      <m:oMath>
        <m:r>
          <m:t>B</m:t>
        </m:r>
        <m:limUpp>
          <m:e>
            <m:r>
              <m:t>ℰ</m:t>
            </m:r>
          </m:e>
          <m:lim>
            <m:r>
              <m:t>˙</m:t>
            </m:r>
          </m:lim>
        </m:limUpp>
        <m:r>
          <m:t>=(γ−aℰ−b</m:t>
        </m:r>
        <m:sSup>
          <m:e>
            <m:r>
              <m:t>V</m:t>
            </m:r>
          </m:e>
          <m:sup>
            <m:r>
              <m:t>2</m:t>
            </m:r>
          </m:sup>
        </m:sSup>
        <m:r>
          <m:t>)/V</m:t>
        </m:r>
      </m:oMath>
      <w:r>
        <w:rPr>
          <w:i w:val="0"/>
        </w:rPr>
        <w:t xml:space="preserve"> and </w:t>
      </w:r>
      <m:oMath>
        <m:r>
          <m:t>B</m:t>
        </m:r>
        <m:limUpp>
          <m:e>
            <m:r>
              <m:t>V</m:t>
            </m:r>
          </m:e>
          <m:lim>
            <m:r>
              <m:t>˙</m:t>
            </m:r>
          </m:lim>
        </m:limUpp>
        <m:r>
          <m:t>=(cℰ−</m:t>
        </m:r>
        <m:sSub>
          <m:e>
            <m:r>
              <m:t>γ</m:t>
            </m:r>
          </m:e>
          <m:sub>
            <m:r>
              <m:t>d</m:t>
            </m:r>
          </m:sub>
        </m:sSub>
        <m:r>
          <m:t>)/ℰ</m:t>
        </m:r>
      </m:oMath>
      <w:r>
        <w:rPr>
          <w:i w:val="0"/>
        </w:rPr>
        <w:t xml:space="preserve">, whose divergence is </w:t>
      </w:r>
      <m:oMath>
        <m:r>
          <m:t>−a/V</m:t>
        </m:r>
      </m:oMath>
      <w:r>
        <w:rPr>
          <w:i w:val="0"/>
        </w:rPr>
        <w:t>, strictly negative throughout the open positive quadrant, so by the Bendixson-Dulac criterion the pair has no periodic orbit there at all, for any parameters.</w:t>
      </w:r>
    </w:p>
    <w:p>
      <w:r>
        <w:rPr>
          <w:i w:val="0"/>
        </w:rPr>
        <w:t xml:space="preserve">What the drive does change is the determinant. Once </w:t>
      </w:r>
      <m:oMath>
        <m:r>
          <m:t>4detJ</m:t>
        </m:r>
      </m:oMath>
      <w:r>
        <w:rPr>
          <w:i w:val="0"/>
        </w:rPr>
        <w:t xml:space="preserve"> exceeds </w:t>
      </w:r>
      <m:oMath>
        <m:sSup>
          <m:e>
            <m:d>
              <m:dPr>
                <m:sepChr m:val=""/>
              </m:dPr>
              <m:e>
                <m:r>
                  <m:t>tr</m:t>
                </m:r>
                <m:r>
                  <m:t>J</m:t>
                </m:r>
              </m:e>
            </m:d>
          </m:e>
          <m:sup>
            <m:r>
              <m:t>2</m:t>
            </m:r>
          </m:sup>
        </m:sSup>
      </m:oMath>
      <w:r>
        <w:rPr>
          <w:i w:val="0"/>
        </w:rPr>
        <w:t xml:space="preserve"> the eigenvalues go complex and the approach to the fixed point becomes a spiral; beyond that the decay rate stays pinned at </w:t>
      </w:r>
      <m:oMath>
        <m:r>
          <m:t>a</m:t>
        </m:r>
        <m:sSub>
          <m:e>
            <m:r>
              <m:t>γ</m:t>
            </m:r>
          </m:e>
          <m:sub>
            <m:r>
              <m:t>d</m:t>
            </m:r>
          </m:sub>
        </m:sSub>
        <m:r>
          <m:t>/2c</m:t>
        </m:r>
      </m:oMath>
      <w:r>
        <w:rPr>
          <w:i w:val="0"/>
        </w:rPr>
        <w:t xml:space="preserve"> while the ringing frequency </w:t>
      </w:r>
      <m:oMath>
        <m:r>
          <m:t>ω=</m:t>
        </m:r>
        <m:rad>
          <m:radPr>
            <m:degHide m:val="on"/>
          </m:radPr>
          <m:deg/>
          <m:e>
            <m:r>
              <m:t>detJ−(trJ</m:t>
            </m:r>
            <m:sSup>
              <m:e>
                <m:r>
                  <m:t>)</m:t>
                </m:r>
              </m:e>
              <m:sup>
                <m:r>
                  <m:t>2</m:t>
                </m:r>
              </m:sup>
            </m:sSup>
            <m:r>
              <m:t>/4</m:t>
            </m:r>
          </m:e>
        </m:rad>
      </m:oMath>
      <w:r>
        <w:rPr>
          <w:i w:val="0"/>
        </w:rPr>
        <w:t xml:space="preserve"> grows like </w:t>
      </w:r>
      <m:oMath>
        <m:rad>
          <m:radPr>
            <m:degHide m:val="on"/>
          </m:radPr>
          <m:deg/>
          <m:e>
            <m:r>
              <m:t>γ</m:t>
            </m:r>
          </m:e>
        </m:rad>
      </m:oMath>
      <w:r>
        <w:rPr>
          <w:i w:val="0"/>
        </w:rPr>
        <w:t>. The oscillations completed within one decay time are the ratio of the two, and that number grows without bound as the drive rises.</w:t>
      </w:r>
    </w:p>
    <w:p>
      <w:r>
        <w:rPr>
          <w:i w:val="0"/>
        </w:rPr>
        <w:t xml:space="preserve">So the truncation contains ringing and nothing else. There is no critical value of </w:t>
      </w:r>
      <m:oMath>
        <m:r>
          <m:t>γ</m:t>
        </m:r>
      </m:oMath>
      <w:r>
        <w:rPr>
          <w:i w:val="0"/>
        </w:rPr>
        <w:t xml:space="preserve"> in it, and so no threshold for the ringing to warn of: the oscillation count rises smoothly with the drive and counts down to nothing inside these two equations. Nor does the pair slow down, its decay rate being fixed whatever the drive. The oscillation is transient because the fixed point is stable, not because anything arrives to end it, and the rising gradient that ends the oscillatory phase in the two-stage account belongs to the coupling this truncation deleted, along with the transition that gradient locks in. What the algebra shows is a change in the character of the relaxation, from monotone to increasingly oscillatory, and a detector watching for rising variance or lag-one autocorrelation is not watching for that.</w:t>
      </w:r>
    </w:p>
    <w:p>
      <w:r>
        <w:rPr>
          <w:i w:val="0"/>
        </w:rPr>
        <w:t>Lothar Schmitz and colleagues at UCLA and General Atomics found the ringing in the machine. On DIII-D, in a narrow layer just inside the separatrix, immediately before the transition, turbulence was periodically suppressed whenever the shearing rate transiently exceeded the turbulence decorrelation rate, the two quantities oscillating against each other as the predator-prey picture requires. That is a mechanistic early warning rather than a statistical one: not a generic quantity rising as a system nears a fold, but one feedback loop caught running where the theory says the trigger is assembled.</w:t>
      </w:r>
    </w:p>
    <w:p>
      <w:pPr>
        <w:pStyle w:val="BookSection"/>
      </w:pPr>
      <w:r>
        <w:t>The transition with no return branch</w:t>
      </w:r>
    </w:p>
    <w:p>
      <w:r>
        <w:rPr>
          <w:i w:val="0"/>
        </w:rPr>
        <w:t>A tokamak has more than one discontinuity. The one that ends the discharge is a disruption, the loss of magnetic confinement of the whole plasma: the stored thermal energy is dumped to the wall in a thermal quench lasting a fraction of a millisecond, after which the cold and resistive plasma cannot sustain its current, and the current quench follows over a few milliseconds. The collapsing current drives eddy currents in the vessel and halo currents through plasma-facing components, and can convert poloidal magnetic energy into a beam of runaway electrons carrying much of the current.</w:t>
      </w:r>
    </w:p>
    <w:p>
      <w:r>
        <w:rPr>
          <w:i w:val="0"/>
        </w:rPr>
        <w:t>The L-H transition runs between two attractors of a confined plasma, with a return path a machine can cross both ways several times in one discharge. A disruption has no return branch, so the question is not which state the plasma settles into but how long it has before it has no states at all. The quantity to be estimated is a first-passage time, and it must be estimated while the process is still running.</w:t>
      </w:r>
    </w:p>
    <w:p>
      <w:r>
        <w:rPr>
          <w:i w:val="0"/>
        </w:rPr>
        <w:t>Peter C. de Vries and colleagues at the ITER Organization set out the engineering requirement. ITER's disruption mitigation system, which fires massive gas or shattered pellets so the stored energy radiates rather than landing on a small area, must be triggered early enough for the injection to act, on a machine that cannot be allowed to accumulate a training set of its own disruptions, since those disruptions are what it must be protected from. The figure of merit is cross-machine generalization, not accuracy on the device that supplied the training data.</w:t>
      </w:r>
    </w:p>
    <w:p>
      <w:r>
        <w:rPr>
          <w:i w:val="0"/>
        </w:rPr>
        <w:t>Machine learning has entered at three levels, in order of how much apparatus each displaces: a model that predicts, emitting an alarm while the control system stays as it was; one that controls, replacing the hand-tuned feedback loops; and one that enters the simulator, making the derivatives of a simulated discharge exact objects rather than finite-difference estimates.</w:t>
      </w:r>
    </w:p>
    <w:p>
      <w:pPr>
        <w:pStyle w:val="BookSection"/>
      </w:pPr>
      <w:r>
        <w:t>Learning the alarm</w:t>
      </w:r>
    </w:p>
    <w:p>
      <w:r>
        <w:rPr>
          <w:i w:val="0"/>
        </w:rPr>
        <w:t>The word prediction hides a modelling choice. A disruption predictor is trained as a classifier over instants, not over shots: each sampled moment of a disruptive discharge is labelled positive if it falls inside a chosen window before the terminating event, and every moment of a surviving discharge is negative. An alarm rule converts the stream of scores into one decision time, and success means an alarm earlier than the mitigation system's response time but not so early that the discharge would have survived. None of those choices is physics.</w:t>
      </w:r>
    </w:p>
    <w:p>
      <w:r>
        <w:rPr>
          <w:i w:val="0"/>
        </w:rPr>
        <w:t>Three methodological lineages have taken that problem up, and they differ in what each gives up. The first gave up model capacity on purpose. Cristina Rea, Kevin J. Montes, Keith G. Erickson, Robert S. Granetz and R. Alex Tinguely built DPRF, a random-forest predictor over real-time-available scalar signals. A random forest fits many decision trees to bootstrap resamples of the training set and reports the fraction voting disruptive, so the score decomposes into which input pushed which trees, in plasma parameters rather than network weights. DPRF ran live inside the DIII-D Plasma Control System for over 900 discharges across four months of 2018, one of the first such predictors running in real time on a working tokamak. Kevin J. Montes, Cristina Rea and Robert S. Granetz then built the field's multi-machine baseline, training random forests on roughly a million parameter samples across some ten thousand discharges from each of Alcator C-Mod, DIII-D and EAST.</w:t>
      </w:r>
    </w:p>
    <w:p>
      <w:r>
        <w:rPr>
          <w:i w:val="0"/>
        </w:rPr>
        <w:t>The second lineage gave up the hand-chosen scalars instead. In April 2019 Julian Kates-Harbeck, Alexey Svyatkovskiy and William Tang published the Fusion Recurrent Neural Network, a deep recurrent model trained on high-dimensional multi-channel time-series data from the JET and DIII-D tokamaks. The network consumes the sampled signals in sequence and carries a hidden state forward, emitting at each timestep an estimate of how close the discharge is to disrupting, and the headline claim was cross-machine: train on one device and forecast on another. What the lineage gives up is the decomposable score: a network's alarm does not arrive labelled with the parameter that raised it, and a mitigation system firing on an unexplained score is difficult to certify and impossible to tune.</w:t>
      </w:r>
    </w:p>
    <w:p>
      <w:r>
        <w:rPr>
          <w:i w:val="0"/>
        </w:rPr>
        <w:t>The third lineage, centred on JET, gave up the labelled training campaign itself, committing before any choice of model class: a predictor must stay interpretable and work from a new device's first discharges. The 2022 Nature Physics review by Jesús Vega, Andrea Murari, S. Dormido-Canto, G. A. Rattá and M. Gelfusa sets out how AI disruption predictors have actually performed on JET over two decades and argues that case. Teddy Craciunescu and Andrea Murari supplied the matching technique, applying nonlinear-dynamics change-point detection to JET signals so that the approach to disruption registers as a change in the underlying dynamics rather than as a resemblance to labelled disruptions a new machine cannot supply. That is what the ringing of the earlier section calls for: not whether an instant looks like a disruptive instant, but whether the generating dynamics have changed.</w:t>
      </w:r>
    </w:p>
    <w:p>
      <w:r>
        <w:rPr>
          <w:i w:val="0"/>
        </w:rPr>
        <w:t>Comparing any of these numbers is harder than it looks, which is the argument Lucas Spangher, Cristina Rea and co-authors make with DisruptionBench, a standardized framework built because reported accuracies are not comparable across the literature, since datasets, alarm definitions and evaluation protocols all differ. A score depends on the alarm threshold, the samples required before it latches, the minimum warning time counted as a success, and the mix of disruptive and surviving shots in the test set.</w:t>
      </w:r>
    </w:p>
    <w:p>
      <w:pPr>
        <w:pStyle w:val="BookSection"/>
      </w:pPr>
      <w:r>
        <w:t>From alarm to actuator</w:t>
      </w:r>
    </w:p>
    <w:p>
      <w:r>
        <w:rPr>
          <w:i w:val="0"/>
        </w:rPr>
        <w:t xml:space="preserve">Prediction is a means; the second level closes the loop. Jaemin Seo, Yong-Su Na and colleagues at Seoul National University demonstrated deep reinforcement learning for scenario control on KSTAR, training an agent inside a learned plasma-response model to design feedforward trajectories hitting a target normalized beta </w:t>
      </w:r>
      <m:oMath>
        <m:sSub>
          <m:e>
            <m:r>
              <m:t>β</m:t>
            </m:r>
          </m:e>
          <m:sub>
            <m:r>
              <m:t>N</m:t>
            </m:r>
          </m:sub>
        </m:sSub>
      </m:oMath>
      <w:r>
        <w:rPr>
          <w:i w:val="0"/>
        </w:rPr>
        <w:t>. The environment is a surrogate, and the surrogate's job is to be wrong only in ways that do not matter.</w:t>
      </w:r>
    </w:p>
    <w:p>
      <w:r>
        <w:rPr>
          <w:i w:val="0"/>
        </w:rPr>
        <w:t>In February 2022 a DeepMind and EPFL Swiss Plasma Center team led by Jonas Degrave and Federico Felici, with Martin Riedmiller as senior author, showed that a single deep reinforcement-learning agent could command all of the TCV tokamak's magnetic control coils directly, tracking plasma position, current and shape across a range of configurations, including two separate plasma droplets sustained simultaneously, in place of the conventional hand-tuned cascade of controllers. Learning of that kind needs an environment steppable millions of times, which no tokamak is.</w:t>
      </w:r>
    </w:p>
    <w:p>
      <w:r>
        <w:rPr>
          <w:i w:val="0"/>
        </w:rPr>
        <w:t>The follow-up is unusually candid about the gap between demonstration and deployable controller. Brendan D. Tracey and colleagues address the key drawbacks of the method relative to traditional feedback control, namely control accuracy, steady-state error, and the time required to learn new tasks, reporting up to 65% improvement in shape accuracy, a substantial reduction in the long-term bias of the plasma current, and a threefold or greater reduction in training time, validated in new experiments on TCV. A policy that tracks a shape is not yet a controller that holds one without drift.</w:t>
      </w:r>
    </w:p>
    <w:p>
      <w:r>
        <w:rPr>
          <w:i w:val="0"/>
        </w:rPr>
        <w:t>In February 2024 Jaemin Seo, Egemen Kolemen and colleagues at Princeton and the Princeton Plasma Physics Laboratory closed the loop around a disruption precursor itself. A multimodal neural model estimates the instantaneous likelihood of tearing from several diagnostics, that model serves as the training environment for a reinforcement-learning agent, and in live DIII-D experiments the agent held the tearing likelihood below a set threshold even at low safety factor and low torque, while preserving H-mode performance. A learned predictor of a discontinuity becomes the environment in which a controller learns to avoid it, and the predictor's errors become the controller's blind spots.</w:t>
      </w:r>
    </w:p>
    <w:p>
      <w:r>
        <w:rPr>
          <w:i w:val="0"/>
        </w:rPr>
        <w:t>The same group turned the same tools on a third discontinuity, one that repeats rather than terminating anything: an edge localized mode, a periodic relaxation of the H-mode pedestal that throws particles and energy onto the divertor in bursts. SangKyeun Kim and Egemen Kolemen, with an international team, used machine-learning-assisted, real-time-adaptive optimization of 3D magnetic perturbations to suppress these modes on both DIII-D and KSTAR while retaining reactor-relevant core confinement, addressing the usual penalty that such fields degrade fusion performance. The steep edge gradient that makes the bifurcation worth crossing must then be relieved in bursts.</w:t>
      </w:r>
    </w:p>
    <w:p>
      <w:pPr>
        <w:pStyle w:val="BookSection"/>
      </w:pPr>
      <w:r>
        <w:t>Differentiating through the plasma</w:t>
      </w:r>
    </w:p>
    <w:p>
      <w:r>
        <w:rPr>
          <w:i w:val="0"/>
        </w:rPr>
        <w:t>The third level changes the simulator rather than sitting beside it. Jonathan Citrin and colleagues at Google DeepMind released TORAX, an open-source, differentiable tokamak core transport simulator implemented in Python using the JAX framework. Just-in-time compilation gives fast runtimes, and automatic differentiation enables gradient-based optimization workflows, Jacobian-based PDE solvers, and coupling to neural-network surrogates of physics models.</w:t>
      </w:r>
    </w:p>
    <w:p>
      <w:r>
        <w:rPr>
          <w:i w:val="0"/>
        </w:rPr>
        <w:t xml:space="preserve">The Jacobian is the concrete point. Transport equations in a tokamak are stiff, so an implicit solver needs </w:t>
      </w:r>
      <m:oMath>
        <m:r>
          <m:t>∂R/∂u</m:t>
        </m:r>
      </m:oMath>
      <w:r>
        <w:rPr>
          <w:i w:val="0"/>
        </w:rPr>
        <w:t xml:space="preserve">, the Jacobian of the discretized residual with respect to the profiles, at every Newton-Raphson iteration. By finite differences that costs an extra residual evaluation per unknown and inherits a step-size tradeoff, the perturbation being either too large for accuracy or too small to survive the subtraction in floating point. Automatic differentiation removes the tradeoff and not the count: forward mode propagates derivatives through the arithmetic the residual already performs, so the entries come out exact to machine precision, but a dense Jacobian of </w:t>
      </w:r>
      <m:oMath>
        <m:r>
          <m:t>n</m:t>
        </m:r>
      </m:oMath>
      <w:r>
        <w:rPr>
          <w:i w:val="0"/>
        </w:rPr>
        <w:t xml:space="preserve"> residuals against </w:t>
      </w:r>
      <m:oMath>
        <m:r>
          <m:t>n</m:t>
        </m:r>
      </m:oMath>
      <w:r>
        <w:rPr>
          <w:i w:val="0"/>
        </w:rPr>
        <w:t xml:space="preserve"> unknowns still takes </w:t>
      </w:r>
      <m:oMath>
        <m:r>
          <m:t>n</m:t>
        </m:r>
      </m:oMath>
      <w:r>
        <w:rPr>
          <w:i w:val="0"/>
        </w:rPr>
        <w:t xml:space="preserve"> sweeps, the asymptotic cost of finite differences. The saving comes from structure, since a one-dimensional radial discretisation couples each grid point only to its neighbours, so the matrix is banded, columns sharing no row can be seeded together, and a handful of sweeps recovers all of it however fine the grid. Exactness comes from the differentiation, cheapness from the sparsity, and neither substitutes for the other.</w:t>
      </w:r>
    </w:p>
    <w:p>
      <w:r>
        <w:rPr>
          <w:i w:val="0"/>
        </w:rPr>
        <w:t xml:space="preserve">The fold of the first section says why that matrix is more than a numerical convenience. A confinement bifurcation is the statement that the flux stops responding to the gradient, </w:t>
      </w:r>
      <m:oMath>
        <m:r>
          <m:t>dQ/dg=0</m:t>
        </m:r>
      </m:oMath>
      <w:r>
        <w:rPr>
          <w:i w:val="0"/>
        </w:rPr>
        <w:t>, so a solver stepping a transport model towards one is assembling a Jacobian whose smallest eigenvalue is on its way to zero: the physics of the fold and the ill-conditioning of the Newton step are one object seen from two sides, and a simulator that computes it exactly can be asked where it degenerates rather than merely failing there. The power at which the low-confinement branch ceases to exist is fixed by two conditions at once, that the residual vanish and that its Jacobian be singular, and the enlarged system built from that pair stays regular at a generic fold even though the Jacobian inside it does not. Solving it returns the L-H threshold power a transport model implies for a given geometry, and differentiating through the solve returns the sensitivity of that threshold to every coefficient in the model. Those are statements about a discharge nobody has run, on a machine that does not yet exist.</w:t>
      </w:r>
    </w:p>
    <w:p>
      <w:r>
        <w:rPr>
          <w:i w:val="0"/>
        </w:rPr>
        <w:t>The optimization counterpart is reverse mode, a property of the algorithm rather than a claim the TORAX paper makes: the gradient of a scalar objective with respect to every input of a simulated discharge costs about one forward pass and one backward pass, whatever the number of inputs. That turns the extrapolation worry of the next section into a computation. How far does the predicted power crossing the separatrix move if a transport coefficient fitted on a smaller machine is wrong by a stated amount, asked for every coefficient at once at the price of one simulated shot.</w:t>
      </w:r>
    </w:p>
    <w:p>
      <w:pPr>
        <w:pStyle w:val="BookSection"/>
      </w:pPr>
      <w:r>
        <w:t>The machine with no data</w:t>
      </w:r>
    </w:p>
    <w:p>
      <w:r>
        <w:rPr>
          <w:i w:val="0"/>
        </w:rPr>
        <w:t>Every predictor in this chapter was trained on machines that are not ITER, and the field knows it. J. X. Zhu and Cristina Rea built a hybrid deep-learning architecture aimed at the transfer problem, showing that a predictor trained on existing devices can be adapted to a new machine using very little of that machine's disruptive data, which is itself an admission: if naive cross-machine transfer sufficed, no adaptation stage would be needed. Wei Zheng, Zhongyong Chen and colleagues at Huazhong University of Science and Technology made it quantitative across J-TEXT and EAST, measuring how much target-machine data a pretrained model needs. The practical unit of progress is transfer efficiency, the disruptions spent per unit of generalization.</w:t>
      </w:r>
    </w:p>
    <w:p>
      <w:r>
        <w:rPr>
          <w:i w:val="0"/>
        </w:rPr>
        <w:t>ITER will spend its first campaign outside the range of every fit in this chapter. Its plasmas will be larger, hotter, more strongly self-heated and differently shaped than anything in the training sets, and the moment a predictor is most needed is the moment it has seen least of what it is looking at. Jesús Vega and Andrea Murari's argument for predictors deployable from the first discharges is not a preference for simple models; it is a claim about which regime the models will actually be asked to work in. When the alarm sounds for the first time on a machine that has never disrupted, nobody will be able to say whether the model recognized a disruption or merely recognized an unfamiliar plasma.</w:t>
      </w:r>
    </w:p>
    <w:p>
      <w:pPr>
        <w:pStyle w:val="Heading1"/>
      </w:pPr>
      <w:r>
        <w:t>References</w:t>
      </w:r>
    </w:p>
    <w:p>
      <w:pPr>
        <w:spacing w:before="120" w:after="0"/>
        <w:ind w:firstLine="0"/>
      </w:pPr>
      <w:r>
        <w:rPr>
          <w:i w:val="0"/>
        </w:rPr>
        <w:t xml:space="preserve">Citrin, Goodfellow, Raju, Chen, Degrave et al. (2024). arXiv preprint arXiv:2406.06718. </w:t>
      </w:r>
      <w:hyperlink r:id="rId63">
        <w:r>
          <w:rPr>
            <w:rStyle w:val="Hyperlink"/>
          </w:rPr>
          <w:t xml:space="preserve">https://arxiv.org/abs/2406.06718</w:t>
        </w:r>
      </w:hyperlink>
    </w:p>
    <w:p>
      <w:pPr>
        <w:spacing w:before="120" w:after="0"/>
        <w:ind w:firstLine="0"/>
      </w:pPr>
      <w:r>
        <w:rPr>
          <w:i w:val="0"/>
        </w:rPr>
        <w:t xml:space="preserve">Craciunescu &amp; Murari (2023). Nonlinear Dynamics 111(4), 3509–3523. </w:t>
      </w:r>
      <w:hyperlink r:id="rId64">
        <w:r>
          <w:rPr>
            <w:rStyle w:val="Hyperlink"/>
          </w:rPr>
          <w:t xml:space="preserve">https://doi.org/10.1007/s11071-022-08009-x</w:t>
        </w:r>
      </w:hyperlink>
    </w:p>
    <w:p>
      <w:pPr>
        <w:spacing w:before="120" w:after="0"/>
        <w:ind w:firstLine="0"/>
      </w:pPr>
      <w:r>
        <w:rPr>
          <w:i w:val="0"/>
        </w:rPr>
        <w:t xml:space="preserve">de Vries, Pautasso, Humphreys, Lehnen, Maruyama, Snipes, Vergara &amp; Zabeo (2016). Fusion Science and Technology 69(2), 471–484. </w:t>
      </w:r>
      <w:hyperlink r:id="rId65">
        <w:r>
          <w:rPr>
            <w:rStyle w:val="Hyperlink"/>
          </w:rPr>
          <w:t xml:space="preserve">https://doi.org/10.13182/FST15-176</w:t>
        </w:r>
      </w:hyperlink>
    </w:p>
    <w:p>
      <w:pPr>
        <w:spacing w:before="120" w:after="0"/>
        <w:ind w:firstLine="0"/>
      </w:pPr>
      <w:r>
        <w:rPr>
          <w:i w:val="0"/>
        </w:rPr>
        <w:t xml:space="preserve">Degrave, Felici, Buchli, Neunert, Tracey et al. (2022). Nature 602(7897), 414–419. </w:t>
      </w:r>
      <w:hyperlink r:id="rId66">
        <w:r>
          <w:rPr>
            <w:rStyle w:val="Hyperlink"/>
          </w:rPr>
          <w:t xml:space="preserve">https://doi.org/10.1038/s41586-021-04301-9</w:t>
        </w:r>
      </w:hyperlink>
    </w:p>
    <w:p>
      <w:pPr>
        <w:spacing w:before="120" w:after="0"/>
        <w:ind w:firstLine="0"/>
      </w:pPr>
      <w:r>
        <w:rPr>
          <w:i w:val="0"/>
        </w:rPr>
        <w:t xml:space="preserve">Diamond, Liang, Carreras &amp; Terry (1994). Physical Review Letters 72(16), 2565–2568. </w:t>
      </w:r>
      <w:hyperlink r:id="rId67">
        <w:r>
          <w:rPr>
            <w:rStyle w:val="Hyperlink"/>
          </w:rPr>
          <w:t xml:space="preserve">https://doi.org/10.1103/PhysRevLett.72.2565</w:t>
        </w:r>
      </w:hyperlink>
    </w:p>
    <w:p>
      <w:pPr>
        <w:spacing w:before="120" w:after="0"/>
        <w:ind w:firstLine="0"/>
      </w:pPr>
      <w:r>
        <w:rPr>
          <w:i w:val="0"/>
        </w:rPr>
        <w:t xml:space="preserve">Hinton (1991). Physics of Fluids B: Plasma Physics 3(3), 696–704. </w:t>
      </w:r>
      <w:hyperlink r:id="rId68">
        <w:r>
          <w:rPr>
            <w:rStyle w:val="Hyperlink"/>
          </w:rPr>
          <w:t xml:space="preserve">https://doi.org/10.1063/1.859866</w:t>
        </w:r>
      </w:hyperlink>
    </w:p>
    <w:p>
      <w:pPr>
        <w:spacing w:before="120" w:after="0"/>
        <w:ind w:firstLine="0"/>
      </w:pPr>
      <w:r>
        <w:rPr>
          <w:i w:val="0"/>
        </w:rPr>
        <w:t xml:space="preserve">Kates-Harbeck, Svyatkovskiy &amp; Tang (2019). Nature 568(7753), 526–531. </w:t>
      </w:r>
      <w:hyperlink r:id="rId69">
        <w:r>
          <w:rPr>
            <w:rStyle w:val="Hyperlink"/>
          </w:rPr>
          <w:t xml:space="preserve">https://doi.org/10.1038/s41586-019-1116-4</w:t>
        </w:r>
      </w:hyperlink>
    </w:p>
    <w:p>
      <w:pPr>
        <w:spacing w:before="120" w:after="0"/>
        <w:ind w:firstLine="0"/>
      </w:pPr>
      <w:r>
        <w:rPr>
          <w:i w:val="0"/>
        </w:rPr>
        <w:t xml:space="preserve">Kim &amp; Diamond (2003). Physical Review Letters 90(18), 185006. </w:t>
      </w:r>
      <w:hyperlink r:id="rId70">
        <w:r>
          <w:rPr>
            <w:rStyle w:val="Hyperlink"/>
          </w:rPr>
          <w:t xml:space="preserve">https://doi.org/10.1103/PhysRevLett.90.185006</w:t>
        </w:r>
      </w:hyperlink>
    </w:p>
    <w:p>
      <w:pPr>
        <w:spacing w:before="120" w:after="0"/>
        <w:ind w:firstLine="0"/>
      </w:pPr>
      <w:r>
        <w:rPr>
          <w:i w:val="0"/>
        </w:rPr>
        <w:t xml:space="preserve">Kim, Shousha, Yang, Hu, Hahn et al. (2024). Nature Communications 15(1), 3990. </w:t>
      </w:r>
      <w:hyperlink r:id="rId71">
        <w:r>
          <w:rPr>
            <w:rStyle w:val="Hyperlink"/>
          </w:rPr>
          <w:t xml:space="preserve">https://doi.org/10.1038/s41467-024-48415-w</w:t>
        </w:r>
      </w:hyperlink>
    </w:p>
    <w:p>
      <w:pPr>
        <w:spacing w:before="120" w:after="0"/>
        <w:ind w:firstLine="0"/>
      </w:pPr>
      <w:r>
        <w:rPr>
          <w:i w:val="0"/>
        </w:rPr>
        <w:t xml:space="preserve">Montes, Rea, Granetz, Tinguely, Eidietis et al. (2019). Nuclear Fusion 59(9), 096015. </w:t>
      </w:r>
      <w:hyperlink r:id="rId72">
        <w:r>
          <w:rPr>
            <w:rStyle w:val="Hyperlink"/>
          </w:rPr>
          <w:t xml:space="preserve">https://doi.org/10.1088/1741-4326/ab1df4</w:t>
        </w:r>
      </w:hyperlink>
    </w:p>
    <w:p>
      <w:pPr>
        <w:spacing w:before="120" w:after="0"/>
        <w:ind w:firstLine="0"/>
      </w:pPr>
      <w:r>
        <w:rPr>
          <w:i w:val="0"/>
        </w:rPr>
        <w:t xml:space="preserve">Rea, Montes, Erickson, Granetz &amp; Tinguely (2019). Nuclear Fusion 59(9), 096016. </w:t>
      </w:r>
      <w:hyperlink r:id="rId73">
        <w:r>
          <w:rPr>
            <w:rStyle w:val="Hyperlink"/>
          </w:rPr>
          <w:t xml:space="preserve">https://doi.org/10.1088/1741-4326/ab28bf</w:t>
        </w:r>
      </w:hyperlink>
    </w:p>
    <w:p>
      <w:pPr>
        <w:spacing w:before="120" w:after="0"/>
        <w:ind w:firstLine="0"/>
      </w:pPr>
      <w:r>
        <w:rPr>
          <w:i w:val="0"/>
        </w:rPr>
        <w:t xml:space="preserve">Schmitz, Zeng, Rhodes, Hillesheim, Doyle et al. (2012). Physical Review Letters 108(15), 155002. </w:t>
      </w:r>
      <w:hyperlink r:id="rId74">
        <w:r>
          <w:rPr>
            <w:rStyle w:val="Hyperlink"/>
          </w:rPr>
          <w:t xml:space="preserve">https://doi.org/10.1103/PhysRevLett.108.155002</w:t>
        </w:r>
      </w:hyperlink>
    </w:p>
    <w:p>
      <w:pPr>
        <w:spacing w:before="120" w:after="0"/>
        <w:ind w:firstLine="0"/>
      </w:pPr>
      <w:r>
        <w:rPr>
          <w:i w:val="0"/>
        </w:rPr>
        <w:t xml:space="preserve">Seo, Kim, Jalalvand, Conlin, Rothstein et al. (2024). Nature 626(8000), 746–751. </w:t>
      </w:r>
      <w:hyperlink r:id="rId75">
        <w:r>
          <w:rPr>
            <w:rStyle w:val="Hyperlink"/>
          </w:rPr>
          <w:t xml:space="preserve">https://doi.org/10.1038/s41586-024-07024-9</w:t>
        </w:r>
      </w:hyperlink>
    </w:p>
    <w:p>
      <w:pPr>
        <w:spacing w:before="120" w:after="0"/>
        <w:ind w:firstLine="0"/>
      </w:pPr>
      <w:r>
        <w:rPr>
          <w:i w:val="0"/>
        </w:rPr>
        <w:t xml:space="preserve">Seo, Na, Kim, Lee, Park, Park &amp; Lee (2021). Nuclear Fusion 61(10), 106010. </w:t>
      </w:r>
      <w:hyperlink r:id="rId76">
        <w:r>
          <w:rPr>
            <w:rStyle w:val="Hyperlink"/>
          </w:rPr>
          <w:t xml:space="preserve">https://doi.org/10.1088/1741-4326/ac121b</w:t>
        </w:r>
      </w:hyperlink>
    </w:p>
    <w:p>
      <w:pPr>
        <w:spacing w:before="120" w:after="0"/>
        <w:ind w:firstLine="0"/>
      </w:pPr>
      <w:r>
        <w:rPr>
          <w:i w:val="0"/>
        </w:rPr>
        <w:t xml:space="preserve">Shaing &amp; Crume Jr. (1989). Physical Review Letters 63(21), 2369–2372. </w:t>
      </w:r>
      <w:hyperlink r:id="rId77">
        <w:r>
          <w:rPr>
            <w:rStyle w:val="Hyperlink"/>
          </w:rPr>
          <w:t xml:space="preserve">https://doi.org/10.1103/PhysRevLett.63.2369</w:t>
        </w:r>
      </w:hyperlink>
    </w:p>
    <w:p>
      <w:pPr>
        <w:spacing w:before="120" w:after="0"/>
        <w:ind w:firstLine="0"/>
      </w:pPr>
      <w:r>
        <w:rPr>
          <w:i w:val="0"/>
        </w:rPr>
        <w:t xml:space="preserve">Shaing, Crume Jr. &amp; Houlberg (1990). Physics of Fluids B: Plasma Physics 2(6), 1492–1498. </w:t>
      </w:r>
      <w:hyperlink r:id="rId78">
        <w:r>
          <w:rPr>
            <w:rStyle w:val="Hyperlink"/>
          </w:rPr>
          <w:t xml:space="preserve">https://doi.org/10.1063/1.859473</w:t>
        </w:r>
      </w:hyperlink>
    </w:p>
    <w:p>
      <w:pPr>
        <w:spacing w:before="120" w:after="0"/>
        <w:ind w:firstLine="0"/>
      </w:pPr>
      <w:r>
        <w:rPr>
          <w:i w:val="0"/>
        </w:rPr>
        <w:t xml:space="preserve">Spangher, Bonotto, Arnold, Chayapathy, Gallingani et al. (2025). Journal of Fusion Energy 44(1), 26. </w:t>
      </w:r>
      <w:hyperlink r:id="rId79">
        <w:r>
          <w:rPr>
            <w:rStyle w:val="Hyperlink"/>
          </w:rPr>
          <w:t xml:space="preserve">https://doi.org/10.1007/s10894-025-00495-2</w:t>
        </w:r>
      </w:hyperlink>
    </w:p>
    <w:p>
      <w:pPr>
        <w:spacing w:before="120" w:after="0"/>
        <w:ind w:firstLine="0"/>
      </w:pPr>
      <w:r>
        <w:rPr>
          <w:i w:val="0"/>
        </w:rPr>
        <w:t xml:space="preserve">Tracey, Michi, Chervonyi, Davies, Paduraru et al. (2024). Fusion Engineering and Design 200, 114161. </w:t>
      </w:r>
      <w:hyperlink r:id="rId80">
        <w:r>
          <w:rPr>
            <w:rStyle w:val="Hyperlink"/>
          </w:rPr>
          <w:t xml:space="preserve">https://doi.org/10.1016/j.fusengdes.2024.114161</w:t>
        </w:r>
      </w:hyperlink>
    </w:p>
    <w:p>
      <w:pPr>
        <w:spacing w:before="120" w:after="0"/>
        <w:ind w:firstLine="0"/>
      </w:pPr>
      <w:r>
        <w:rPr>
          <w:i w:val="0"/>
        </w:rPr>
        <w:t xml:space="preserve">Vega, Murari, Dormido-Canto, Rattá &amp; Gelfusa (2022). Nature Physics 18(7), 741–750. </w:t>
      </w:r>
      <w:hyperlink r:id="rId81">
        <w:r>
          <w:rPr>
            <w:rStyle w:val="Hyperlink"/>
          </w:rPr>
          <w:t xml:space="preserve">https://doi.org/10.1038/s41567-022-01602-2</w:t>
        </w:r>
      </w:hyperlink>
    </w:p>
    <w:p>
      <w:pPr>
        <w:spacing w:before="120" w:after="0"/>
        <w:ind w:firstLine="0"/>
      </w:pPr>
      <w:r>
        <w:rPr>
          <w:i w:val="0"/>
        </w:rPr>
        <w:t xml:space="preserve">Wagner, Becker, Behringer, Campbell, Eberhagen et al. (1982). Physical Review Letters 49(19), 1408–1412. </w:t>
      </w:r>
      <w:hyperlink r:id="rId82">
        <w:r>
          <w:rPr>
            <w:rStyle w:val="Hyperlink"/>
          </w:rPr>
          <w:t xml:space="preserve">https://doi.org/10.1103/PhysRevLett.49.1408</w:t>
        </w:r>
      </w:hyperlink>
    </w:p>
    <w:p>
      <w:pPr>
        <w:spacing w:before="120" w:after="0"/>
        <w:ind w:firstLine="0"/>
      </w:pPr>
      <w:r>
        <w:rPr>
          <w:i w:val="0"/>
        </w:rPr>
        <w:t xml:space="preserve">Zheng, Xue, Chen, Chen, Guo et al. (2023). Communications Physics 6(1), 181. </w:t>
      </w:r>
      <w:hyperlink r:id="rId83">
        <w:r>
          <w:rPr>
            <w:rStyle w:val="Hyperlink"/>
          </w:rPr>
          <w:t xml:space="preserve">https://doi.org/10.1038/s42005-023-01296-9</w:t>
        </w:r>
      </w:hyperlink>
    </w:p>
    <w:p>
      <w:pPr>
        <w:spacing w:before="120" w:after="0"/>
        <w:ind w:firstLine="0"/>
      </w:pPr>
      <w:r>
        <w:rPr>
          <w:i w:val="0"/>
        </w:rPr>
        <w:t xml:space="preserve">Zhu, Rea, Montes, Granetz, Sweeney &amp; Tinguely (2021). Nuclear Fusion 61(2), 026007. </w:t>
      </w:r>
      <w:hyperlink r:id="rId84">
        <w:r>
          <w:rPr>
            <w:rStyle w:val="Hyperlink"/>
          </w:rPr>
          <w:t xml:space="preserve">https://doi.org/10.1088/1741-4326/abc664</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arxiv.org/abs/2406.06718" TargetMode="External"/><Relationship Id="rId64" Type="http://schemas.openxmlformats.org/officeDocument/2006/relationships/hyperlink" Target="https://doi.org/10.1007/s11071-022-08009-x" TargetMode="External"/><Relationship Id="rId65" Type="http://schemas.openxmlformats.org/officeDocument/2006/relationships/hyperlink" Target="https://doi.org/10.13182/FST15-176" TargetMode="External"/><Relationship Id="rId66" Type="http://schemas.openxmlformats.org/officeDocument/2006/relationships/hyperlink" Target="https://doi.org/10.1038/s41586-021-04301-9" TargetMode="External"/><Relationship Id="rId67" Type="http://schemas.openxmlformats.org/officeDocument/2006/relationships/hyperlink" Target="https://doi.org/10.1103/PhysRevLett.72.2565" TargetMode="External"/><Relationship Id="rId68" Type="http://schemas.openxmlformats.org/officeDocument/2006/relationships/hyperlink" Target="https://doi.org/10.1063/1.859866" TargetMode="External"/><Relationship Id="rId69" Type="http://schemas.openxmlformats.org/officeDocument/2006/relationships/hyperlink" Target="https://doi.org/10.1038/s41586-019-1116-4" TargetMode="External"/><Relationship Id="rId70" Type="http://schemas.openxmlformats.org/officeDocument/2006/relationships/hyperlink" Target="https://doi.org/10.1103/PhysRevLett.90.185006" TargetMode="External"/><Relationship Id="rId71" Type="http://schemas.openxmlformats.org/officeDocument/2006/relationships/hyperlink" Target="https://doi.org/10.1038/s41467-024-48415-w" TargetMode="External"/><Relationship Id="rId72" Type="http://schemas.openxmlformats.org/officeDocument/2006/relationships/hyperlink" Target="https://doi.org/10.1088/1741-4326/ab1df4" TargetMode="External"/><Relationship Id="rId73" Type="http://schemas.openxmlformats.org/officeDocument/2006/relationships/hyperlink" Target="https://doi.org/10.1088/1741-4326/ab28bf" TargetMode="External"/><Relationship Id="rId74" Type="http://schemas.openxmlformats.org/officeDocument/2006/relationships/hyperlink" Target="https://doi.org/10.1103/PhysRevLett.108.155002" TargetMode="External"/><Relationship Id="rId75" Type="http://schemas.openxmlformats.org/officeDocument/2006/relationships/hyperlink" Target="https://doi.org/10.1038/s41586-024-07024-9" TargetMode="External"/><Relationship Id="rId76" Type="http://schemas.openxmlformats.org/officeDocument/2006/relationships/hyperlink" Target="https://doi.org/10.1088/1741-4326/ac121b" TargetMode="External"/><Relationship Id="rId77" Type="http://schemas.openxmlformats.org/officeDocument/2006/relationships/hyperlink" Target="https://doi.org/10.1103/PhysRevLett.63.2369" TargetMode="External"/><Relationship Id="rId78" Type="http://schemas.openxmlformats.org/officeDocument/2006/relationships/hyperlink" Target="https://doi.org/10.1063/1.859473" TargetMode="External"/><Relationship Id="rId79" Type="http://schemas.openxmlformats.org/officeDocument/2006/relationships/hyperlink" Target="https://doi.org/10.1007/s10894-025-00495-2" TargetMode="External"/><Relationship Id="rId80" Type="http://schemas.openxmlformats.org/officeDocument/2006/relationships/hyperlink" Target="https://doi.org/10.1016/j.fusengdes.2024.114161" TargetMode="External"/><Relationship Id="rId81" Type="http://schemas.openxmlformats.org/officeDocument/2006/relationships/hyperlink" Target="https://doi.org/10.1038/s41567-022-01602-2" TargetMode="External"/><Relationship Id="rId82" Type="http://schemas.openxmlformats.org/officeDocument/2006/relationships/hyperlink" Target="https://doi.org/10.1103/PhysRevLett.49.1408" TargetMode="External"/><Relationship Id="rId83" Type="http://schemas.openxmlformats.org/officeDocument/2006/relationships/hyperlink" Target="https://doi.org/10.1038/s42005-023-01296-9" TargetMode="External"/><Relationship Id="rId84" Type="http://schemas.openxmlformats.org/officeDocument/2006/relationships/hyperlink" Target="https://doi.org/10.1088/1741-4326/abc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