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17</w:t>
      </w:r>
    </w:p>
    <w:p>
      <w:pPr>
        <w:pStyle w:val="Heading1"/>
      </w:pPr>
      <w:r>
        <w:t>Centuries: Tipping Points and Early Warning</w:t>
      </w:r>
    </w:p>
    <w:p>
      <w:pPr>
        <w:pStyle w:val="BookSection"/>
      </w:pPr>
      <w:r>
        <w:t>An error worth eight years</w:t>
      </w:r>
    </w:p>
    <w:p>
      <w:r>
        <w:rPr>
          <w:i w:val="0"/>
        </w:rPr>
        <w:t>On 21 August 2025, Nature Communications published an Author Correction to a paper that two years earlier had put a date on the collapse of the Atlantic Meridional Overturning Circulation. The original analysis, by Peter D. Ditlevsen of the Niels Bohr Institute and Susanne Ditlevsen of the Department of Mathematical Sciences at the University of Copenhagen, fitted a stochastic differential equation representing an approach to a saddle-node bifurcation to a subpolar-gyre sea-surface-temperature fingerprint of overturning strength, taken from the HadISST record for 1870 to 2020. Two estimators were used, one based on moments of the residuals and one a maximum likelihood estimator built on Strang splitting. As published, the fit gave a collapse around 2057, with a 95% confidence interval running from 2025 to 2095.</w:t>
      </w:r>
    </w:p>
    <w:p>
      <w:r>
        <w:rPr>
          <w:i w:val="0"/>
        </w:rPr>
        <w:t xml:space="preserve">The correction concerned neither the physics nor the data. Anders Gantzhorn Kristensen identified a coding error in the Strang-splitting estimator: the flow had been partially evaluated at time </w:t>
      </w:r>
      <m:oMath>
        <m:sSub>
          <m:e>
            <m:r>
              <m:t>t</m:t>
            </m:r>
          </m:e>
          <m:sub>
            <m:r>
              <m:t>i−1</m:t>
            </m:r>
          </m:sub>
        </m:sSub>
      </m:oMath>
      <w:r>
        <w:rPr>
          <w:i w:val="0"/>
        </w:rPr>
        <w:t xml:space="preserve"> rather than at the observation time </w:t>
      </w:r>
      <m:oMath>
        <m:sSub>
          <m:e>
            <m:r>
              <m:t>t</m:t>
            </m:r>
          </m:e>
          <m:sub>
            <m:r>
              <m:t>i</m:t>
            </m:r>
          </m:sub>
        </m:sSub>
      </m:oMath>
      <w:r>
        <w:rPr>
          <w:i w:val="0"/>
        </w:rPr>
        <w:t>. Repairing that one index shifted the tipping time estimate by eight years and moved the reported window to 2037 to 2109. Figures 5, 6 and 7 and Table 1 were revised.</w:t>
      </w:r>
    </w:p>
    <w:p>
      <w:r>
        <w:rPr>
          <w:i w:val="0"/>
        </w:rPr>
        <w:t>Eight years is not a large number against a window seventy years wide, and the authors' qualitative conclusion survived. What the episode exposes is the leverage of the inference. A century and a half of monthly sea-surface temperatures is being asked to locate the moment at which a nonlinear system loses its last stable state, and the answer turns out to be sensitive at the level of a single subscript. This chapter is about that leverage. Its claim is that critical slowing down is a mechanistically specific prediction about one class of transition, the kind produced by a bifurcation in a slowly forced system, and that nearly two decades of methodological work, culminating in neural classifiers trained on simulated bifurcations, have sharpened the detection of that signature without settling the prior question of whether the observed system belongs to the class at all.</w:t>
      </w:r>
    </w:p>
    <w:p>
      <w:pPr>
        <w:pStyle w:val="BookSection"/>
      </w:pPr>
      <w:r>
        <w:t>The eigenvalue that goes to zero</w:t>
      </w:r>
    </w:p>
    <w:p>
      <w:r>
        <w:rPr>
          <w:i w:val="0"/>
        </w:rPr>
        <w:t>The forecasting problem here is formally the one that appeared in earlier chapters at microsecond and millisecond scales, moved up to a century, which is a displacement of between twelve and sixteen orders of magnitude in time depending on which of those two shorter scales one starts from. A system sits in a stable state; a control parameter drifts; at some value the state stops existing.</w:t>
      </w:r>
    </w:p>
    <w:p>
      <w:r>
        <w:rPr>
          <w:i w:val="0"/>
        </w:rPr>
        <w:t>The minimal model is the normal form of the saddle-node bifurcation, also called the fold:</w:t>
      </w:r>
    </w:p>
    <w:p>
      <w:pPr>
        <w:spacing w:before="200" w:after="200"/>
        <w:ind w:firstLine="0"/>
        <w:jc w:val="center"/>
        <w:contextualSpacing w:val="0"/>
      </w:pPr>
      <m:oMath>
        <m:limUpp>
          <m:e>
            <m:r>
              <m:t>x</m:t>
            </m:r>
          </m:e>
          <m:lim>
            <m:r>
              <m:t>˙</m:t>
            </m:r>
          </m:lim>
        </m:limUpp>
        <m:r>
          <m:t>=μ−</m:t>
        </m:r>
        <m:sSup>
          <m:e>
            <m:r>
              <m:t>x</m:t>
            </m:r>
          </m:e>
          <m:sup>
            <m:r>
              <m:t>2</m:t>
            </m:r>
          </m:sup>
        </m:sSup>
        <m:r>
          <m:t>.</m:t>
        </m:r>
      </m:oMath>
    </w:p>
    <w:p>
      <w:r>
        <w:rPr>
          <w:i w:val="0"/>
        </w:rPr>
        <w:t xml:space="preserve">For </w:t>
      </w:r>
      <m:oMath>
        <m:r>
          <m:t>μ&gt;0</m:t>
        </m:r>
      </m:oMath>
      <w:r>
        <w:rPr>
          <w:i w:val="0"/>
        </w:rPr>
        <w:t xml:space="preserve"> there are two fixed points, </w:t>
      </w:r>
      <m:oMath>
        <m:sSub>
          <m:e>
            <m:r>
              <m:t>x</m:t>
            </m:r>
          </m:e>
          <m:sub>
            <m:r>
              <m:t>±</m:t>
            </m:r>
          </m:sub>
        </m:sSub>
        <m:r>
          <m:t>=±</m:t>
        </m:r>
        <m:rad>
          <m:radPr>
            <m:degHide m:val="on"/>
          </m:radPr>
          <m:deg/>
          <m:e>
            <m:r>
              <m:t>μ</m:t>
            </m:r>
          </m:e>
        </m:rad>
      </m:oMath>
      <w:r>
        <w:rPr>
          <w:i w:val="0"/>
        </w:rPr>
        <w:t xml:space="preserve">. The Jacobian is </w:t>
      </w:r>
      <m:oMath>
        <m:sSup>
          <m:e>
            <m:r>
              <m:t>f</m:t>
            </m:r>
          </m:e>
          <m:sup>
            <m:r>
              <m:t>′</m:t>
            </m:r>
          </m:sup>
        </m:sSup>
        <m:r>
          <m:t>(x)=−2x</m:t>
        </m:r>
      </m:oMath>
      <w:r>
        <w:rPr>
          <w:i w:val="0"/>
        </w:rPr>
        <w:t xml:space="preserve">, so the upper branch has eigenvalue </w:t>
      </w:r>
      <m:oMath>
        <m:r>
          <m:t>λ=−2</m:t>
        </m:r>
        <m:rad>
          <m:radPr>
            <m:degHide m:val="on"/>
          </m:radPr>
          <m:deg/>
          <m:e>
            <m:r>
              <m:t>μ</m:t>
            </m:r>
          </m:e>
        </m:rad>
      </m:oMath>
      <w:r>
        <w:rPr>
          <w:i w:val="0"/>
        </w:rPr>
        <w:t xml:space="preserve"> and is stable, the lower branch has </w:t>
      </w:r>
      <m:oMath>
        <m:r>
          <m:t>λ=+2</m:t>
        </m:r>
        <m:rad>
          <m:radPr>
            <m:degHide m:val="on"/>
          </m:radPr>
          <m:deg/>
          <m:e>
            <m:r>
              <m:t>μ</m:t>
            </m:r>
          </m:e>
        </m:rad>
      </m:oMath>
      <w:r>
        <w:rPr>
          <w:i w:val="0"/>
        </w:rPr>
        <w:t xml:space="preserve"> and is not. As </w:t>
      </w:r>
      <m:oMath>
        <m:r>
          <m:t>μ→</m:t>
        </m:r>
        <m:sSup>
          <m:e>
            <m:r>
              <m:t>0</m:t>
            </m:r>
          </m:e>
          <m:sup>
            <m:r>
              <m:t>+</m:t>
            </m:r>
          </m:sup>
        </m:sSup>
      </m:oMath>
      <w:r>
        <w:rPr>
          <w:i w:val="0"/>
        </w:rPr>
        <w:t xml:space="preserve"> the two branches collide and annihilate, and the stable eigenvalue approaches zero from below as </w:t>
      </w:r>
      <m:oMath>
        <m:sSup>
          <m:e>
            <m:r>
              <m:t>μ</m:t>
            </m:r>
          </m:e>
          <m:sup>
            <m:f>
              <m:fPr>
                <m:type m:val="lin"/>
              </m:fPr>
              <m:num>
                <m:r>
                  <m:t>1</m:t>
                </m:r>
              </m:num>
              <m:den>
                <m:r>
                  <m:t>2</m:t>
                </m:r>
              </m:den>
            </m:f>
          </m:sup>
        </m:sSup>
      </m:oMath>
      <w:r>
        <w:rPr>
          <w:i w:val="0"/>
        </w:rPr>
        <w:t xml:space="preserve">. The recovery time after a small displacement, </w:t>
      </w:r>
      <m:oMath>
        <m:r>
          <m:t>τ=1/|λ|</m:t>
        </m:r>
      </m:oMath>
      <w:r>
        <w:rPr>
          <w:i w:val="0"/>
        </w:rPr>
        <w:t xml:space="preserve">, therefore diverges as </w:t>
      </w:r>
      <m:oMath>
        <m:sSup>
          <m:e>
            <m:r>
              <m:t>μ</m:t>
            </m:r>
          </m:e>
          <m:sup>
            <m:r>
              <m:t>−1/2</m:t>
            </m:r>
          </m:sup>
        </m:sSup>
      </m:oMath>
      <w:r>
        <w:rPr>
          <w:i w:val="0"/>
        </w:rPr>
        <w:t>. This is critical slowing down, and it is a property of the linearization, not of the particular vector field: any smooth one-parameter family passing through a fold has it.</w:t>
      </w:r>
    </w:p>
    <w:p>
      <w:r>
        <w:rPr>
          <w:i w:val="0"/>
        </w:rPr>
        <w:t xml:space="preserve">Add noise. Write </w:t>
      </w:r>
      <m:oMath>
        <m:r>
          <m:t>u=x−</m:t>
        </m:r>
        <m:sSub>
          <m:e>
            <m:r>
              <m:t>x</m:t>
            </m:r>
          </m:e>
          <m:sub>
            <m:r>
              <m:t>+</m:t>
            </m:r>
          </m:sub>
        </m:sSub>
      </m:oMath>
      <w:r>
        <w:rPr>
          <w:i w:val="0"/>
        </w:rPr>
        <w:t xml:space="preserve"> for a small displacement and linearize, giving an Ornstein-Uhlenbeck process,</w:t>
      </w:r>
    </w:p>
    <w:p>
      <w:pPr>
        <w:spacing w:before="200" w:after="200"/>
        <w:ind w:firstLine="0"/>
        <w:jc w:val="center"/>
        <w:contextualSpacing w:val="0"/>
      </w:pPr>
      <m:oMath>
        <m:r>
          <m:t>du=λu</m:t>
        </m:r>
        <m:r>
          <m:t>dt+σ</m:t>
        </m:r>
        <m:r>
          <m:t>dW,</m:t>
        </m:r>
      </m:oMath>
    </w:p>
    <w:p>
      <w:r>
        <w:rPr>
          <w:i w:val="0"/>
        </w:rPr>
        <w:t xml:space="preserve">whose stationary variance is </w:t>
      </w:r>
      <m:oMath>
        <m:sSup>
          <m:e>
            <m:r>
              <m:t>σ</m:t>
            </m:r>
          </m:e>
          <m:sup>
            <m:r>
              <m:t>2</m:t>
            </m:r>
          </m:sup>
        </m:sSup>
        <m:r>
          <m:t>/2|λ|</m:t>
        </m:r>
      </m:oMath>
      <w:r>
        <w:rPr>
          <w:i w:val="0"/>
        </w:rPr>
        <w:t xml:space="preserve"> and whose autocovariance decays as </w:t>
      </w:r>
      <m:oMath>
        <m:sSup>
          <m:e>
            <m:r>
              <m:t>e</m:t>
            </m:r>
          </m:e>
          <m:sup>
            <m:r>
              <m:t>λs</m:t>
            </m:r>
          </m:sup>
        </m:sSup>
      </m:oMath>
      <w:r>
        <w:rPr>
          <w:i w:val="0"/>
        </w:rPr>
        <w:t xml:space="preserve">. Sampled at interval </w:t>
      </w:r>
      <m:oMath>
        <m:r>
          <m:t>Δt</m:t>
        </m:r>
      </m:oMath>
      <w:r>
        <w:rPr>
          <w:i w:val="0"/>
        </w:rPr>
        <w:t xml:space="preserve">, the process is an AR(1) series with coefficient </w:t>
      </w:r>
      <m:oMath>
        <m:r>
          <m:t>α=</m:t>
        </m:r>
        <m:sSup>
          <m:e>
            <m:r>
              <m:t>e</m:t>
            </m:r>
          </m:e>
          <m:sup>
            <m:r>
              <m:t>λΔt</m:t>
            </m:r>
          </m:sup>
        </m:sSup>
      </m:oMath>
      <w:r>
        <w:rPr>
          <w:i w:val="0"/>
        </w:rPr>
        <w:t>. Substituting the fold scaling,</w:t>
      </w:r>
    </w:p>
    <w:p>
      <w:pPr>
        <w:spacing w:before="200" w:after="200"/>
        <w:ind w:firstLine="0"/>
        <w:jc w:val="center"/>
        <w:contextualSpacing w:val="0"/>
      </w:pPr>
      <m:oMath>
        <m:r>
          <m:t>Var(u)=</m:t>
        </m:r>
        <m:f>
          <m:fPr>
            <m:type m:val="bar"/>
          </m:fPr>
          <m:num>
            <m:sSup>
              <m:e>
                <m:r>
                  <m:t>σ</m:t>
                </m:r>
              </m:e>
              <m:sup>
                <m:r>
                  <m:t>2</m:t>
                </m:r>
              </m:sup>
            </m:sSup>
          </m:num>
          <m:den>
            <m:r>
              <m:t>4</m:t>
            </m:r>
          </m:den>
        </m:f>
        <m:sSup>
          <m:e>
            <m:r>
              <m:t>μ</m:t>
            </m:r>
          </m:e>
          <m:sup>
            <m:r>
              <m:t>−1/2</m:t>
            </m:r>
          </m:sup>
        </m:sSup>
        <m:r>
          <m:t>,</m:t>
        </m:r>
        <m:r>
          <m:t>α=</m:t>
        </m:r>
        <m:r>
          <m:rPr>
            <m:sty m:val="p"/>
          </m:rPr>
          <m:t>exp</m:t>
        </m:r>
        <m:d>
          <m:dPr>
            <m:sepChr m:val="−"/>
          </m:dPr>
          <m:e/>
          <m:e>
            <m:r>
              <m:t>2</m:t>
            </m:r>
            <m:rad>
              <m:radPr>
                <m:degHide m:val="on"/>
              </m:radPr>
              <m:deg/>
              <m:e>
                <m:r>
                  <m:t>μ</m:t>
                </m:r>
              </m:e>
            </m:rad>
            <m:r>
              <m:t>Δ</m:t>
            </m:r>
            <m:r>
              <m:t>t</m:t>
            </m:r>
          </m:e>
        </m:d>
        <m:r>
          <m:t>→1.</m:t>
        </m:r>
      </m:oMath>
    </w:p>
    <w:p>
      <w:r>
        <w:rPr>
          <w:i w:val="0"/>
        </w:rPr>
        <w:t>Rising variance and rising lag-one autocorrelation are thus two readings of the same vanishing eigenvalue, and this is why they are expected to move together.</w:t>
      </w:r>
    </w:p>
    <w:p>
      <w:r>
        <w:rPr>
          <w:i w:val="0"/>
        </w:rPr>
        <w:t xml:space="preserve">Two cautions belong here, because the vocabulary is borrowed. First, this is not critical slowing down in the sense of a continuous phase transition. At a critical point the relaxation time diverges because the correlation length diverges, with </w:t>
      </w:r>
      <m:oMath>
        <m:r>
          <m:t>τ~</m:t>
        </m:r>
        <m:sSup>
          <m:e>
            <m:r>
              <m:t>ξ</m:t>
            </m:r>
          </m:e>
          <m:sup>
            <m:r>
              <m:t>z</m:t>
            </m:r>
          </m:sup>
        </m:sSup>
      </m:oMath>
      <w:r>
        <w:rPr>
          <w:i w:val="0"/>
        </w:rPr>
        <w:t xml:space="preserve">, and the exponents are shared across a universality class defined by the renormalization group. At a fold there is no diverging correlation length and no universality class in that sense. The exponent </w:t>
      </w:r>
      <m:oMath>
        <m:f>
          <m:fPr>
            <m:type m:val="lin"/>
          </m:fPr>
          <m:num>
            <m:r>
              <m:t>1</m:t>
            </m:r>
          </m:num>
          <m:den>
            <m:r>
              <m:t>2</m:t>
            </m:r>
          </m:den>
        </m:f>
      </m:oMath>
      <w:r>
        <w:rPr>
          <w:i w:val="0"/>
        </w:rPr>
        <w:t xml:space="preserve"> is a normal-form exponent, fixed by the quadratic tangency of the vector field, and the divergence is that of a single mode in a low-dimensional projection. The two phenomena share a name and a symptom, and nothing else. Second, the divergence is weak. Variance grows only as the inverse square root of the distance to the bifurcation, so doubling the variance requires </w:t>
      </w:r>
      <m:oMath>
        <m:r>
          <m:t>μ</m:t>
        </m:r>
      </m:oMath>
      <w:r>
        <w:rPr>
          <w:i w:val="0"/>
        </w:rPr>
        <w:t xml:space="preserve"> to fall by a factor of four, and doubling the standard deviation of the fluctuations requires a factor of sixteen. Closing on the threshold by two orders of magnitude in </w:t>
      </w:r>
      <m:oMath>
        <m:r>
          <m:t>μ</m:t>
        </m:r>
      </m:oMath>
      <w:r>
        <w:rPr>
          <w:i w:val="0"/>
        </w:rPr>
        <w:t xml:space="preserve"> raises the variance only tenfold and the standard deviation only about threefold. The signal is strongest exactly when it is least useful.</w:t>
      </w:r>
    </w:p>
    <w:p>
      <w:r>
        <w:rPr>
          <w:i w:val="0"/>
        </w:rPr>
        <w:t xml:space="preserve">Converting the signal into a date requires one further assumption that the theory does not supply. The indicators are functions of </w:t>
      </w:r>
      <m:oMath>
        <m:r>
          <m:t>μ</m:t>
        </m:r>
      </m:oMath>
      <w:r>
        <w:rPr>
          <w:i w:val="0"/>
        </w:rPr>
        <w:t xml:space="preserve">; observations are functions of </w:t>
      </w:r>
      <m:oMath>
        <m:r>
          <m:t>t</m:t>
        </m:r>
      </m:oMath>
      <w:r>
        <w:rPr>
          <w:i w:val="0"/>
        </w:rPr>
        <w:t xml:space="preserve">. To extrapolate, one posits a ramp, most simply </w:t>
      </w:r>
      <m:oMath>
        <m:r>
          <m:t>μ(t)∝(T−t)</m:t>
        </m:r>
      </m:oMath>
      <w:r>
        <w:rPr>
          <w:i w:val="0"/>
        </w:rPr>
        <w:t xml:space="preserve">, so that </w:t>
      </w:r>
      <m:oMath>
        <m:r>
          <m:t>|λ(t)|∝(T−t</m:t>
        </m:r>
        <m:sSup>
          <m:e>
            <m:r>
              <m:t>)</m:t>
            </m:r>
          </m:e>
          <m:sup>
            <m:f>
              <m:fPr>
                <m:type m:val="lin"/>
              </m:fPr>
              <m:num>
                <m:r>
                  <m:t>1</m:t>
                </m:r>
              </m:num>
              <m:den>
                <m:r>
                  <m:t>2</m:t>
                </m:r>
              </m:den>
            </m:f>
          </m:sup>
        </m:sSup>
      </m:oMath>
      <w:r>
        <w:rPr>
          <w:i w:val="0"/>
        </w:rPr>
        <w:t xml:space="preserve"> and </w:t>
      </w:r>
      <m:oMath>
        <m:sSup>
          <m:e>
            <m:r>
              <m:t>λ</m:t>
            </m:r>
          </m:e>
          <m:sup>
            <m:r>
              <m:t>2</m:t>
            </m:r>
          </m:sup>
        </m:sSup>
      </m:oMath>
      <w:r>
        <w:rPr>
          <w:i w:val="0"/>
        </w:rPr>
        <w:t xml:space="preserve"> falls linearly to zero at the tipping time </w:t>
      </w:r>
      <m:oMath>
        <m:r>
          <m:t>T</m:t>
        </m:r>
      </m:oMath>
      <w:r>
        <w:rPr>
          <w:i w:val="0"/>
        </w:rPr>
        <w:t xml:space="preserve">. Fitting a straight line through estimates of </w:t>
      </w:r>
      <m:oMath>
        <m:sSup>
          <m:e>
            <m:r>
              <m:t>λ</m:t>
            </m:r>
          </m:e>
          <m:sup>
            <m:r>
              <m:t>2</m:t>
            </m:r>
          </m:sup>
        </m:sSup>
      </m:oMath>
      <w:r>
        <w:rPr>
          <w:i w:val="0"/>
        </w:rPr>
        <w:t xml:space="preserve"> and reading off its root is, in essence, how a century of temperatures becomes a year with a confidence interval. The interval reflects the scatter of the </w:t>
      </w:r>
      <m:oMath>
        <m:r>
          <m:t>λ</m:t>
        </m:r>
      </m:oMath>
      <w:r>
        <w:rPr>
          <w:i w:val="0"/>
        </w:rPr>
        <w:t xml:space="preserve"> estimates. It does not reflect the possibility that the ramp is not linear, that the fold is not there, or that the projection onto one variable is wrong.</w:t>
      </w:r>
    </w:p>
    <w:p>
      <w:pPr>
        <w:pStyle w:val="BookSection"/>
      </w:pPr>
      <w:r>
        <w:t>What the indicators were built from</w:t>
      </w:r>
    </w:p>
    <w:p>
      <w:r>
        <w:rPr>
          <w:i w:val="0"/>
        </w:rPr>
        <w:t>Vasilis Dakos, Marten Scheffer, Egbert H. van Nes, Victor Brovkin, Vladimir Petoukhov and Hermann Held brought the argument to real records in 2008, examining eight ancient abrupt climate shifts preserved in paleoclimate archives and finding in each a characteristic slowing of fluctuations, measured as increasing autocorrelation, beginning well before the transition itself. The following year Marten Scheffer, Jordi Bascompte, William A. Brock, Victor Brovkin, Stephen R. Carpenter, Vasilis Dakos, Hermann Held, Egbert H. van Nes, Max Rietkerk and George Sugihara set out the generic framework in Nature: systems approaching a catastrophic bifurcation should show rising variance, rising lag-one autocorrelation, increased skewness and flickering between states, and these indicators should be largely independent of the specific mechanism driving the system. Independence of mechanism is the framework's selling point and, as later sections show, the source of its difficulties.</w:t>
      </w:r>
    </w:p>
    <w:p>
      <w:r>
        <w:rPr>
          <w:i w:val="0"/>
        </w:rPr>
        <w:t>The strongest experimental confirmation came in 2011. Stephen R. Carpenter, Jonathan J. Cole, Michael L. Pace, Ryan Batt, William A. Brock, Timothy Cline, Jim Coloso, James R. Hodgson, James F. Kitchell, David A. Seekell, Laura Smith and Brian Weidel deliberately destabilized the food web of an entire lake over three years by gradually adding a top predator, while monitoring an adjacent unmanipulated lake as a reference. High-frequency monitoring detected rising variance and slowing recovery in advance of the regime shift. The design supplies three things paleoclimate cannot: a control parameter moved on a known schedule, a system known independently to have alternative states, and a reference series absorbing shared environmental variability. Every subsequent application to the Earth system has had to do without all three.</w:t>
      </w:r>
    </w:p>
    <w:p>
      <w:r>
        <w:rPr>
          <w:i w:val="0"/>
        </w:rPr>
        <w:t>The objects to which the framework was then applied had been named in 2008 by Timothy M. Lenton, Hermann Held, Elmar Kriegler, Jim W. Hall, Wolfgang Lucht, Stefan Rahmstorf and Hans Joachim Schellnhuber, who introduced the term tipping elements for large-scale components of the Earth system that can be switched into a qualitatively different state by small perturbations. The initial shortlist included the Atlantic thermohaline circulation, the Greenland and West Antarctic ice sheets, Arctic sea ice, the Amazon rainforest and the Indian summer monsoon. An updated assessment in 2022, led by David I. Armstrong McKay and Timothy M. Lenton with Arie Staal, Jesse F. Abrams, Ricarda Winkelmann, Boris Sakschewski, Sina Loriani, Ingo Fetzer, Sarah E. Cornell and Johan Rockström, concluded that exceeding 1.5 °C of global warming could trigger multiple tipping points, with central threshold estimates for several elements falling inside the Paris Agreement temperature range. Note that a tipping element is defined by its behaviour under forcing, not by the mathematical mechanism producing that behaviour. The identification of the two is an assumption, and the rest of the chapter is largely about the cost of making it silently.</w:t>
      </w:r>
    </w:p>
    <w:p>
      <w:r>
        <w:rPr>
          <w:i w:val="0"/>
        </w:rPr>
        <w:t>The later disputes are almost all about the steps of the resulting toolbox rather than about the theory, so it is worth being explicit about what it computes. A record is first detrended, because the slow drift of the state itself would otherwise dominate any variance estimate. A window of fixed length is then slid along the residuals, and within each window the sample variance and the lag-one autocorrelation coefficient are computed. That yields two derived series, and the question becomes whether either rises monotonically, usually tested with Kendall's rank correlation coefficient against a null distribution built by surrogate resampling. Three free choices are buried in that procedure: the detrending filter, the window length, and the construction of the surrogates. None is fixed by the theory, and each changes the answer.</w:t>
      </w:r>
    </w:p>
    <w:p>
      <w:pPr>
        <w:pStyle w:val="BookSection"/>
      </w:pPr>
      <w:r>
        <w:t>Training on simulated bifurcations</w:t>
      </w:r>
    </w:p>
    <w:p>
      <w:r>
        <w:rPr>
          <w:i w:val="0"/>
        </w:rPr>
        <w:t>In 2021 Thomas M. Bury, R. I. Sujith, Induja Pavithran, Marten Scheffer, Timothy M. Lenton, Madhur Anand and Chris T. Bauch replaced the hand-built indicators with a learned one. The training set was entirely synthetic: roughly half a million time series generated by integrating randomly drawn dynamical systems whose bifurcation structure had been established with the AUTO-07P continuation software, each series labelled by the bifurcation it was approaching, fold, Hopf or transcritical, or by a null label for series approaching nothing. The network takes a windowed, detrended, normalized univariate series and returns a probability distribution over those four labels. It is therefore doing something the classical indicators do not: rather than testing a single scalar for an upward trend, it learns whatever features of the residual series distinguish the approach to each bifurcation type, including the oscillatory signature that separates a Hopf from a fold. Applied to sedimentary records of Mediterranean anoxic events, to thermoacoustic instability experiments, and to paleoclimate transition records, it outperformed variance and autocorrelation.</w:t>
      </w:r>
    </w:p>
    <w:p>
      <w:r>
        <w:rPr>
          <w:i w:val="0"/>
        </w:rPr>
        <w:t>The most instructive thing about this result is what happened next. In 2022 Thomas M. Bury co-authored a letter with Fabian Dablander of the University of Amsterdam critiquing the classifier. Every training example had been detrended with a LOWESS filter of span 0.2, and the network had accordingly learned the residual statistics that filter produces. Stationary AR(1) series left undetrended, or detrended instead with a Gaussian filter of bandwidth 0.2, were misclassified as approaching a bifurcation. The apparent advantage over classical indicators shrinks once preprocessing is varied. The mechanism is worth naming plainly: a LOWESS smoother of fixed span and a Gaussian kernel smoother of nominally similar width remove different amounts of low-frequency power, and the residual autocorrelation the network reads as evidence of a vanishing eigenvalue is partly an artefact of the smoother. Chris T. Bauch and Madhur Anand, replying in the same issue, conceded the point on filter consistency and recommended that the same filter be used for training, testing and application, while framing the deeper issue as the unknown unknowns of deep learning and calling for training sets covering a greater variety of bifurcation types and noise structures.</w:t>
      </w:r>
    </w:p>
    <w:p>
      <w:r>
        <w:rPr>
          <w:i w:val="0"/>
        </w:rPr>
        <w:t>That reply concedes more than it appears to. A classifier trained on simulated bifurcations inherits the simulator's assumptions as a prior: what bifurcations exist, how the parameter ramps, what the noise looks like, how the series was filtered. Where the observed system lies outside that prior, the network still returns a probability distribution over the four labels it knows, because those are the only labels it has.</w:t>
      </w:r>
    </w:p>
    <w:p>
      <w:pPr>
        <w:pStyle w:val="BookSection"/>
      </w:pPr>
      <w:r>
        <w:t>The Atlantic</w:t>
      </w:r>
    </w:p>
    <w:p>
      <w:r>
        <w:rPr>
          <w:i w:val="0"/>
        </w:rPr>
        <w:t>In 2021, Niklas Boers, then at the Potsdam Institute for Climate Impact Research and the Technical University of Munich, applied the classical indicators to eight independent AMOC indices derived from observational sea-surface temperature and salinity data across the Atlantic basin. All eight showed rising variance and autocorrelation, and the conclusion drawn was that the circulation may be approaching a bifurcation-induced transition rather than merely weakening under forcing. The distinction matters: a linear response to forcing is reversible if the forcing reverses, and a fold is not.</w:t>
      </w:r>
    </w:p>
    <w:p>
      <w:r>
        <w:rPr>
          <w:i w:val="0"/>
        </w:rPr>
        <w:t>Xianyao Chen and Ka-Kit Tung filed a formal Matters Arising against that conclusion. The argument had three parts. Observational coverage of the Atlantic expanded through the twentieth century, and sparse early sampling of a spatial average produces a low-variance estimate that rises as coverage improves, so all eight proxies contain an artificial variance increase of instrumental origin. Climate models containing no genuine early-warning signal, when subsampled according to historical coverage, reproduce apparent warnings. And the signs of the salinity proxy and one further subpolar AMOC proxy had been reversed in error. Niklas Boers replied in the same issue, defending the analysis against both the coverage and the sign-convention objections. The exchange has not converged.</w:t>
      </w:r>
    </w:p>
    <w:p>
      <w:r>
        <w:rPr>
          <w:i w:val="0"/>
        </w:rPr>
        <w:t>The coverage objection is a specific instance of a general hazard, and it was pursued quantitatively by Maya Ben-Yami, Vanessa Skiba, Sebastian Bathiany and Niklas Boers, who showed that the observational datasets used for AMOC early-warning analysis have non-stationary missing-data distributions and that gap-filling procedures can in some cases manufacture false indications of critical slowing down. That paper is a second kind of internal check, distinct from the classifier letter: not a builder faulting an instrument, but a group subjecting its own published result to a test of the data underneath it. After propagating dataset uncertainties and applying conservative significance tests, the authors nonetheless found the North Atlantic stability decline remained significant. The finding survived, but it survived a test that had not previously been applied.</w:t>
      </w:r>
    </w:p>
    <w:p>
      <w:r>
        <w:rPr>
          <w:i w:val="0"/>
        </w:rPr>
        <w:t xml:space="preserve">On the question of dates, the same group went further. Maya Ben-Yami, Andreas Morr, Sebastian Bathiany and Niklas Boers argued that even granting that an Earth system component is approaching a tipping point, the uncertainties are too large to permit a reliable estimate of when tipping will occur. Three sources were separated: the modelling assumptions embedded in the extrapolation, the representativeness of the chosen time series as a proxy for the physical variable of interest, and observational error combined with preprocessing. The AMOC served as the worked case. Read against the derivation above, this is the objection that the linear ramp in </w:t>
      </w:r>
      <m:oMath>
        <m:r>
          <m:t>μ</m:t>
        </m:r>
      </m:oMath>
      <w:r>
        <w:rPr>
          <w:i w:val="0"/>
        </w:rPr>
        <w:t>, the projection onto one observable, and the filter are each doing work that the quoted confidence interval does not account for.</w:t>
      </w:r>
    </w:p>
    <w:p>
      <w:r>
        <w:rPr>
          <w:i w:val="0"/>
        </w:rPr>
        <w:t>An alternative is to abandon generic statistics for a mechanism-specific indicator. René M. van Westen, Michael Kliphuis and Henk A. Dijkstra proposed the freshwater transport by the overturning at the southern boundary of the Atlantic, a quantity grounded in the salt-advection feedback that produces AMOC bistability rather than in the abstract theory of folds, and reported that reanalysis products indicate the circulation is on a tipping course. Trading generality for physical specificity is the obvious response to the preprocessing and proxy problems, though it exchanges one set of assumptions for another, since the indicator's interpretation depends on the model of the feedback being right.</w:t>
      </w:r>
    </w:p>
    <w:p>
      <w:r>
        <w:rPr>
          <w:i w:val="0"/>
        </w:rPr>
        <w:t>The modelling literature does not speak with one voice either. Jonathan A. Baker, Michael J. Bell, Laura C. Jackson, Geoffrey K. Vallis, Andrew J. Watson and Richard A. Wood found continued Atlantic overturning circulation even under extreme climate forcing, largely because Southern Ocean wind-driven upwelling sustains the circulation; that paper itself subsequently received an Author Correction. Stefan Rahmstorf, reviewing the question, accepted that multiple independent early-warning analyses point in the same direction while drawing a sharply limiting conclusion: by the time such signals can provide a reasonably reliable warning of impending AMOC tipping, it will be too late to prevent it, and the observed changes in variability might in any case have causes unrelated to an approaching threshold. The conclusion drawn was precaution, not confident prediction.</w:t>
      </w:r>
    </w:p>
    <w:p>
      <w:pPr>
        <w:pStyle w:val="BookSection"/>
      </w:pPr>
      <w:r>
        <w:t>Three ways to tip</w:t>
      </w:r>
    </w:p>
    <w:p>
      <w:r>
        <w:rPr>
          <w:i w:val="0"/>
        </w:rPr>
        <w:t xml:space="preserve">The deepest objection is not statistical. Peter Ashwin, Sebastian Wieczorek, Renato Vitolo and Peter Cox established the standard taxonomy for tipping in open systems, distinguishing three mechanisms. Bifurcation-induced tipping is the fold above. Noise-induced tipping is a fluctuation large enough to carry the system over a barrier that has not moved. Rate-induced tipping occurs when a system fails to track a moving stable state because the forcing changes too quickly, even though no bifurcation is crossed at any instant. Only the first reliably produces critical slowing down. In the second the eigenvalue never approaches zero, since the escape happens while the state is still well inside its basin. In the third the stable state persists throughout, and the system simply cannot keep up with it. The third case is the one least visible to the toolbox. If the equilibrium </w:t>
      </w:r>
      <m:oMath>
        <m:sSup>
          <m:e>
            <m:r>
              <m:t>x</m:t>
            </m:r>
          </m:e>
          <m:sup>
            <m:r>
              <m:t>*</m:t>
            </m:r>
          </m:sup>
        </m:sSup>
        <m:r>
          <m:t>(μ(t))</m:t>
        </m:r>
      </m:oMath>
      <w:r>
        <w:rPr>
          <w:i w:val="0"/>
        </w:rPr>
        <w:t xml:space="preserve"> moves at speed comparable to the relaxation rate </w:t>
      </w:r>
      <m:oMath>
        <m:d>
          <m:dPr>
            <m:begChr m:val="|"/>
            <m:sepChr m:val=""/>
            <m:endChr m:val="|"/>
          </m:dPr>
          <m:e>
            <m:r>
              <m:t>λ</m:t>
            </m:r>
          </m:e>
        </m:d>
      </m:oMath>
      <w:r>
        <w:rPr>
          <w:i w:val="0"/>
        </w:rPr>
        <w:t xml:space="preserve">, the state lags behind by a distance of order </w:t>
      </w:r>
      <m:oMath>
        <m:sSup>
          <m:e>
            <m:limUpp>
              <m:e>
                <m:r>
                  <m:t>x</m:t>
                </m:r>
              </m:e>
              <m:lim>
                <m:r>
                  <m:t>˙</m:t>
                </m:r>
              </m:lim>
            </m:limUpp>
          </m:e>
          <m:sup>
            <m:r>
              <m:t>*</m:t>
            </m:r>
          </m:sup>
        </m:sSup>
        <m:r>
          <m:t>/|λ|</m:t>
        </m:r>
      </m:oMath>
      <w:r>
        <w:rPr>
          <w:i w:val="0"/>
        </w:rPr>
        <w:t>, and if that lag carries it across the boundary of the basin, the system leaves without any eigenvalue having gone to zero. Whether this happens depends on the rate of forcing rather than on its magnitude, so two runs reaching the same final climate can differ in outcome. Nothing in the variance or the autocorrelation of the residuals distinguishes the two, because in both the linearization around the tracked state is unchanged.</w:t>
      </w:r>
    </w:p>
    <w:p>
      <w:r>
        <w:rPr>
          <w:i w:val="0"/>
        </w:rPr>
        <w:t>Each of the other two has been shown to matter. Peter D. Ditlevsen and Sigfus J. Johnsen analysed Greenland ice-core records of the Dansgaard-Oeschger events and found no critical slowing down before the transitions, concluding that these abrupt shifts were noise-induced rather than bifurcation-induced and therefore have very limited predictability. The paper is titled "Tipping points: Early warning and wishful thinking", and its target is precisely the extension of the 2008 and 2009 results to abrupt climate change in general. Carl Boettiger and Alan Hastings put the same point on a rigorous footing using large deviation theory, showing that purely stochastic transitions between alternative stable states are not preceded by early-warning signals. The consequence is a logical one and cuts in both directions: the presence of critical slowing down cannot by itself establish that a system is approaching a bifurcation, and its absence cannot establish that no transition is coming.</w:t>
      </w:r>
    </w:p>
    <w:p>
      <w:r>
        <w:rPr>
          <w:i w:val="0"/>
        </w:rPr>
        <w:t>Alan Hastings and Derin B. Wysham reached a related result from the modelling side, demonstrating that the class of ecological systems that will exhibit leading indicators of regime shifts is limited. The construction is a set of ecological models whose nonlinearities, combined with environmental variability, yield dynamics without a smooth potential, and for which a regime change carries no forewarning whatever. The authors argue that a corresponding class of natural systems is therefore likely to exist; they do not identify one, and the distinction between a demonstrated class of models and a demonstrated class of systems is worth preserving, because it is exactly the kind of slippage the early-warning literature has repeatedly made in the opposite direction.</w:t>
      </w:r>
    </w:p>
    <w:p>
      <w:pPr>
        <w:pStyle w:val="BookSection"/>
      </w:pPr>
      <w:r>
        <w:t>What the record can carry</w:t>
      </w:r>
    </w:p>
    <w:p>
      <w:r>
        <w:rPr>
          <w:i w:val="0"/>
        </w:rPr>
        <w:t>A 2025 review led by Niklas Boers, with Teng Liu, Sebastian Bathiany, Maya Ben-Yami, Lana L. Blaschke, Nils Bochow, Chris A. Boulton, Timothy M. Lenton, Andreas Morr, Da Nian, Martin Rypdal and Taylor Smith, assembled the observation-based evidence that four tipping elements have lost stability in recent decades: the Greenland Ice Sheet, the AMOC, the Amazon rainforest and the South American monsoon system. It also assessed, element by element, what critical-slowing-down indicators can and cannot establish, including a hazard specific to a coupled planet: oceanic and atmospheric coupling between elements can generate spurious signals in one element or mask genuine destabilization in another. For Greenland the underlying case had been made by Niklas Boers and Martin Rypdal, who found critical slowing down in melt-rate and ice-core records from the central-western sector and argued that it is close to a tipping point associated with the melt-elevation feedback, a feedback whose physical basis, unlike a generic fold, is independently specifiable.</w:t>
      </w:r>
    </w:p>
    <w:p>
      <w:r>
        <w:rPr>
          <w:i w:val="0"/>
        </w:rPr>
        <w:t>Meanwhile the framework has entered policy. The Global Tipping Points Report, led by Timothy M. Lenton at the University of Exeter's Global Systems Institute with 160 authors from 87 institutions across 23 countries, appeared first in 2023 and in a second edition in 2025. The 2025 edition states that warm-water coral reefs are already crossing a tipping point at roughly 1.4 °C of warming, that parts of the polar ice sheets may have passed thresholds that would eventually commit the world to several metres of irreversible sea-level rise, and that the Amazon and the AMOC are both at risk below 2 °C.</w:t>
      </w:r>
    </w:p>
    <w:p>
      <w:r>
        <w:rPr>
          <w:i w:val="0"/>
        </w:rPr>
        <w:t>Between the derivation in the second section and those statements lies a chain of inferences, each defensible and none free. A fold in a normal form becomes a fold in an Earth system component; the component becomes a scalar proxy; the proxy becomes a filtered residual series; the residual series becomes an eigenvalue estimate; a sequence of eigenvalue estimates becomes a ramp; the ramp becomes a year. AUTO-07P will produce a fold on demand, and a network trained on half a million of them will find folds. What no one has yet built is the test that a single century-long observational record would have to fail if the Atlantic were not approaching one.</w:t>
      </w:r>
    </w:p>
    <w:p>
      <w:r>
        <w:rPr>
          <w:i w:val="0"/>
        </w:rPr>
        <w:t xml:space="preserve">Such a test is at least writable. The fold does not merely predict that variance and autocorrelation both rise; it predicts that they rise in a fixed proportion, because both are readings of one eigenvalue. The stationary variance is </w:t>
      </w:r>
      <m:oMath>
        <m:sSup>
          <m:e>
            <m:r>
              <m:t>σ</m:t>
            </m:r>
          </m:e>
          <m:sup>
            <m:r>
              <m:t>2</m:t>
            </m:r>
          </m:sup>
        </m:sSup>
        <m:r>
          <m:t>/2|λ|</m:t>
        </m:r>
      </m:oMath>
      <w:r>
        <w:rPr>
          <w:i w:val="0"/>
        </w:rPr>
        <w:t xml:space="preserve"> and the relaxation time is </w:t>
      </w:r>
      <m:oMath>
        <m:r>
          <m:t>1/|λ|</m:t>
        </m:r>
      </m:oMath>
      <w:r>
        <w:rPr>
          <w:i w:val="0"/>
        </w:rPr>
        <w:t xml:space="preserve">, so their ratio is an estimate of </w:t>
      </w:r>
      <m:oMath>
        <m:f>
          <m:fPr>
            <m:type m:val="lin"/>
          </m:fPr>
          <m:num>
            <m:sSup>
              <m:e>
                <m:r>
                  <m:t>σ</m:t>
                </m:r>
              </m:e>
              <m:sup>
                <m:r>
                  <m:t>2</m:t>
                </m:r>
              </m:sup>
            </m:sSup>
          </m:num>
          <m:den>
            <m:r>
              <m:t>2</m:t>
            </m:r>
          </m:den>
        </m:f>
      </m:oMath>
      <w:r>
        <w:rPr>
          <w:i w:val="0"/>
        </w:rPr>
        <w:t>, a quantity that under the fold model with constant noise must hold steady along the whole record while variance and relaxation time both diverge. An observational network that thickens through the twentieth century raises the variance of a spatial average without touching the eigenvalue, and drives the ratio up. A smoother that leaves low-frequency power in the residuals inflates both quantities, but nothing obliges it to inflate them in the one proportion the fold requires. Demanding that proportionality is sharper than running a Kendall rank test on each series separately and observing that both trend upward, which is what the standard procedure does. What the proportionality would not settle is the rate-induced case, where the linearization around the tracked state is unchanged and both indicators stay flat while the state falls further behind an equilibrium that never ceases to exist. That case is invisible in the residuals by construction and would have to be caught in the mean, as a widening gap between the observed state and the state the present forcing would support. Whether a century of monthly temperatures, once detrended and cut into overlapping windows, holds enough independent information to run such a test with any power at all is a question that has not been put.</w:t>
      </w:r>
    </w:p>
    <w:p>
      <w:pPr>
        <w:pStyle w:val="Heading1"/>
      </w:pPr>
      <w:r>
        <w:t>References</w:t>
      </w:r>
    </w:p>
    <w:p>
      <w:pPr>
        <w:spacing w:before="120" w:after="0"/>
        <w:ind w:firstLine="0"/>
      </w:pPr>
      <w:r>
        <w:rPr>
          <w:i w:val="0"/>
        </w:rPr>
        <w:t xml:space="preserve">Armstrong McKay, Staal, Abrams, Winkelmann, Sakschewski, Loriani, Fetzer, Cornell, Rockström, Lenton (2022). Science 377(6611), eabn7950. </w:t>
      </w:r>
      <w:hyperlink r:id="rId63">
        <w:r>
          <w:rPr>
            <w:rStyle w:val="Hyperlink"/>
          </w:rPr>
          <w:t xml:space="preserve">https://doi.org/10.1126/science.abn7950</w:t>
        </w:r>
      </w:hyperlink>
    </w:p>
    <w:p>
      <w:pPr>
        <w:spacing w:before="120" w:after="0"/>
        <w:ind w:firstLine="0"/>
      </w:pPr>
      <w:r>
        <w:rPr>
          <w:i w:val="0"/>
        </w:rPr>
        <w:t xml:space="preserve">Ashwin, Wieczorek, Vitolo, Cox (2012). Philosophical Transactions of the Royal Society A 370(1962), 1166-1184. </w:t>
      </w:r>
      <w:hyperlink r:id="rId64">
        <w:r>
          <w:rPr>
            <w:rStyle w:val="Hyperlink"/>
          </w:rPr>
          <w:t xml:space="preserve">https://doi.org/10.1098/rsta.2011.0306</w:t>
        </w:r>
      </w:hyperlink>
    </w:p>
    <w:p>
      <w:pPr>
        <w:spacing w:before="120" w:after="0"/>
        <w:ind w:firstLine="0"/>
      </w:pPr>
      <w:r>
        <w:rPr>
          <w:i w:val="0"/>
        </w:rPr>
        <w:t xml:space="preserve">Baker, Bell, Jackson, Vallis, Watson, Wood (2025). Nature 638(8052), 987-994; Author Correction Nature 641(8062), E2 (10.1038/s41586-025-08977-1). </w:t>
      </w:r>
      <w:hyperlink r:id="rId65">
        <w:r>
          <w:rPr>
            <w:rStyle w:val="Hyperlink"/>
          </w:rPr>
          <w:t xml:space="preserve">https://doi.org/10.1038/s41586-024-08544-0</w:t>
        </w:r>
      </w:hyperlink>
    </w:p>
    <w:p>
      <w:pPr>
        <w:spacing w:before="120" w:after="0"/>
        <w:ind w:firstLine="0"/>
      </w:pPr>
      <w:r>
        <w:rPr>
          <w:i w:val="0"/>
        </w:rPr>
        <w:t xml:space="preserve">Bauch, Anand (2022). Proceedings of the National Academy of Sciences 119(37), e2210407119. </w:t>
      </w:r>
      <w:hyperlink r:id="rId66">
        <w:r>
          <w:rPr>
            <w:rStyle w:val="Hyperlink"/>
          </w:rPr>
          <w:t xml:space="preserve">https://doi.org/10.1073/pnas.2210407119</w:t>
        </w:r>
      </w:hyperlink>
    </w:p>
    <w:p>
      <w:pPr>
        <w:spacing w:before="120" w:after="0"/>
        <w:ind w:firstLine="0"/>
      </w:pPr>
      <w:r>
        <w:rPr>
          <w:i w:val="0"/>
        </w:rPr>
        <w:t xml:space="preserve">Ben-Yami, Morr, Bathiany, Boers (2024). Science Advances 10(31), eadl4841. </w:t>
      </w:r>
      <w:hyperlink r:id="rId67">
        <w:r>
          <w:rPr>
            <w:rStyle w:val="Hyperlink"/>
          </w:rPr>
          <w:t xml:space="preserve">https://doi.org/10.1126/sciadv.adl4841</w:t>
        </w:r>
      </w:hyperlink>
    </w:p>
    <w:p>
      <w:pPr>
        <w:spacing w:before="120" w:after="0"/>
        <w:ind w:firstLine="0"/>
      </w:pPr>
      <w:r>
        <w:rPr>
          <w:i w:val="0"/>
        </w:rPr>
        <w:t xml:space="preserve">Ben-Yami, Skiba, Bathiany, Boers (2023). Nature Communications 14, 8344. </w:t>
      </w:r>
      <w:hyperlink r:id="rId68">
        <w:r>
          <w:rPr>
            <w:rStyle w:val="Hyperlink"/>
          </w:rPr>
          <w:t xml:space="preserve">https://doi.org/10.1038/s41467-023-44046-9</w:t>
        </w:r>
      </w:hyperlink>
    </w:p>
    <w:p>
      <w:pPr>
        <w:spacing w:before="120" w:after="0"/>
        <w:ind w:firstLine="0"/>
      </w:pPr>
      <w:r>
        <w:rPr>
          <w:i w:val="0"/>
        </w:rPr>
        <w:t xml:space="preserve">Boers (2021). Nature Climate Change 11(8), 680-688. </w:t>
      </w:r>
      <w:hyperlink r:id="rId69">
        <w:r>
          <w:rPr>
            <w:rStyle w:val="Hyperlink"/>
          </w:rPr>
          <w:t xml:space="preserve">https://doi.org/10.1038/s41558-021-01097-4</w:t>
        </w:r>
      </w:hyperlink>
    </w:p>
    <w:p>
      <w:pPr>
        <w:spacing w:before="120" w:after="0"/>
        <w:ind w:firstLine="0"/>
      </w:pPr>
      <w:r>
        <w:rPr>
          <w:i w:val="0"/>
        </w:rPr>
        <w:t xml:space="preserve">Boers (2024). Nature Climate Change 14(1), 43-47. </w:t>
      </w:r>
      <w:hyperlink r:id="rId70">
        <w:r>
          <w:rPr>
            <w:rStyle w:val="Hyperlink"/>
          </w:rPr>
          <w:t xml:space="preserve">https://doi.org/10.1038/s41558-023-01878-z</w:t>
        </w:r>
      </w:hyperlink>
    </w:p>
    <w:p>
      <w:pPr>
        <w:spacing w:before="120" w:after="0"/>
        <w:ind w:firstLine="0"/>
      </w:pPr>
      <w:r>
        <w:rPr>
          <w:i w:val="0"/>
        </w:rPr>
        <w:t xml:space="preserve">Boers, Liu, Bathiany, Ben-Yami, Blaschke, Bochow, Boulton, Lenton, Morr, Nian, Rypdal, Smith (2025). Destabilization of Earth system tipping elements. Nature Geoscience 18(10), 949-960. </w:t>
      </w:r>
      <w:hyperlink r:id="rId71">
        <w:r>
          <w:rPr>
            <w:rStyle w:val="Hyperlink"/>
          </w:rPr>
          <w:t xml:space="preserve">https://doi.org/10.1038/s41561-025-01787-0</w:t>
        </w:r>
      </w:hyperlink>
    </w:p>
    <w:p>
      <w:pPr>
        <w:spacing w:before="120" w:after="0"/>
        <w:ind w:firstLine="0"/>
      </w:pPr>
      <w:r>
        <w:rPr>
          <w:i w:val="0"/>
        </w:rPr>
        <w:t xml:space="preserve">Boers, Rypdal (2021). Proceedings of the National Academy of Sciences 118(21), e2024192118. </w:t>
      </w:r>
      <w:hyperlink r:id="rId72">
        <w:r>
          <w:rPr>
            <w:rStyle w:val="Hyperlink"/>
          </w:rPr>
          <w:t xml:space="preserve">https://doi.org/10.1073/pnas.2024192118</w:t>
        </w:r>
      </w:hyperlink>
    </w:p>
    <w:p>
      <w:pPr>
        <w:spacing w:before="120" w:after="0"/>
        <w:ind w:firstLine="0"/>
      </w:pPr>
      <w:r>
        <w:rPr>
          <w:i w:val="0"/>
        </w:rPr>
        <w:t xml:space="preserve">Boettiger, Hastings (2013). Proceedings of the Royal Society B 280(1766), 20131372. </w:t>
      </w:r>
      <w:hyperlink r:id="rId73">
        <w:r>
          <w:rPr>
            <w:rStyle w:val="Hyperlink"/>
          </w:rPr>
          <w:t xml:space="preserve">https://doi.org/10.1098/rspb.2013.1372</w:t>
        </w:r>
      </w:hyperlink>
    </w:p>
    <w:p>
      <w:pPr>
        <w:spacing w:before="120" w:after="0"/>
        <w:ind w:firstLine="0"/>
      </w:pPr>
      <w:r>
        <w:rPr>
          <w:i w:val="0"/>
        </w:rPr>
        <w:t xml:space="preserve">Bury, Sujith, Pavithran, Scheffer, Lenton, Anand, Bauch (2021). Proceedings of the National Academy of Sciences 118(39), e2106140118. </w:t>
      </w:r>
      <w:hyperlink r:id="rId74">
        <w:r>
          <w:rPr>
            <w:rStyle w:val="Hyperlink"/>
          </w:rPr>
          <w:t xml:space="preserve">https://doi.org/10.1073/pnas.2106140118</w:t>
        </w:r>
      </w:hyperlink>
    </w:p>
    <w:p>
      <w:pPr>
        <w:spacing w:before="120" w:after="0"/>
        <w:ind w:firstLine="0"/>
      </w:pPr>
      <w:r>
        <w:rPr>
          <w:i w:val="0"/>
        </w:rPr>
        <w:t xml:space="preserve">Carpenter, Cole, Pace, Batt, Brock, Cline, Coloso, Hodgson, Kitchell, Seekell, Smith, Weidel (2011). Science 332(6033), 1079-1082. </w:t>
      </w:r>
      <w:hyperlink r:id="rId75">
        <w:r>
          <w:rPr>
            <w:rStyle w:val="Hyperlink"/>
          </w:rPr>
          <w:t xml:space="preserve">https://doi.org/10.1126/science.1203672</w:t>
        </w:r>
      </w:hyperlink>
    </w:p>
    <w:p>
      <w:pPr>
        <w:spacing w:before="120" w:after="0"/>
        <w:ind w:firstLine="0"/>
      </w:pPr>
      <w:r>
        <w:rPr>
          <w:i w:val="0"/>
        </w:rPr>
        <w:t xml:space="preserve">Chen, Tung (2024). Evidence lacking for a pending collapse of the Atlantic Meridional Overturning Circulation. Nature Climate Change 14(1), 40-42 (published online 30 November 2023). </w:t>
      </w:r>
      <w:hyperlink r:id="rId76">
        <w:r>
          <w:rPr>
            <w:rStyle w:val="Hyperlink"/>
          </w:rPr>
          <w:t xml:space="preserve">https://doi.org/10.1038/s41558-023-01877-0</w:t>
        </w:r>
      </w:hyperlink>
    </w:p>
    <w:p>
      <w:pPr>
        <w:spacing w:before="120" w:after="0"/>
        <w:ind w:firstLine="0"/>
      </w:pPr>
      <w:r>
        <w:rPr>
          <w:i w:val="0"/>
        </w:rPr>
        <w:t xml:space="preserve">Dablander, Bury (2022). Deep learning for tipping points: Preprocessing matters. Proceedings of the National Academy of Sciences 119(37), e2207720119. </w:t>
      </w:r>
      <w:hyperlink r:id="rId77">
        <w:r>
          <w:rPr>
            <w:rStyle w:val="Hyperlink"/>
          </w:rPr>
          <w:t xml:space="preserve">https://doi.org/10.1073/pnas.2207720119</w:t>
        </w:r>
      </w:hyperlink>
    </w:p>
    <w:p>
      <w:pPr>
        <w:spacing w:before="120" w:after="0"/>
        <w:ind w:firstLine="0"/>
      </w:pPr>
      <w:r>
        <w:rPr>
          <w:i w:val="0"/>
        </w:rPr>
        <w:t xml:space="preserve">Dakos, Scheffer, van Nes, Brovkin, Petoukhov, Held (2008). Proceedings of the National Academy of Sciences 105(38), 14308-14312. </w:t>
      </w:r>
      <w:hyperlink r:id="rId78">
        <w:r>
          <w:rPr>
            <w:rStyle w:val="Hyperlink"/>
          </w:rPr>
          <w:t xml:space="preserve">https://doi.org/10.1073/pnas.0802430105</w:t>
        </w:r>
      </w:hyperlink>
    </w:p>
    <w:p>
      <w:pPr>
        <w:spacing w:before="120" w:after="0"/>
        <w:ind w:firstLine="0"/>
      </w:pPr>
      <w:r>
        <w:rPr>
          <w:i w:val="0"/>
        </w:rPr>
        <w:t xml:space="preserve">Ditlevsen, Ditlevsen (2023). Nature Communications 14, 4254. </w:t>
      </w:r>
      <w:hyperlink r:id="rId79">
        <w:r>
          <w:rPr>
            <w:rStyle w:val="Hyperlink"/>
          </w:rPr>
          <w:t xml:space="preserve">https://doi.org/10.1038/s41467-023-39810-w</w:t>
        </w:r>
      </w:hyperlink>
    </w:p>
    <w:p>
      <w:pPr>
        <w:spacing w:before="120" w:after="0"/>
        <w:ind w:firstLine="0"/>
      </w:pPr>
      <w:r>
        <w:rPr>
          <w:i w:val="0"/>
        </w:rPr>
        <w:t xml:space="preserve">Ditlevsen, Ditlevsen (2025). Nature Communications 16, 7794 (Author Correction to Nat. Commun. 14, 4254). </w:t>
      </w:r>
      <w:hyperlink r:id="rId80">
        <w:r>
          <w:rPr>
            <w:rStyle w:val="Hyperlink"/>
          </w:rPr>
          <w:t xml:space="preserve">https://doi.org/10.1038/s41467-025-63201-y</w:t>
        </w:r>
      </w:hyperlink>
    </w:p>
    <w:p>
      <w:pPr>
        <w:spacing w:before="120" w:after="0"/>
        <w:ind w:firstLine="0"/>
      </w:pPr>
      <w:r>
        <w:rPr>
          <w:i w:val="0"/>
        </w:rPr>
        <w:t xml:space="preserve">Ditlevsen, Johnsen (2010). Tipping points: Early warning and wishful thinking. Geophysical Research Letters 37(19), L19703. </w:t>
      </w:r>
      <w:hyperlink r:id="rId81">
        <w:r>
          <w:rPr>
            <w:rStyle w:val="Hyperlink"/>
          </w:rPr>
          <w:t xml:space="preserve">https://doi.org/10.1029/2010GL044486</w:t>
        </w:r>
      </w:hyperlink>
    </w:p>
    <w:p>
      <w:pPr>
        <w:spacing w:before="120" w:after="0"/>
        <w:ind w:firstLine="0"/>
      </w:pPr>
      <w:r>
        <w:rPr>
          <w:i w:val="0"/>
        </w:rPr>
        <w:t xml:space="preserve">Hastings, Wysham (2010). Regime shifts in ecological systems can occur with no warning. Ecology Letters 13(4), 464-472. </w:t>
      </w:r>
      <w:hyperlink r:id="rId82">
        <w:r>
          <w:rPr>
            <w:rStyle w:val="Hyperlink"/>
          </w:rPr>
          <w:t xml:space="preserve">https://doi.org/10.1111/j.1461-0248.2010.01439.x</w:t>
        </w:r>
      </w:hyperlink>
    </w:p>
    <w:p>
      <w:pPr>
        <w:spacing w:before="120" w:after="0"/>
        <w:ind w:firstLine="0"/>
      </w:pPr>
      <w:r>
        <w:rPr>
          <w:i w:val="0"/>
        </w:rPr>
        <w:t xml:space="preserve">Lenton (2025). Global Tipping Points Report 2025, University of Exeter (second edition; first edition 2023). </w:t>
      </w:r>
      <w:hyperlink r:id="rId83">
        <w:r>
          <w:rPr>
            <w:rStyle w:val="Hyperlink"/>
          </w:rPr>
          <w:t xml:space="preserve">https://global-tipping-points.org/</w:t>
        </w:r>
      </w:hyperlink>
    </w:p>
    <w:p>
      <w:pPr>
        <w:spacing w:before="120" w:after="0"/>
        <w:ind w:firstLine="0"/>
      </w:pPr>
      <w:r>
        <w:rPr>
          <w:i w:val="0"/>
        </w:rPr>
        <w:t xml:space="preserve">Lenton, Held, Kriegler, Hall, Lucht, Rahmstorf, Schellnhuber (2008). Proceedings of the National Academy of Sciences 105(6), 1786-1793. </w:t>
      </w:r>
      <w:hyperlink r:id="rId84">
        <w:r>
          <w:rPr>
            <w:rStyle w:val="Hyperlink"/>
          </w:rPr>
          <w:t xml:space="preserve">https://doi.org/10.1073/pnas.0705414105</w:t>
        </w:r>
      </w:hyperlink>
    </w:p>
    <w:p>
      <w:pPr>
        <w:spacing w:before="120" w:after="0"/>
        <w:ind w:firstLine="0"/>
      </w:pPr>
      <w:r>
        <w:rPr>
          <w:i w:val="0"/>
        </w:rPr>
        <w:t xml:space="preserve">Rahmstorf (2024). Oceanography 37(3), 16-29. </w:t>
      </w:r>
      <w:hyperlink r:id="rId85">
        <w:r>
          <w:rPr>
            <w:rStyle w:val="Hyperlink"/>
          </w:rPr>
          <w:t xml:space="preserve">https://doi.org/10.5670/oceanog.2024.501</w:t>
        </w:r>
      </w:hyperlink>
    </w:p>
    <w:p>
      <w:pPr>
        <w:spacing w:before="120" w:after="0"/>
        <w:ind w:firstLine="0"/>
      </w:pPr>
      <w:r>
        <w:rPr>
          <w:i w:val="0"/>
        </w:rPr>
        <w:t xml:space="preserve">Scheffer, Bascompte, Brock, Brovkin, Carpenter, Dakos, Held, van Nes, Rietkerk, Sugihara (2009). Nature 461(7260), 53-59. </w:t>
      </w:r>
      <w:hyperlink r:id="rId86">
        <w:r>
          <w:rPr>
            <w:rStyle w:val="Hyperlink"/>
          </w:rPr>
          <w:t xml:space="preserve">https://doi.org/10.1038/nature08227</w:t>
        </w:r>
      </w:hyperlink>
    </w:p>
    <w:p>
      <w:pPr>
        <w:spacing w:before="120" w:after="0"/>
        <w:ind w:firstLine="0"/>
      </w:pPr>
      <w:r>
        <w:rPr>
          <w:i w:val="0"/>
        </w:rPr>
        <w:t xml:space="preserve">van Westen, Kliphuis, Dijkstra (2024). Science Advances 10(6), eadk1189. </w:t>
      </w:r>
      <w:hyperlink r:id="rId87">
        <w:r>
          <w:rPr>
            <w:rStyle w:val="Hyperlink"/>
          </w:rPr>
          <w:t xml:space="preserve">https://doi.org/10.1126/sciadv.adk1189</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26/science.abn7950" TargetMode="External"/><Relationship Id="rId64" Type="http://schemas.openxmlformats.org/officeDocument/2006/relationships/hyperlink" Target="https://doi.org/10.1098/rsta.2011.0306" TargetMode="External"/><Relationship Id="rId65" Type="http://schemas.openxmlformats.org/officeDocument/2006/relationships/hyperlink" Target="https://doi.org/10.1038/s41586-024-08544-0" TargetMode="External"/><Relationship Id="rId66" Type="http://schemas.openxmlformats.org/officeDocument/2006/relationships/hyperlink" Target="https://doi.org/10.1073/pnas.2210407119" TargetMode="External"/><Relationship Id="rId67" Type="http://schemas.openxmlformats.org/officeDocument/2006/relationships/hyperlink" Target="https://doi.org/10.1126/sciadv.adl4841" TargetMode="External"/><Relationship Id="rId68" Type="http://schemas.openxmlformats.org/officeDocument/2006/relationships/hyperlink" Target="https://doi.org/10.1038/s41467-023-44046-9" TargetMode="External"/><Relationship Id="rId69" Type="http://schemas.openxmlformats.org/officeDocument/2006/relationships/hyperlink" Target="https://doi.org/10.1038/s41558-021-01097-4" TargetMode="External"/><Relationship Id="rId70" Type="http://schemas.openxmlformats.org/officeDocument/2006/relationships/hyperlink" Target="https://doi.org/10.1038/s41558-023-01878-z" TargetMode="External"/><Relationship Id="rId71" Type="http://schemas.openxmlformats.org/officeDocument/2006/relationships/hyperlink" Target="https://doi.org/10.1038/s41561-025-01787-0" TargetMode="External"/><Relationship Id="rId72" Type="http://schemas.openxmlformats.org/officeDocument/2006/relationships/hyperlink" Target="https://doi.org/10.1073/pnas.2024192118" TargetMode="External"/><Relationship Id="rId73" Type="http://schemas.openxmlformats.org/officeDocument/2006/relationships/hyperlink" Target="https://doi.org/10.1098/rspb.2013.1372" TargetMode="External"/><Relationship Id="rId74" Type="http://schemas.openxmlformats.org/officeDocument/2006/relationships/hyperlink" Target="https://doi.org/10.1073/pnas.2106140118" TargetMode="External"/><Relationship Id="rId75" Type="http://schemas.openxmlformats.org/officeDocument/2006/relationships/hyperlink" Target="https://doi.org/10.1126/science.1203672" TargetMode="External"/><Relationship Id="rId76" Type="http://schemas.openxmlformats.org/officeDocument/2006/relationships/hyperlink" Target="https://doi.org/10.1038/s41558-023-01877-0" TargetMode="External"/><Relationship Id="rId77" Type="http://schemas.openxmlformats.org/officeDocument/2006/relationships/hyperlink" Target="https://doi.org/10.1073/pnas.2207720119" TargetMode="External"/><Relationship Id="rId78" Type="http://schemas.openxmlformats.org/officeDocument/2006/relationships/hyperlink" Target="https://doi.org/10.1073/pnas.0802430105" TargetMode="External"/><Relationship Id="rId79" Type="http://schemas.openxmlformats.org/officeDocument/2006/relationships/hyperlink" Target="https://doi.org/10.1038/s41467-023-39810-w" TargetMode="External"/><Relationship Id="rId80" Type="http://schemas.openxmlformats.org/officeDocument/2006/relationships/hyperlink" Target="https://doi.org/10.1038/s41467-025-63201-y" TargetMode="External"/><Relationship Id="rId81" Type="http://schemas.openxmlformats.org/officeDocument/2006/relationships/hyperlink" Target="https://doi.org/10.1029/2010GL044486" TargetMode="External"/><Relationship Id="rId82" Type="http://schemas.openxmlformats.org/officeDocument/2006/relationships/hyperlink" Target="https://doi.org/10.1111/j.1461-0248.2010.01439.x" TargetMode="External"/><Relationship Id="rId83" Type="http://schemas.openxmlformats.org/officeDocument/2006/relationships/hyperlink" Target="https://global-tipping-points.org/" TargetMode="External"/><Relationship Id="rId84" Type="http://schemas.openxmlformats.org/officeDocument/2006/relationships/hyperlink" Target="https://doi.org/10.1073/pnas.0705414105" TargetMode="External"/><Relationship Id="rId85" Type="http://schemas.openxmlformats.org/officeDocument/2006/relationships/hyperlink" Target="https://doi.org/10.5670/oceanog.2024.501" TargetMode="External"/><Relationship Id="rId86" Type="http://schemas.openxmlformats.org/officeDocument/2006/relationships/hyperlink" Target="https://doi.org/10.1038/nature08227" TargetMode="External"/><Relationship Id="rId87" Type="http://schemas.openxmlformats.org/officeDocument/2006/relationships/hyperlink" Target="https://doi.org/10.1126/sciadv.adk1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