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media/image2.svg" ContentType="image/svg+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Heading1"/>
      </w:pPr>
      <w:r>
        <w:t>Chapter 20</w:t>
      </w:r>
    </w:p>
    <w:p>
      <w:pPr>
        <w:pStyle w:val="Heading1"/>
      </w:pPr>
      <w:r>
        <w:t>Grokking, Emergence, and What the Word Transition Is Doing</w:t>
      </w:r>
    </w:p>
    <w:p>
      <w:r>
        <w:rPr>
          <w:i w:val="0"/>
        </w:rPr>
        <w:t xml:space="preserve">Train a fully connected network on </w:t>
      </w:r>
      <m:oMath>
        <m:r>
          <m:t>P</m:t>
        </m:r>
      </m:oMath>
      <w:r>
        <w:rPr>
          <w:i w:val="0"/>
        </w:rPr>
        <w:t xml:space="preserve"> examples whose labels have been shuffled at random, and one of two things happens. Either the training loss reaches zero or it does not, and which one you get is controlled by the number of parameters </w:t>
      </w:r>
      <m:oMath>
        <m:r>
          <m:t>N</m:t>
        </m:r>
      </m:oMath>
      <w:r>
        <w:rPr>
          <w:i w:val="0"/>
        </w:rPr>
        <w:t>: below a threshold count the network cannot fit the data however long it is trained; above it, the loss goes to zero and stays. That threshold has been proposed to be not a quirk of optimization but a jamming transition, the one by which repulsive particles form a disordered solid as density increases, with critical behaviour in the Hessian spectrum nearby. The proposal comes from a preprint of September 2018 by Mario Geiger, Stefano Spigler, Stéphane d'Ascoli, Levent Sagun, Marco Baity-Jesi, Giulio Biroli and Matthieu Wyart.</w:t>
      </w:r>
    </w:p>
    <w:p>
      <w:r>
        <w:rPr>
          <w:i w:val="0"/>
        </w:rPr>
        <w:t>That claim is the strongest form of the argument this book has been making, and where it is easiest to abuse. Four phenomena in deep learning have been called transitions: the jamming boundary between the underparametrized and overparametrized regimes, double descent in test error, grokking, in which a network memorizes for thousands of steps and then abruptly generalizes, and the sudden acquisition of abilities by large language models at scale. Judged in that order against the criterion of Chapter 1, the verdicts run as follows. The first passes half the test, with a control parameter, a countable order parameter and measured exponents, and nothing yet playing the part of system size. The second turns out to be two claims wearing one name, and they part company under the test: the cusp sitting at the jamming point is a property of the optimizer's trajectory, since a stopping rule deletes it, while the peak measured at the interpolation threshold under cross-entropy is a different object on which the test has simply never been run. The third cannot be tested at all, because its control parameter is time. The fourth, as currently measured, is a property of the scoring rule rather than of the model.</w:t>
      </w:r>
    </w:p>
    <w:p>
      <w:pPr>
        <w:pStyle w:val="BookSection"/>
      </w:pPr>
      <w:r>
        <w:t>The counting argument</w:t>
      </w:r>
    </w:p>
    <w:p>
      <w:r>
        <w:rPr>
          <w:i w:val="0"/>
        </w:rPr>
        <w:t>Start with the case that goes furthest, and the physics it borrows. Andrea J. Liu and Sidney R. Nagel proposed in 1998 that granular materials, foams, emulsions and supercooled liquids sit on a single phase diagram with axes of temperature, applied load and inverse density, making thermal glass formation and athermal granular jamming one transition seen along different axes. Corey S. O'Hern, Leonardo E. Silbert, Liu and Nagel then located its athermal corner. For frictionless spheres with finite-range repulsion at zero temperature and zero stress, each configuration jams at its own threshold packing fraction, and the distribution of thresholds narrows with system size, converging on random close packing. That point, called point J, behaves like a critical point, with power-law scaling of contact number, pressure and elastic moduli.</w:t>
      </w:r>
    </w:p>
    <w:p>
      <w:r>
        <w:rPr>
          <w:i w:val="0"/>
        </w:rPr>
        <w:t xml:space="preserve">What makes point J tractable is a counting argument that predates all of this. A packing of </w:t>
      </w:r>
      <m:oMath>
        <m:r>
          <m:t>M</m:t>
        </m:r>
      </m:oMath>
      <w:r>
        <w:rPr>
          <w:i w:val="0"/>
        </w:rPr>
        <w:t xml:space="preserve"> spheres in </w:t>
      </w:r>
      <m:oMath>
        <m:r>
          <m:t>d</m:t>
        </m:r>
      </m:oMath>
      <w:r>
        <w:rPr>
          <w:i w:val="0"/>
        </w:rPr>
        <w:t xml:space="preserve"> dimensions has </w:t>
      </w:r>
      <m:oMath>
        <m:r>
          <m:t>Md</m:t>
        </m:r>
      </m:oMath>
      <w:r>
        <w:rPr>
          <w:i w:val="0"/>
        </w:rPr>
        <w:t xml:space="preserve"> positional degrees of freedom and </w:t>
      </w:r>
      <m:oMath>
        <m:r>
          <m:t>Mz/2</m:t>
        </m:r>
      </m:oMath>
      <w:r>
        <w:rPr>
          <w:i w:val="0"/>
        </w:rPr>
        <w:t xml:space="preserve"> contacts, where </w:t>
      </w:r>
      <m:oMath>
        <m:r>
          <m:t>z</m:t>
        </m:r>
      </m:oMath>
      <w:r>
        <w:rPr>
          <w:i w:val="0"/>
        </w:rPr>
        <w:t xml:space="preserve"> is the mean contact number. Rigidity requires at least as many constraints as degrees of freedom, so</w:t>
      </w:r>
    </w:p>
    <w:p>
      <w:pPr>
        <w:spacing w:before="200" w:after="200"/>
        <w:ind w:firstLine="0"/>
        <w:jc w:val="center"/>
        <w:contextualSpacing w:val="0"/>
      </w:pPr>
      <m:oMath>
        <m:f>
          <m:fPr>
            <m:type m:val="bar"/>
          </m:fPr>
          <m:num>
            <m:r>
              <m:t>Mz</m:t>
            </m:r>
          </m:num>
          <m:den>
            <m:r>
              <m:t>2</m:t>
            </m:r>
          </m:den>
        </m:f>
        <m:r>
          <m:t>≥Md,</m:t>
        </m:r>
        <m:r>
          <m:t>z≥</m:t>
        </m:r>
        <m:sSub>
          <m:e>
            <m:r>
              <m:t>z</m:t>
            </m:r>
          </m:e>
          <m:sub>
            <m:r>
              <m:rPr>
                <m:sty m:val="p"/>
              </m:rPr>
              <m:t>iso</m:t>
            </m:r>
          </m:sub>
        </m:sSub>
        <m:r>
          <m:t>=2d.</m:t>
        </m:r>
      </m:oMath>
    </w:p>
    <w:p>
      <w:r>
        <w:rPr>
          <w:i w:val="0"/>
        </w:rPr>
        <w:t xml:space="preserve">This is the Maxwell counting argument, and the marginal case </w:t>
      </w:r>
      <m:oMath>
        <m:r>
          <m:t>z=</m:t>
        </m:r>
        <m:sSub>
          <m:e>
            <m:r>
              <m:t>z</m:t>
            </m:r>
          </m:e>
          <m:sub>
            <m:r>
              <m:rPr>
                <m:sty m:val="p"/>
              </m:rPr>
              <m:t>iso</m:t>
            </m:r>
          </m:sub>
        </m:sSub>
      </m:oMath>
      <w:r>
        <w:rPr>
          <w:i w:val="0"/>
        </w:rPr>
        <w:t xml:space="preserve"> is called isostaticity. Liu and Nagel's later review makes the consequence explicit: the marginally jammed solid is rigid, but its vibrational and elastic properties are anomalous rather than ordinary, because it has exactly enough contacts to be rigid and not one more. That leaves it with excess low-frequency modes, diverging length scales and a response to deformation that is non-affine rather than uniform. What collapses at the threshold is not rigidity as such. The packing still resists compression there; what it stops resisting is shear.</w:t>
      </w:r>
    </w:p>
    <w:p>
      <w:r>
        <w:rPr>
          <w:i w:val="0"/>
        </w:rPr>
        <w:t xml:space="preserve">Geiger and colleagues frame the analogy through the energy landscape of repulsive ellipses. What makes it more than imagery is that the same counting can be carried out on the network. Suppose the loss charges nothing for a datum whose output margin clears a threshold and a penalty otherwise, as a hinge loss does. Each datum is then either satisfied, costing and constraining nothing, or unsatisfied, pinning a direction in parameter space as an overlapping pair of particles pins one in configuration space. Write </w:t>
      </w:r>
      <m:oMath>
        <m:sSub>
          <m:e>
            <m:r>
              <m:t>N</m:t>
            </m:r>
          </m:e>
          <m:sub>
            <m:r>
              <m:t>Δ</m:t>
            </m:r>
          </m:sub>
        </m:sSub>
      </m:oMath>
      <w:r>
        <w:rPr>
          <w:i w:val="0"/>
        </w:rPr>
        <w:t xml:space="preserve"> for the number of unsatisfied data at a minimum of the loss. The Hessian there has two parts: a positive one assembled from one outer product of gradients per unsatisfied datum, and a second proportional to the residuals, which carries no definite sign. The first has rank at most </w:t>
      </w:r>
      <m:oMath>
        <m:sSub>
          <m:e>
            <m:r>
              <m:t>N</m:t>
            </m:r>
          </m:e>
          <m:sub>
            <m:r>
              <m:t>Δ</m:t>
            </m:r>
          </m:sub>
        </m:sSub>
      </m:oMath>
      <w:r>
        <w:rPr>
          <w:i w:val="0"/>
        </w:rPr>
        <w:t xml:space="preserve">. If </w:t>
      </w:r>
      <m:oMath>
        <m:sSub>
          <m:e>
            <m:r>
              <m:t>N</m:t>
            </m:r>
          </m:e>
          <m:sub>
            <m:r>
              <m:t>Δ</m:t>
            </m:r>
          </m:sub>
        </m:sSub>
      </m:oMath>
      <w:r>
        <w:rPr>
          <w:i w:val="0"/>
        </w:rPr>
        <w:t xml:space="preserve"> were smaller than </w:t>
      </w:r>
      <m:oMath>
        <m:r>
          <m:t>N</m:t>
        </m:r>
      </m:oMath>
      <w:r>
        <w:rPr>
          <w:i w:val="0"/>
        </w:rPr>
        <w:t xml:space="preserve"> there would be whole directions along which it vanishes and only the indefinite part survives, so the configuration is not a stable minimum and the dynamics leave it along one of those directions. Where the flow then settles is not fixed by the count, but whatever it settles into faces the same test again. Every stable minimum therefore either has zero loss or satisfies</w:t>
      </w:r>
    </w:p>
    <w:p>
      <w:pPr>
        <w:spacing w:before="200" w:after="200"/>
        <w:ind w:firstLine="0"/>
        <w:jc w:val="center"/>
        <w:contextualSpacing w:val="0"/>
      </w:pPr>
      <m:oMath>
        <m:sSub>
          <m:e>
            <m:r>
              <m:t>N</m:t>
            </m:r>
          </m:e>
          <m:sub>
            <m:r>
              <m:t>Δ</m:t>
            </m:r>
          </m:sub>
        </m:sSub>
        <m:r>
          <m:t>≥N,</m:t>
        </m:r>
      </m:oMath>
    </w:p>
    <w:p>
      <w:r>
        <w:rPr>
          <w:i w:val="0"/>
        </w:rPr>
        <w:t xml:space="preserve">which is the Maxwell inequality with the unsatisfied data playing the contacts and the parameters playing the degrees of freedom. The boundary </w:t>
      </w:r>
      <m:oMath>
        <m:sSup>
          <m:e>
            <m:r>
              <m:t>N</m:t>
            </m:r>
          </m:e>
          <m:sup>
            <m:r>
              <m:t>*</m:t>
            </m:r>
          </m:sup>
        </m:sSup>
      </m:oMath>
      <w:r>
        <w:rPr>
          <w:i w:val="0"/>
        </w:rPr>
        <w:t xml:space="preserve"> is the marginal case </w:t>
      </w:r>
      <m:oMath>
        <m:sSub>
          <m:e>
            <m:r>
              <m:t>N</m:t>
            </m:r>
          </m:e>
          <m:sub>
            <m:r>
              <m:t>Δ</m:t>
            </m:r>
          </m:sub>
        </m:sSub>
        <m:r>
          <m:t>=N</m:t>
        </m:r>
      </m:oMath>
      <w:r>
        <w:rPr>
          <w:i w:val="0"/>
        </w:rPr>
        <w:t>, the isostatic point of the network.</w:t>
      </w:r>
    </w:p>
    <w:p>
      <w:r>
        <w:rPr>
          <w:i w:val="0"/>
        </w:rPr>
        <w:t xml:space="preserve">The direction of the correspondence has to be stated carefully, because it inverts. In a packing the degrees of freedom are fixed by the number of spheres and the contacts are what compression buys, so raising the packing fraction drives the system across the inequality and into rigidity. In a network the constraints available are fixed by the training set and the degrees of freedom are what parameters buy, so the same inequality is crossed from the other side. Below </w:t>
      </w:r>
      <m:oMath>
        <m:sSup>
          <m:e>
            <m:r>
              <m:t>N</m:t>
            </m:r>
          </m:e>
          <m:sup>
            <m:r>
              <m:t>*</m:t>
            </m:r>
          </m:sup>
        </m:sSup>
      </m:oMath>
      <w:r>
        <w:rPr>
          <w:i w:val="0"/>
        </w:rPr>
        <w:t xml:space="preserve">, minima carry constraints in excess of degrees of freedom exactly as a compressed packing carries contacts in excess of isostatic, and that surplus thins as </w:t>
      </w:r>
      <m:oMath>
        <m:r>
          <m:t>N</m:t>
        </m:r>
      </m:oMath>
      <w:r>
        <w:rPr>
          <w:i w:val="0"/>
        </w:rPr>
        <w:t xml:space="preserve"> rises until it runs out and zero training loss becomes attainable. Raising the packing fraction jams a packing; raising the parameter count unjams a network. It is </w:t>
      </w:r>
      <m:oMath>
        <m:f>
          <m:fPr>
            <m:type m:val="lin"/>
          </m:fPr>
          <m:num>
            <m:r>
              <m:t>1</m:t>
            </m:r>
          </m:num>
          <m:den>
            <m:r>
              <m:t>N</m:t>
            </m:r>
          </m:den>
        </m:f>
      </m:oMath>
      <w:r>
        <w:rPr>
          <w:i w:val="0"/>
        </w:rPr>
        <w:t xml:space="preserve"> and not </w:t>
      </w:r>
      <m:oMath>
        <m:r>
          <m:t>N</m:t>
        </m:r>
      </m:oMath>
      <w:r>
        <w:rPr>
          <w:i w:val="0"/>
        </w:rPr>
        <w:t xml:space="preserve"> that plays the density here, which is why the Liu-Nagel diagram needs an inverse-density axis in the first place, and why the underparametrized network is the jammed side of the boundary, over-constrained and stuck at positive loss, while the overparametrized network is the side that flows. Nothing in this requires the loss to be a physical energy, only that constraints be countable and that satisfied data drop out of the count, which a threshold loss supplies and cross-entropy, whose gradient never vanishes, does not.</w:t>
      </w:r>
    </w:p>
    <w:p>
      <w:r>
        <w:rPr>
          <w:i w:val="0"/>
        </w:rPr>
        <w:t xml:space="preserve">Two reported results matter, because an analogy cannot produce them on its own. Geiger and colleagues found that the capacity of fully connected networks to fit random data is independent of depth, and that at the critical point the per-datum quantity they call </w:t>
      </w:r>
      <m:oMath>
        <m:r>
          <m:t>Δ</m:t>
        </m:r>
      </m:oMath>
      <w:r>
        <w:rPr>
          <w:i w:val="0"/>
        </w:rPr>
        <w:t xml:space="preserve"> is power-law distributed with exponents of roughly </w:t>
      </w:r>
      <m:oMath>
        <m:r>
          <m:t>θ≈0.3</m:t>
        </m:r>
      </m:oMath>
      <w:r>
        <w:rPr>
          <w:i w:val="0"/>
        </w:rPr>
        <w:t xml:space="preserve"> and </w:t>
      </w:r>
      <m:oMath>
        <m:r>
          <m:t>γ≈0.2</m:t>
        </m:r>
      </m:oMath>
      <w:r>
        <w:rPr>
          <w:i w:val="0"/>
        </w:rPr>
        <w:t>, read as evidence of a hierarchical landscape and avalanche-like dynamics. Both were measured because the analogy said where to look.</w:t>
      </w:r>
    </w:p>
    <w:p>
      <w:r>
        <w:rPr>
          <w:i w:val="0"/>
        </w:rPr>
        <w:t>The analogy imports a limitation rarely quoted with it. O'Hern and colleagues found that the exponents at point J do not depend on dimension but do depend on the interparticle potential, and in the network the loss occupies the position the potential occupies in the packing. Universality is universality within a fixed interaction. Changing the loss is not a change of units but a move to a different problem.</w:t>
      </w:r>
    </w:p>
    <w:p>
      <w:pPr>
        <w:pStyle w:val="BookSection"/>
      </w:pPr>
      <w:r>
        <w:t>The cusp and where it goes</w:t>
      </w:r>
    </w:p>
    <w:p>
      <w:r>
        <w:rPr>
          <w:i w:val="0"/>
        </w:rPr>
        <w:t>A companion paper from the same group, by Spigler, Geiger, d'Ascoli, Sagun, Biroli and Wyart, asked what the transition does to generalization. As network width grows, test error falls, then rises to a cusp at the jamming point, then falls again, often below its earlier value. Classical overfitting, in this picture, is not a general hazard of large models but a phenomenon localized around one point in parameter count.</w:t>
      </w:r>
    </w:p>
    <w:p>
      <w:r>
        <w:rPr>
          <w:i w:val="0"/>
        </w:rPr>
        <w:t>A curve of the same shape was named from the other side of the field. Mikhail Belkin, Daniel Hsu, Siyuan Ma and Soumik Mandal called it double descent: as capacity grows, test error first traces the classical U-shaped bias-variance curve, peaks sharply at the interpolation threshold where the model exactly fits the training data, then descends again. The Spigler preprint went up in October 2018 and the Belkin preprint in December, so the physics and the name are concurrent.</w:t>
      </w:r>
    </w:p>
    <w:p>
      <w:r>
        <w:rPr>
          <w:i w:val="0"/>
        </w:rPr>
        <w:t>Whether the two peaks sit at the same place cannot be settled by assertion. The jamming point was derived by counting constraints, a count that exists only for a loss from which satisfied data drop out. The interpolation threshold is defined differently, as the smallest capacity at which training error reaches zero, and under cross-entropy, where no datum ever stops contributing, it is the only one of the two defined at all. Preetum Nakkiran, Gal Kaplun, Yamini Bansal, Tristan Yang, Boaz Barak and Ilya Sutskever demonstrated the peak across modern architectures, showed that it occurs along training epochs as well as along model size, and defined effective model complexity to unify the two axes. That is double descent under cross-entropy, and it is not a measurement of a jamming point.</w:t>
      </w:r>
    </w:p>
    <w:p>
      <w:r>
        <w:rPr>
          <w:i w:val="0"/>
        </w:rPr>
        <w:t xml:space="preserve">Why the peak is there is partly answered by a third paper in the sequence, with Arthur Jacot, Franck Gabriel and Clément Hongler added to the group. On the overparametrized side, above </w:t>
      </w:r>
      <m:oMath>
        <m:sSup>
          <m:e>
            <m:r>
              <m:t>N</m:t>
            </m:r>
          </m:e>
          <m:sup>
            <m:r>
              <m:t>*</m:t>
            </m:r>
          </m:sup>
        </m:sSup>
      </m:oMath>
      <w:r>
        <w:rPr>
          <w:i w:val="0"/>
        </w:rPr>
        <w:t xml:space="preserve">, the output of the trained network fluctuates from one random initialization to another with an amplitude falling as </w:t>
      </w:r>
      <m:oMath>
        <m:sSup>
          <m:e>
            <m:r>
              <m:t>N</m:t>
            </m:r>
          </m:e>
          <m:sup>
            <m:r>
              <m:t>−1/4</m:t>
            </m:r>
          </m:sup>
        </m:sSup>
      </m:oMath>
      <w:r>
        <w:rPr>
          <w:i w:val="0"/>
        </w:rPr>
        <w:t xml:space="preserve">, while the generalization error falls toward its wide-network asymptote as </w:t>
      </w:r>
      <m:oMath>
        <m:sSup>
          <m:e>
            <m:r>
              <m:t>N</m:t>
            </m:r>
          </m:e>
          <m:sup>
            <m:r>
              <m:t>−1/2</m:t>
            </m:r>
          </m:sup>
        </m:sSup>
      </m:oMath>
      <w:r>
        <w:rPr>
          <w:i w:val="0"/>
        </w:rPr>
        <w:t xml:space="preserve">. An amplitude of </w:t>
      </w:r>
      <m:oMath>
        <m:sSup>
          <m:e>
            <m:r>
              <m:t>N</m:t>
            </m:r>
          </m:e>
          <m:sup>
            <m:r>
              <m:t>−1/4</m:t>
            </m:r>
          </m:sup>
        </m:sSup>
      </m:oMath>
      <w:r>
        <w:rPr>
          <w:i w:val="0"/>
        </w:rPr>
        <w:t xml:space="preserve"> squares to a variance of order </w:t>
      </w:r>
      <m:oMath>
        <m:sSup>
          <m:e>
            <m:r>
              <m:t>N</m:t>
            </m:r>
          </m:e>
          <m:sup>
            <m:r>
              <m:t>−1/2</m:t>
            </m:r>
          </m:sup>
        </m:sSup>
      </m:oMath>
      <w:r>
        <w:rPr>
          <w:i w:val="0"/>
        </w:rPr>
        <w:t xml:space="preserve">, so the two exponents agree, and the excess error above the wide limit is consistent with being nothing but the accident of which solution the optimizer landed on. Agreement of exponents buys consistency and not identity, since two quantities of the same order can stand in any ratio to each other. What buys the identification is an intervention. Averaging the outputs of several independently initialized networks cancels the fluctuation, and such ensembles at intermediate size just past the threshold reach the smallest error of all, on MNIST and on CIFAR. That is also what the cusp needs to be read. Just above </w:t>
      </w:r>
      <m:oMath>
        <m:sSup>
          <m:e>
            <m:r>
              <m:t>N</m:t>
            </m:r>
          </m:e>
          <m:sup>
            <m:r>
              <m:t>*</m:t>
            </m:r>
          </m:sup>
        </m:sSup>
      </m:oMath>
      <w:r>
        <w:rPr>
          <w:i w:val="0"/>
        </w:rPr>
        <w:t xml:space="preserve"> the pinning is marginal and the reachable solutions lie far apart, so the initialization variance is largest exactly where the counting says the constraints have only just run out, and removing it by ensembling takes most of the excess error away with it.</w:t>
      </w:r>
    </w:p>
    <w:p>
      <w:r>
        <w:rPr>
          <w:i w:val="0"/>
        </w:rPr>
        <w:t xml:space="preserve">But Spigler and colleagues also reported something that should give the analogy pause. Early stopping removes the cusp entirely. A feature that disappears when you stop the optimizer earlier is a property of the trajectory, not of the solution space, and no amount of taking </w:t>
      </w:r>
      <m:oMath>
        <m:r>
          <m:t>N</m:t>
        </m:r>
      </m:oMath>
      <w:r>
        <w:rPr>
          <w:i w:val="0"/>
        </w:rPr>
        <w:t xml:space="preserve"> to infinity makes it a singularity of anything. This is not fatal, and not new: it is the glass transition of Chapter 4 again, where the arrest depends on cooling rate. The jamming threshold is a structural fact about when zero training loss becomes attainable; the cusp is what one algorithm does near that fact.</w:t>
      </w:r>
    </w:p>
    <w:p>
      <w:pPr>
        <w:pStyle w:val="BookSection"/>
      </w:pPr>
      <w:r>
        <w:t>What is actually gradual in grokking</w:t>
      </w:r>
    </w:p>
    <w:p>
      <w:r>
        <w:rPr>
          <w:i w:val="0"/>
        </w:rPr>
        <w:t>Alethea Power, Yuri Burda, Harri Edwards, Igor Babuschkin and Vedant Misra reported in a 2022 preprint that networks trained on small algorithmically generated datasets improve from chance to perfect generalization well past the point of overfitting. The training set is memorized early; validation accuracy sits at chance through a long plateau; then it jumps. Smaller training sets require more optimization before the jump. The paper described the effect and offered no mechanism.</w:t>
      </w:r>
    </w:p>
    <w:p>
      <w:r>
        <w:rPr>
          <w:i w:val="0"/>
        </w:rPr>
        <w:t xml:space="preserve">Neel Nanda, Lawrence Chan, Tom Lieberum, Jess Smith and Jacob Steinhardt supplied one by reverse-engineering the algorithm a small transformer learns for addition modulo </w:t>
      </w:r>
      <m:oMath>
        <m:r>
          <m:t>113</m:t>
        </m:r>
      </m:oMath>
      <w:r>
        <w:rPr>
          <w:i w:val="0"/>
        </w:rPr>
        <w:t xml:space="preserve">. The embedding of an input token </w:t>
      </w:r>
      <m:oMath>
        <m:r>
          <m:t>a</m:t>
        </m:r>
      </m:oMath>
      <w:r>
        <w:rPr>
          <w:i w:val="0"/>
        </w:rPr>
        <w:t xml:space="preserve"> concentrates on a few frequencies </w:t>
      </w:r>
      <m:oMath>
        <m:sSub>
          <m:e>
            <m:r>
              <m:t>ω</m:t>
            </m:r>
          </m:e>
          <m:sub>
            <m:r>
              <m:t>k</m:t>
            </m:r>
          </m:sub>
        </m:sSub>
        <m:r>
          <m:t>=2πk/113</m:t>
        </m:r>
      </m:oMath>
      <w:r>
        <w:rPr>
          <w:i w:val="0"/>
        </w:rPr>
        <w:t xml:space="preserve">, giving the network </w:t>
      </w:r>
      <m:oMath>
        <m:r>
          <m:rPr>
            <m:sty m:val="p"/>
          </m:rPr>
          <m:t>cos</m:t>
        </m:r>
        <m:sSub>
          <m:e>
            <m:r>
              <m:t>ω</m:t>
            </m:r>
          </m:e>
          <m:sub>
            <m:r>
              <m:t>k</m:t>
            </m:r>
          </m:sub>
        </m:sSub>
        <m:r>
          <m:t>a</m:t>
        </m:r>
      </m:oMath>
      <w:r>
        <w:rPr>
          <w:i w:val="0"/>
        </w:rPr>
        <w:t xml:space="preserve"> and </w:t>
      </w:r>
      <m:oMath>
        <m:r>
          <m:rPr>
            <m:sty m:val="p"/>
          </m:rPr>
          <m:t>sin</m:t>
        </m:r>
        <m:sSub>
          <m:e>
            <m:r>
              <m:t>ω</m:t>
            </m:r>
          </m:e>
          <m:sub>
            <m:r>
              <m:t>k</m:t>
            </m:r>
          </m:sub>
        </m:sSub>
        <m:r>
          <m:t>a</m:t>
        </m:r>
      </m:oMath>
      <w:r>
        <w:rPr>
          <w:i w:val="0"/>
        </w:rPr>
        <w:t>, and likewise for the second input. The attention and multi-layer perceptron blocks form products of these, and the angle-addition identity</w:t>
      </w:r>
    </w:p>
    <w:p>
      <w:pPr>
        <w:spacing w:before="200" w:after="200"/>
        <w:ind w:firstLine="0"/>
        <w:jc w:val="center"/>
        <w:contextualSpacing w:val="0"/>
      </w:pPr>
      <m:oMath>
        <m:r>
          <m:rPr>
            <m:sty m:val="p"/>
          </m:rPr>
          <m:t>cos</m:t>
        </m:r>
        <m:sSub>
          <m:e>
            <m:r>
              <m:t>ω</m:t>
            </m:r>
          </m:e>
          <m:sub>
            <m:r>
              <m:t>k</m:t>
            </m:r>
          </m:sub>
        </m:sSub>
        <m:r>
          <m:t>a</m:t>
        </m:r>
        <m:r>
          <m:rPr>
            <m:sty m:val="p"/>
          </m:rPr>
          <m:t>cos</m:t>
        </m:r>
        <m:sSub>
          <m:e>
            <m:r>
              <m:t>ω</m:t>
            </m:r>
          </m:e>
          <m:sub>
            <m:r>
              <m:t>k</m:t>
            </m:r>
          </m:sub>
        </m:sSub>
        <m:r>
          <m:t>b−</m:t>
        </m:r>
        <m:r>
          <m:rPr>
            <m:sty m:val="p"/>
          </m:rPr>
          <m:t>sin</m:t>
        </m:r>
        <m:sSub>
          <m:e>
            <m:r>
              <m:t>ω</m:t>
            </m:r>
          </m:e>
          <m:sub>
            <m:r>
              <m:t>k</m:t>
            </m:r>
          </m:sub>
        </m:sSub>
        <m:r>
          <m:t>a</m:t>
        </m:r>
        <m:r>
          <m:rPr>
            <m:sty m:val="p"/>
          </m:rPr>
          <m:t>sin</m:t>
        </m:r>
        <m:sSub>
          <m:e>
            <m:r>
              <m:t>ω</m:t>
            </m:r>
          </m:e>
          <m:sub>
            <m:r>
              <m:t>k</m:t>
            </m:r>
          </m:sub>
        </m:sSub>
        <m:r>
          <m:t>b=</m:t>
        </m:r>
        <m:r>
          <m:rPr>
            <m:sty m:val="p"/>
          </m:rPr>
          <m:t>cos</m:t>
        </m:r>
        <m:r>
          <m:t>(</m:t>
        </m:r>
        <m:sSub>
          <m:e>
            <m:r>
              <m:t>ω</m:t>
            </m:r>
          </m:e>
          <m:sub>
            <m:r>
              <m:t>k</m:t>
            </m:r>
          </m:sub>
        </m:sSub>
        <m:r>
          <m:t>(a+b))</m:t>
        </m:r>
      </m:oMath>
    </w:p>
    <w:p>
      <w:r>
        <w:rPr>
          <w:i w:val="0"/>
        </w:rPr>
        <w:t xml:space="preserve">turns the pair into a representation of the sum. The unembedding correlates that against </w:t>
      </w:r>
      <m:oMath>
        <m:r>
          <m:rPr>
            <m:sty m:val="p"/>
          </m:rPr>
          <m:t>cos</m:t>
        </m:r>
        <m:sSub>
          <m:e>
            <m:r>
              <m:t>ω</m:t>
            </m:r>
          </m:e>
          <m:sub>
            <m:r>
              <m:t>k</m:t>
            </m:r>
          </m:sub>
        </m:sSub>
        <m:r>
          <m:t>c</m:t>
        </m:r>
      </m:oMath>
      <w:r>
        <w:rPr>
          <w:i w:val="0"/>
        </w:rPr>
        <w:t xml:space="preserve"> for each candidate </w:t>
      </w:r>
      <m:oMath>
        <m:r>
          <m:t>c</m:t>
        </m:r>
      </m:oMath>
      <w:r>
        <w:rPr>
          <w:i w:val="0"/>
        </w:rPr>
        <w:t xml:space="preserve">, so the logit </w:t>
      </w:r>
      <m:oMath>
        <m:r>
          <m:t>ℓ(c)</m:t>
        </m:r>
      </m:oMath>
      <w:r>
        <w:rPr>
          <w:i w:val="0"/>
        </w:rPr>
        <w:t xml:space="preserve"> is a sum of </w:t>
      </w:r>
      <m:oMath>
        <m:r>
          <m:rPr>
            <m:sty m:val="p"/>
          </m:rPr>
          <m:t>cos</m:t>
        </m:r>
        <m:r>
          <m:t>(</m:t>
        </m:r>
        <m:sSub>
          <m:e>
            <m:r>
              <m:t>ω</m:t>
            </m:r>
          </m:e>
          <m:sub>
            <m:r>
              <m:t>k</m:t>
            </m:r>
          </m:sub>
        </m:sSub>
        <m:r>
          <m:t>(a+b−c))</m:t>
        </m:r>
      </m:oMath>
      <w:r>
        <w:rPr>
          <w:i w:val="0"/>
        </w:rPr>
        <w:t xml:space="preserve"> over the retained frequencies, maximized when </w:t>
      </w:r>
      <m:oMath>
        <m:r>
          <m:t>a+b−c≡0</m:t>
        </m:r>
        <m:r>
          <m:t>(</m:t>
        </m:r>
        <m:r>
          <m:rPr>
            <m:sty m:val="p"/>
          </m:rPr>
          <m:t>mod</m:t>
        </m:r>
        <m:r>
          <m:t>113</m:t>
        </m:r>
        <m:r>
          <m:t>)</m:t>
        </m:r>
      </m:oMath>
      <w:r>
        <w:rPr>
          <w:i w:val="0"/>
        </w:rPr>
        <w:t>. Addition has been converted into rotation about a circle, by discrete Fourier transform and trigonometric identity, confirmed by weight analysis and by ablations in Fourier space.</w:t>
      </w:r>
    </w:p>
    <w:p>
      <w:r>
        <w:rPr>
          <w:i w:val="0"/>
        </w:rPr>
        <w:t>The mechanism makes it possible to define progress measures that read the weights rather than the predictions, and those measures split training into three continuous phases: memorization, circuit formation and cleanup. The Fourier components grow smoothly during circuit formation while validation accuracy stays flat, and the memorizing components are pruned after. Nothing in the weights jumps.</w:t>
      </w:r>
    </w:p>
    <w:p>
      <w:r>
        <w:rPr>
          <w:i w:val="0"/>
        </w:rPr>
        <w:t xml:space="preserve">The reason accuracy hides this recurs in the next section in a different disguise. Validation accuracy averages an indicator of whether the correct logit is the largest, and an indicator of whether one smooth function has overtaken another is a step even when both are smooth. While the memorized lookup dominates the logits, held-out pairs are wrong; once the periodic term exceeds it they are right, nearly all at once, because that circuit is uniform in </w:t>
      </w:r>
      <m:oMath>
        <m:r>
          <m:t>a</m:t>
        </m:r>
      </m:oMath>
      <w:r>
        <w:rPr>
          <w:i w:val="0"/>
        </w:rPr>
        <w:t xml:space="preserve"> and </w:t>
      </w:r>
      <m:oMath>
        <m:r>
          <m:t>b</m:t>
        </m:r>
      </m:oMath>
      <w:r>
        <w:rPr>
          <w:i w:val="0"/>
        </w:rPr>
        <w:t xml:space="preserve"> as a lookup table is not. The step is in the argmax.</w:t>
      </w:r>
    </w:p>
    <w:p>
      <w:r>
        <w:rPr>
          <w:i w:val="0"/>
        </w:rPr>
        <w:t>The scope has to be fixed once and held to: one architecture, one family of algorithmic tasks, one known ground-truth algorithm, which is what made the reverse-engineering possible. It establishes that there the step lives in an argmax over smoothly changing logits, not that every grokking curve conceals a smooth reorganization.</w:t>
      </w:r>
    </w:p>
    <w:p>
      <w:pPr>
        <w:pStyle w:val="BookSection"/>
      </w:pPr>
      <w:r>
        <w:t>Emergence and the derivative of the ruler</w:t>
      </w:r>
    </w:p>
    <w:p>
      <w:r>
        <w:rPr>
          <w:i w:val="0"/>
        </w:rPr>
        <w:t>Jason Wei and fifteen coauthors defined an emergent ability of a large language model as one absent in smaller models but present in larger ones, and therefore not predictable by extrapolating the curve of the smaller ones, then catalogued dozens of tasks whose performance stays at random baseline until a critical model scale and rises sharply after. The unpredictability is what made the claim consequential.</w:t>
      </w:r>
    </w:p>
    <w:p>
      <w:r>
        <w:rPr>
          <w:i w:val="0"/>
        </w:rPr>
        <w:t xml:space="preserve">Rylan Schaeffer, Brando Miranda and Sanmi Koyejo argued that this is an artifact of metric choice rather than a change in model behaviour, and the mechanism is clearest in a worked example. Take an exact-match metric on a target of </w:t>
      </w:r>
      <m:oMath>
        <m:r>
          <m:t>m</m:t>
        </m:r>
      </m:oMath>
      <w:r>
        <w:rPr>
          <w:i w:val="0"/>
        </w:rPr>
        <w:t xml:space="preserve"> tokens, and let the per-token error rate </w:t>
      </w:r>
      <m:oMath>
        <m:r>
          <m:t>ε(N)</m:t>
        </m:r>
      </m:oMath>
      <w:r>
        <w:rPr>
          <w:i w:val="0"/>
        </w:rPr>
        <w:t xml:space="preserve"> fall smoothly with model scale </w:t>
      </w:r>
      <m:oMath>
        <m:r>
          <m:t>N</m:t>
        </m:r>
      </m:oMath>
      <w:r>
        <w:rPr>
          <w:i w:val="0"/>
        </w:rPr>
        <w:t xml:space="preserve"> as </w:t>
      </w:r>
      <m:oMath>
        <m:r>
          <m:t>ε=c</m:t>
        </m:r>
        <m:sSup>
          <m:e>
            <m:r>
              <m:t>N</m:t>
            </m:r>
          </m:e>
          <m:sup>
            <m:r>
              <m:t>−β</m:t>
            </m:r>
          </m:sup>
        </m:sSup>
      </m:oMath>
      <w:r>
        <w:rPr>
          <w:i w:val="0"/>
        </w:rPr>
        <w:t>. That power law is an assumption of the illustration, not a measurement; all the argument needs of it is smoothness. Exact-match accuracy is then</w:t>
      </w:r>
    </w:p>
    <w:p>
      <w:pPr>
        <w:spacing w:before="200" w:after="200"/>
        <w:ind w:firstLine="0"/>
        <w:jc w:val="center"/>
        <w:contextualSpacing w:val="0"/>
      </w:pPr>
      <m:oMath>
        <m:r>
          <m:rPr>
            <m:sty m:val="p"/>
          </m:rPr>
          <m:t>Acc</m:t>
        </m:r>
        <m:r>
          <m:t>(N)≈(1−ε</m:t>
        </m:r>
        <m:sSup>
          <m:e>
            <m:r>
              <m:t>)</m:t>
            </m:r>
          </m:e>
          <m:sup>
            <m:r>
              <m:t>m</m:t>
            </m:r>
          </m:sup>
        </m:sSup>
        <m:r>
          <m:t>≈</m:t>
        </m:r>
        <m:r>
          <m:rPr>
            <m:sty m:val="p"/>
          </m:rPr>
          <m:t>exp</m:t>
        </m:r>
        <m:r>
          <m:t>[−mc</m:t>
        </m:r>
        <m:sSup>
          <m:e>
            <m:r>
              <m:t>N</m:t>
            </m:r>
          </m:e>
          <m:sup>
            <m:r>
              <m:t>−β</m:t>
            </m:r>
          </m:sup>
        </m:sSup>
        <m:r>
          <m:t>],</m:t>
        </m:r>
      </m:oMath>
    </w:p>
    <w:p>
      <w:r>
        <w:rPr>
          <w:i w:val="0"/>
        </w:rPr>
        <w:t xml:space="preserve">and differentiating with respect to </w:t>
      </w:r>
      <m:oMath>
        <m:r>
          <m:rPr>
            <m:sty m:val="p"/>
          </m:rPr>
          <m:t>ln</m:t>
        </m:r>
        <m:r>
          <m:t>N</m:t>
        </m:r>
      </m:oMath>
      <w:r>
        <w:rPr>
          <w:i w:val="0"/>
        </w:rPr>
        <w:t xml:space="preserve"> gives</w:t>
      </w:r>
    </w:p>
    <w:p>
      <w:pPr>
        <w:spacing w:before="200" w:after="200"/>
        <w:ind w:firstLine="0"/>
        <w:jc w:val="center"/>
        <w:contextualSpacing w:val="0"/>
      </w:pPr>
      <m:oMath>
        <m:f>
          <m:fPr>
            <m:type m:val="bar"/>
          </m:fPr>
          <m:num>
            <m:r>
              <m:t>d</m:t>
            </m:r>
            <m:r>
              <m:rPr>
                <m:sty m:val="p"/>
              </m:rPr>
              <m:t>Acc</m:t>
            </m:r>
          </m:num>
          <m:den>
            <m:r>
              <m:t>d</m:t>
            </m:r>
            <m:r>
              <m:rPr>
                <m:sty m:val="p"/>
              </m:rPr>
              <m:t>ln</m:t>
            </m:r>
            <m:r>
              <m:t>N</m:t>
            </m:r>
          </m:den>
        </m:f>
        <m:r>
          <m:t>=βmc</m:t>
        </m:r>
        <m:sSup>
          <m:e>
            <m:r>
              <m:t>N</m:t>
            </m:r>
          </m:e>
          <m:sup>
            <m:r>
              <m:t>−β</m:t>
            </m:r>
          </m:sup>
        </m:sSup>
        <m:r>
          <m:rPr>
            <m:sty m:val="p"/>
          </m:rPr>
          <m:t>Acc</m:t>
        </m:r>
        <m:r>
          <m:t>.</m:t>
        </m:r>
      </m:oMath>
    </w:p>
    <w:p>
      <w:r>
        <w:rPr>
          <w:i w:val="0"/>
        </w:rPr>
        <w:t xml:space="preserve">The slope is proportional to the value. Where accuracy is near zero its rate of change is also near zero, so a run of small models gives a flat line whose extrapolation predicts a flat line, while the underlying </w:t>
      </w:r>
      <m:oMath>
        <m:r>
          <m:t>ε(N)</m:t>
        </m:r>
      </m:oMath>
      <w:r>
        <w:rPr>
          <w:i w:val="0"/>
        </w:rPr>
        <w:t xml:space="preserve"> extrapolates perfectly well. The unpredictability comes from composing a smooth quantity with a metric that suppresses it, and the sharp rise is that suppression running out.</w:t>
      </w:r>
    </w:p>
    <w:p>
      <w:r>
        <w:rPr>
          <w:i w:val="0"/>
        </w:rPr>
        <w:t>Schaeffer, Miranda and Koyejo supported this with controlled experiments on GPT-3 and InstructGPT, a meta-analysis of BIG-Bench tasks in which continuous metrics on the same models and outputs improve smoothly, and a demonstration that emergence can be induced at will in vision models by switching metrics. The framing became the standard counterweight to Wei and colleagues, helped by a widely reported outstanding paper award at NeurIPS 2023, one of the two claims here resting on a secondary source. It establishes that a discontinuous metric manufactures apparent sharp transitions from smooth behaviour, and that many published emergence curves are of this kind. It does not establish that model behaviour never changes qualitatively with scale.</w:t>
      </w:r>
    </w:p>
    <w:p>
      <w:pPr>
        <w:pStyle w:val="BookSection"/>
      </w:pPr>
      <w:r>
        <w:t>What sharpens, and in what limit</w:t>
      </w:r>
    </w:p>
    <w:p>
      <w:r>
        <w:rPr>
          <w:i w:val="0"/>
        </w:rPr>
        <w:t xml:space="preserve">Chapter 1 laid down the criterion these cases have to be judged against. A phase transition is a singularity of a thermodynamic potential in the infinite-size limit; a finite system has an analytic partition function and so only a rounded crossover. What makes a finite-size measurement evidence for a transition is not that the curve looks sharp but that it sharpens as the system grows: observables collapse against a scaling variable such as </w:t>
      </w:r>
      <m:oMath>
        <m:sSup>
          <m:e>
            <m:r>
              <m:t>L</m:t>
            </m:r>
          </m:e>
          <m:sup>
            <m:f>
              <m:fPr>
                <m:type m:val="lin"/>
              </m:fPr>
              <m:num>
                <m:r>
                  <m:t>1</m:t>
                </m:r>
              </m:num>
              <m:den>
                <m:r>
                  <m:t>ν</m:t>
                </m:r>
              </m:den>
            </m:f>
          </m:sup>
        </m:sSup>
        <m:r>
          <m:t>(T−</m:t>
        </m:r>
        <m:sSub>
          <m:e>
            <m:r>
              <m:t>T</m:t>
            </m:r>
          </m:e>
          <m:sub>
            <m:r>
              <m:t>c</m:t>
            </m:r>
          </m:sub>
        </m:sSub>
        <m:r>
          <m:t>)</m:t>
        </m:r>
      </m:oMath>
      <w:r>
        <w:rPr>
          <w:i w:val="0"/>
        </w:rPr>
        <w:t xml:space="preserve">, with </w:t>
      </w:r>
      <m:oMath>
        <m:r>
          <m:t>L</m:t>
        </m:r>
      </m:oMath>
      <w:r>
        <w:rPr>
          <w:i w:val="0"/>
        </w:rPr>
        <w:t xml:space="preserve"> the linear size, and the crossover width shrinks as a power of it. The criterion asks for two axes and not one, a control parameter to cross and a size to grow, and it asks that they be different.</w:t>
      </w:r>
    </w:p>
    <w:p>
      <w:r>
        <w:rPr>
          <w:i w:val="0"/>
        </w:rPr>
        <w:t xml:space="preserve">Point J has both. The control parameter is packing fraction, the size is the number of spheres </w:t>
      </w:r>
      <m:oMath>
        <m:r>
          <m:t>M</m:t>
        </m:r>
      </m:oMath>
      <w:r>
        <w:rPr>
          <w:i w:val="0"/>
        </w:rPr>
        <w:t xml:space="preserve">, and the fact that carries the argument is the one O'Hern and colleagues report about the relation between them: each configuration jams at its own threshold, and the distribution of thresholds narrows as </w:t>
      </w:r>
      <m:oMath>
        <m:r>
          <m:t>M</m:t>
        </m:r>
      </m:oMath>
      <w:r>
        <w:rPr>
          <w:i w:val="0"/>
        </w:rPr>
        <w:t xml:space="preserve"> grows. That narrowing is the crossover width shrinking, measured, and no single jamming curve makes point J critical.</w:t>
      </w:r>
    </w:p>
    <w:p>
      <w:r>
        <w:rPr>
          <w:i w:val="0"/>
        </w:rPr>
        <w:t xml:space="preserve">Jamming in networks supplies the first axis and, so far, not the second. There is a control parameter, the parameter count </w:t>
      </w:r>
      <m:oMath>
        <m:r>
          <m:t>N</m:t>
        </m:r>
      </m:oMath>
      <w:r>
        <w:rPr>
          <w:i w:val="0"/>
        </w:rPr>
        <w:t xml:space="preserve">; a quantity positive on one side of the boundary and zero on the other, the count </w:t>
      </w:r>
      <m:oMath>
        <m:sSub>
          <m:e>
            <m:r>
              <m:t>N</m:t>
            </m:r>
          </m:e>
          <m:sub>
            <m:r>
              <m:t>Δ</m:t>
            </m:r>
          </m:sub>
        </m:sSub>
      </m:oMath>
      <w:r>
        <w:rPr>
          <w:i w:val="0"/>
        </w:rPr>
        <w:t xml:space="preserve"> of constraints still active at the minimum; and measured exponents, </w:t>
      </w:r>
      <m:oMath>
        <m:r>
          <m:t>θ≈0.3</m:t>
        </m:r>
      </m:oMath>
      <w:r>
        <w:rPr>
          <w:i w:val="0"/>
        </w:rPr>
        <w:t xml:space="preserve"> and </w:t>
      </w:r>
      <m:oMath>
        <m:r>
          <m:t>γ≈0.2</m:t>
        </m:r>
      </m:oMath>
      <w:r>
        <w:rPr>
          <w:i w:val="0"/>
        </w:rPr>
        <w:t xml:space="preserve">. But those exponents describe the distribution of </w:t>
      </w:r>
      <m:oMath>
        <m:r>
          <m:t>Δ</m:t>
        </m:r>
      </m:oMath>
      <w:r>
        <w:rPr>
          <w:i w:val="0"/>
        </w:rPr>
        <w:t xml:space="preserve"> at the critical point, a statement about how the marginal solution is put together, not about how the boundary behaves as anything grows. </w:t>
      </w:r>
      <m:oMath>
        <m:r>
          <m:t>N</m:t>
        </m:r>
      </m:oMath>
      <w:r>
        <w:rPr>
          <w:i w:val="0"/>
        </w:rPr>
        <w:t xml:space="preserve"> is already spoken for as the control parameter, and nothing else in the setup has been made to play </w:t>
      </w:r>
      <m:oMath>
        <m:r>
          <m:t>M</m:t>
        </m:r>
      </m:oMath>
      <w:r>
        <w:rPr>
          <w:i w:val="0"/>
        </w:rPr>
        <w:t xml:space="preserve">. The number of training examples is the obvious candidate, since </w:t>
      </w:r>
      <m:oMath>
        <m:sSup>
          <m:e>
            <m:r>
              <m:t>N</m:t>
            </m:r>
          </m:e>
          <m:sup>
            <m:r>
              <m:t>*</m:t>
            </m:r>
          </m:sup>
        </m:sSup>
      </m:oMath>
      <w:r>
        <w:rPr>
          <w:i w:val="0"/>
        </w:rPr>
        <w:t xml:space="preserve"> is a function of </w:t>
      </w:r>
      <m:oMath>
        <m:r>
          <m:t>P</m:t>
        </m:r>
      </m:oMath>
      <w:r>
        <w:rPr>
          <w:i w:val="0"/>
        </w:rPr>
        <w:t xml:space="preserve">: one could ask whether the spread of thresholds over data draws and initializations narrows as </w:t>
      </w:r>
      <m:oMath>
        <m:r>
          <m:t>P</m:t>
        </m:r>
      </m:oMath>
      <w:r>
        <w:rPr>
          <w:i w:val="0"/>
        </w:rPr>
        <w:t xml:space="preserve"> grows at fixed ratio, the way jamming densities narrow with </w:t>
      </w:r>
      <m:oMath>
        <m:r>
          <m:t>M</m:t>
        </m:r>
      </m:oMath>
      <w:r>
        <w:rPr>
          <w:i w:val="0"/>
        </w:rPr>
        <w:t>. That measurement has not been reported. The verdict on the first of the four is a pass on the half of the test that has been run and silence on the half that decides it: the strongest case in the chapter, and provisional.</w:t>
      </w:r>
    </w:p>
    <w:p>
      <w:r>
        <w:rPr>
          <w:i w:val="0"/>
        </w:rPr>
        <w:t>The second is two objects, and the test separates them. One is the cusp Spigler and colleagues located at the jamming point, and it does not survive: a feature you can delete by changing a stopping rule is no property of the large-size limit, and the deletion is itself the measurement. That reading is corroborated from the other direction by Nakkiran and colleagues, who found the same shape along training epochs at fixed model size, which is a statement about a trajectory by construction, and who defined effective model complexity precisely so that the two axes could be drawn as one. The other object is the peak Belkin, Hsu, Ma and Mandal named at the interpolation threshold and measured under cross-entropy. It is not the cusp, for the reason the counting argument gives: with no datum ever dropping out of the loss there is no constraint count to go isostatic, so the Maxwell inequality has nothing to be about there. That peak does have a size to grow, since it is plotted against model scale, but nobody has reported whether its width shrinks as the training set grows at fixed parameters per datum, and running that test is complicated by Nakkiran and colleagues' own finding that in some regimes increasing the number of training samples, even quadrupling it, makes test error worse rather than better. So the second verdict is split: a trajectory artifact in one place, and in the other an untested claim rather than a failed one.</w:t>
      </w:r>
    </w:p>
    <w:p>
      <w:r>
        <w:rPr>
          <w:i w:val="0"/>
        </w:rPr>
        <w:t>The third cannot be judged this way at all. Grokking's axis is optimization time. Power and colleagues report the jump against training steps, with the only systematic dependence on training-set fraction; Nanda and colleagues work at one model size. Neither measures how the width of the step behaves as the network grows. There is no size axis to run the test on, and the mismatch is the finding.</w:t>
      </w:r>
    </w:p>
    <w:p>
      <w:r>
        <w:rPr>
          <w:i w:val="0"/>
        </w:rPr>
        <w:t>The fourth has a size axis, model scale being what Wei and colleagues plot against, and there the test returns an answer of the wrong kind. On the continuous metrics Schaeffer and colleagues substituted, where the same models and outputs improve smoothly, there is no crossover to round and so no width to watch shrinking; the sharpness belongs to the scoring rule, and a scoring rule has no size limit to take.</w:t>
      </w:r>
    </w:p>
    <w:p>
      <w:r>
        <w:rPr>
          <w:i w:val="0"/>
        </w:rPr>
        <w:t xml:space="preserve">The physics being borrowed from is also less settled than the borrowing implies. Mode-coupling theory, in the self-consistent equations of Ulf Bengtzelius, Wolfgang Götze and Arne Sjölander, predicts an ergodic-to-nonergodic bifurcation for hard spheres at a packing fraction usually quoted as </w:t>
      </w:r>
      <m:oMath>
        <m:r>
          <m:t>0.516</m:t>
        </m:r>
      </m:oMath>
      <w:r>
        <w:rPr>
          <w:i w:val="0"/>
        </w:rPr>
        <w:t>, the other claim here resting on a secondary source; that sharp transition is not seen experimentally and is now read as a crossover. Ludovic Berthier and Biroli's review sets it beside random first-order transition theory and kinetically constrained pictures as live alternatives. Calling a deep network jammed does not settle what jamming is.</w:t>
      </w:r>
    </w:p>
    <w:p>
      <w:pPr>
        <w:pStyle w:val="BookSection"/>
      </w:pPr>
      <w:r>
        <w:t>Three things the word has been doing</w:t>
      </w:r>
    </w:p>
    <w:p>
      <w:r>
        <w:rPr>
          <w:i w:val="0"/>
        </w:rPr>
        <w:t xml:space="preserve">In the first sense, a transition is a non-analyticity of a free energy, computed for a well-defined ensemble, diagnosed by an order parameter that is a function of the system's own configuration. John J. Hopfield's network has one, the overlap between the network state and a stored pattern, and Daniel J. Amit, Hanoch Gutfreund and Haim Sompolinsky located its critical storage capacity at </w:t>
      </w:r>
      <m:oMath>
        <m:sSub>
          <m:e>
            <m:r>
              <m:t>α</m:t>
            </m:r>
          </m:e>
          <m:sub>
            <m:r>
              <m:t>c</m:t>
            </m:r>
          </m:sub>
        </m:sSub>
        <m:r>
          <m:t>≈0.138</m:t>
        </m:r>
      </m:oMath>
      <w:r>
        <w:rPr>
          <w:i w:val="0"/>
        </w:rPr>
        <w:t xml:space="preserve">, above which retrieval states disappear and the network enters a spin-glass phase. Elizabeth Gardner changed the ensemble without leaving the sense, asking for the typical fractional volume of coupling space that stores a given set of patterns, the construction universally called the Gardner volume, which shrinks to zero at a critical pattern density. Gardner and Bernard Derrida put optimal capacity on a critical line </w:t>
      </w:r>
      <m:oMath>
        <m:sSub>
          <m:e>
            <m:r>
              <m:t>α</m:t>
            </m:r>
          </m:e>
          <m:sub>
            <m:r>
              <m:t>c</m:t>
            </m:r>
          </m:sub>
        </m:sSub>
        <m:r>
          <m:t>(K)</m:t>
        </m:r>
      </m:oMath>
      <w:r>
        <w:rPr>
          <w:i w:val="0"/>
        </w:rPr>
        <w:t xml:space="preserve"> with </w:t>
      </w:r>
      <m:oMath>
        <m:sSub>
          <m:e>
            <m:r>
              <m:t>α</m:t>
            </m:r>
          </m:e>
          <m:sub>
            <m:r>
              <m:t>c</m:t>
            </m:r>
          </m:sub>
        </m:sSub>
        <m:r>
          <m:t>(0)=2</m:t>
        </m:r>
      </m:oMath>
      <w:r>
        <w:rPr>
          <w:i w:val="0"/>
        </w:rPr>
        <w:t xml:space="preserve">, two patterns per weight, more than an order of magnitude above the Hebbian </w:t>
      </w:r>
      <m:oMath>
        <m:r>
          <m:t>0.138</m:t>
        </m:r>
      </m:oMath>
      <w:r>
        <w:rPr>
          <w:i w:val="0"/>
        </w:rPr>
        <w:t xml:space="preserve"> per neuron. There the order parameter is the vanishing volume, and the ensemble is over weights.</w:t>
      </w:r>
    </w:p>
    <w:p>
      <w:r>
        <w:rPr>
          <w:i w:val="0"/>
        </w:rPr>
        <w:t>In the second sense, a transition is a threshold in what can be recovered from data, quantified over every possible procedure rather than over the states of any system. Aurélien Decelle, Florent Krzakala, Cristopher Moore and Lenka Zdeborová used the cavity method to obtain an asymptotically exact phase diagram for community detection in the stochastic block model, with a detectability threshold below which no algorithm beats chance. The threshold comes out of a free energy, which is why the distinction must be drawn on content rather than machinery: the question is about inference, not equilibrium. The same diagram carries a second threshold that is not the same object, since between detectability and the point where belief propagation succeeds lies a region where the solution exists but that algorithm cannot find it, a claim about one class of procedures rather than about all. Jean Barbier, Krzakala, Nicolas Macris, Léo Miolane and Zdeborová made that boundary a theorem for generalized linear models with random data matrices. Zdeborová's case that deep learning is a job for physicists turns on knowing which of the two a calculation delivers, and Zdeborová and Krzakala's review systematizes both.</w:t>
      </w:r>
    </w:p>
    <w:p>
      <w:r>
        <w:rPr>
          <w:i w:val="0"/>
        </w:rPr>
        <w:t>In the third sense, a transition is a description of a plot. Most reported emergent abilities belong here as currently measured, since Schaeffer and colleagues exhibited the metric sitting on a smooth curve. So does double descent as measured under cross-entropy: a shape in a graph of test error against capacity, with no ensemble named and no quantity computed from the trained network's own configuration attached to it. The cusp at the jamming point is in none of the three, being a property of one algorithm stopped at one time.</w:t>
      </w:r>
    </w:p>
    <w:p>
      <w:r>
        <w:rPr>
          <w:i w:val="0"/>
        </w:rPr>
        <w:t xml:space="preserve">Network jamming is the case that comes closest to the first sense without yet arriving. It has the ensemble, over data draws and initializations. It has a quantity read off the network's own configuration rather than handed to it from outside, the count </w:t>
      </w:r>
      <m:oMath>
        <m:sSub>
          <m:e>
            <m:r>
              <m:t>N</m:t>
            </m:r>
          </m:e>
          <m:sub>
            <m:r>
              <m:t>Δ</m:t>
            </m:r>
          </m:sub>
        </m:sSub>
      </m:oMath>
      <w:r>
        <w:rPr>
          <w:i w:val="0"/>
        </w:rPr>
        <w:t xml:space="preserve"> of constraints still active at the minimum, positive below </w:t>
      </w:r>
      <m:oMath>
        <m:sSup>
          <m:e>
            <m:r>
              <m:t>N</m:t>
            </m:r>
          </m:e>
          <m:sup>
            <m:r>
              <m:t>*</m:t>
            </m:r>
          </m:sup>
        </m:sSup>
      </m:oMath>
      <w:r>
        <w:rPr>
          <w:i w:val="0"/>
        </w:rPr>
        <w:t xml:space="preserve"> and zero above. It has exponents. What it lacks is the narrowing, and what is missing there is a measurement and not an idea, which makes it a first-sense claim carrying a first-sense order parameter and no first-sense evidence. That is a better position than anything else on this list, and still not a result. Grokking is not placed at all: one task in which the step lives in an argmax over smoothly changing logits is a case rather than a phenomenon.</w:t>
      </w:r>
    </w:p>
    <w:p>
      <w:r>
        <w:rPr>
          <w:i w:val="0"/>
        </w:rPr>
        <w:t xml:space="preserve">The gap between the first sense and the third is what makes the closing question hard. Géza Györgyi showed in 1990 that a perceptron with binary weights undergoes a first-order transition at a critical number of examples: below it the generalization error sits at a minimal positive value, and at the transition the network freezes into the teacher's state with error identically zero. Haim Sompolinsky, Naftali Tishby and H. Sebastian Seung showed that continuously varying weights give a generalization error decaying asymptotically as the inverse of the example count, while discrete weights permit the discontinuous jump. In these calculations, reviewed by Timothy L. H. Watkin, Albrecht Rau and Michael Biehl, the order parameter is the overlap </w:t>
      </w:r>
      <m:oMath>
        <m:r>
          <m:t>R</m:t>
        </m:r>
      </m:oMath>
      <w:r>
        <w:rPr>
          <w:i w:val="0"/>
        </w:rPr>
        <w:t xml:space="preserve"> between the student's weight vector and the teacher's, and the perceptron result </w:t>
      </w:r>
      <m:oMath>
        <m:sSub>
          <m:e>
            <m:r>
              <m:t>ε</m:t>
            </m:r>
          </m:e>
          <m:sub>
            <m:r>
              <m:t>g</m:t>
            </m:r>
          </m:sub>
        </m:sSub>
        <m:r>
          <m:t>=</m:t>
        </m:r>
        <m:sSup>
          <m:e>
            <m:r>
              <m:t>π</m:t>
            </m:r>
          </m:e>
          <m:sup>
            <m:r>
              <m:t>−1</m:t>
            </m:r>
          </m:sup>
        </m:sSup>
        <m:r>
          <m:rPr>
            <m:sty m:val="p"/>
          </m:rPr>
          <m:t>arccos</m:t>
        </m:r>
        <m:r>
          <m:t>R</m:t>
        </m:r>
      </m:oMath>
      <w:r>
        <w:rPr>
          <w:i w:val="0"/>
        </w:rPr>
        <w:t xml:space="preserve"> turns it into an error. An all-or-nothing jump to perfect generalization was derived three decades before anyone filmed one and called it grokking, and the derivation had a quantity that jumped.</w:t>
      </w:r>
    </w:p>
    <w:p>
      <w:r>
        <w:rPr>
          <w:i w:val="0"/>
        </w:rPr>
        <w:t xml:space="preserve">What that quantity would be for a transformer is not obvious. Every case above takes its order parameter from outside the model: the teacher supplies </w:t>
      </w:r>
      <m:oMath>
        <m:r>
          <m:t>R</m:t>
        </m:r>
      </m:oMath>
      <w:r>
        <w:rPr>
          <w:i w:val="0"/>
        </w:rPr>
        <w:t xml:space="preserve">, the stored patterns the overlap, the threshold loss the count of unsatisfied constraints. A network trained to predict the next token in arbitrary text has no teacher and no pattern list. The progress measures of Nanda and colleagues are the nearest thing available, built by hand for a task whose algorithm was already known. Dmitry Krotov and Hopfield's dense associative memory shows what an internal alternative looks like: replacing the quadratic Hopfield energy with a rapidly growing interaction of power </w:t>
      </w:r>
      <m:oMath>
        <m:r>
          <m:t>n</m:t>
        </m:r>
      </m:oMath>
      <w:r>
        <w:rPr>
          <w:i w:val="0"/>
        </w:rPr>
        <w:t xml:space="preserve"> raises capacity to </w:t>
      </w:r>
      <m:oMath>
        <m:sSub>
          <m:e>
            <m:r>
              <m:t>K</m:t>
            </m:r>
          </m:e>
          <m:sub>
            <m:r>
              <m:t>max</m:t>
            </m:r>
          </m:sub>
        </m:sSub>
        <m:r>
          <m:t>~</m:t>
        </m:r>
        <m:sSup>
          <m:e>
            <m:r>
              <m:t>N</m:t>
            </m:r>
          </m:e>
          <m:sup>
            <m:r>
              <m:t>n−1</m:t>
            </m:r>
          </m:sup>
        </m:sSup>
      </m:oMath>
      <w:r>
        <w:rPr>
          <w:i w:val="0"/>
        </w:rPr>
        <w:t xml:space="preserve">, where </w:t>
      </w:r>
      <m:oMath>
        <m:r>
          <m:t>N</m:t>
        </m:r>
      </m:oMath>
      <w:r>
        <w:rPr>
          <w:i w:val="0"/>
        </w:rPr>
        <w:t xml:space="preserve"> counts neurons rather than parameters, and how steeply that energy rises is itself a knob, turning the network from a regime in which retrieval matches features to one in which it matches whole prototypes. Gardner's method is indifferent to what the machine is made of, since it asks about the volume of solutions rather than about any learning rule. What it needs is a set of constraints to count, and for a network trained on ordinary text, nobody has yet said what the constraints are.</w:t>
      </w:r>
    </w:p>
    <w:p>
      <w:pPr>
        <w:pStyle w:val="Heading1"/>
      </w:pPr>
      <w:r>
        <w:t>References</w:t>
      </w:r>
    </w:p>
    <w:p>
      <w:pPr>
        <w:spacing w:before="120" w:after="0"/>
        <w:ind w:firstLine="0"/>
      </w:pPr>
      <w:r>
        <w:rPr>
          <w:i w:val="0"/>
        </w:rPr>
        <w:t xml:space="preserve">Amit, Gutfreund, Sompolinsky (1987). Annals of Physics 173(1), 30-67. </w:t>
      </w:r>
      <w:hyperlink r:id="rId63">
        <w:r>
          <w:rPr>
            <w:rStyle w:val="Hyperlink"/>
          </w:rPr>
          <w:t xml:space="preserve">https://www.sciencedirect.com/science/article/abs/pii/0003491687900923</w:t>
        </w:r>
      </w:hyperlink>
    </w:p>
    <w:p>
      <w:pPr>
        <w:spacing w:before="120" w:after="0"/>
        <w:ind w:firstLine="0"/>
      </w:pPr>
      <w:r>
        <w:rPr>
          <w:i w:val="0"/>
        </w:rPr>
        <w:t xml:space="preserve">Barbier, Krzakala, Macris, Miolane, Zdeborová (2019). Proceedings of the National Academy of Sciences 116(12), 5451-5460; preprint arXiv:1708.03395. </w:t>
      </w:r>
      <w:hyperlink r:id="rId64">
        <w:r>
          <w:rPr>
            <w:rStyle w:val="Hyperlink"/>
          </w:rPr>
          <w:t xml:space="preserve">https://doi.org/10.1073/pnas.1802705116</w:t>
        </w:r>
      </w:hyperlink>
    </w:p>
    <w:p>
      <w:pPr>
        <w:spacing w:before="120" w:after="0"/>
        <w:ind w:firstLine="0"/>
      </w:pPr>
      <w:r>
        <w:rPr>
          <w:i w:val="0"/>
        </w:rPr>
        <w:t xml:space="preserve">Belkin, Hsu, Ma, Mandal (2019). Proceedings of the National Academy of Sciences 116(32), 15849-15854; preprint arXiv:1812.11118. </w:t>
      </w:r>
      <w:hyperlink r:id="rId65">
        <w:r>
          <w:rPr>
            <w:rStyle w:val="Hyperlink"/>
          </w:rPr>
          <w:t xml:space="preserve">https://doi.org/10.1073/pnas.1903070116</w:t>
        </w:r>
      </w:hyperlink>
    </w:p>
    <w:p>
      <w:pPr>
        <w:spacing w:before="120" w:after="0"/>
        <w:ind w:firstLine="0"/>
      </w:pPr>
      <w:r>
        <w:rPr>
          <w:i w:val="0"/>
        </w:rPr>
        <w:t xml:space="preserve">Bengtzelius, Götze, Sjölander (1984). Journal of Physics C: Solid State Physics 17, 5915-5934. </w:t>
      </w:r>
      <w:hyperlink r:id="rId66">
        <w:r>
          <w:rPr>
            <w:rStyle w:val="Hyperlink"/>
          </w:rPr>
          <w:t xml:space="preserve">https://iopscience.iop.org/article/10.1088/0022-3719/17/33/005</w:t>
        </w:r>
      </w:hyperlink>
    </w:p>
    <w:p>
      <w:pPr>
        <w:spacing w:before="120" w:after="0"/>
        <w:ind w:firstLine="0"/>
      </w:pPr>
      <w:r>
        <w:rPr>
          <w:i w:val="0"/>
        </w:rPr>
        <w:t xml:space="preserve">Berthier, Biroli (2011). Reviews of Modern Physics 83, 587-645; preprint arXiv:1011.2578. </w:t>
      </w:r>
      <w:hyperlink r:id="rId67">
        <w:r>
          <w:rPr>
            <w:rStyle w:val="Hyperlink"/>
          </w:rPr>
          <w:t xml:space="preserve">https://arxiv.org/pdf/1011.2578</w:t>
        </w:r>
      </w:hyperlink>
    </w:p>
    <w:p>
      <w:pPr>
        <w:spacing w:before="120" w:after="0"/>
        <w:ind w:firstLine="0"/>
      </w:pPr>
      <w:r>
        <w:rPr>
          <w:i w:val="0"/>
        </w:rPr>
        <w:t xml:space="preserve">Decelle, Krzakala, Moore, Zdeborová (2011). Physical Review E 84(6), 066106; preprint arXiv:1109.3041. </w:t>
      </w:r>
      <w:hyperlink r:id="rId68">
        <w:r>
          <w:rPr>
            <w:rStyle w:val="Hyperlink"/>
          </w:rPr>
          <w:t xml:space="preserve">https://doi.org/10.1103/PhysRevE.84.066106</w:t>
        </w:r>
      </w:hyperlink>
    </w:p>
    <w:p>
      <w:pPr>
        <w:spacing w:before="120" w:after="0"/>
        <w:ind w:firstLine="0"/>
      </w:pPr>
      <w:r>
        <w:rPr>
          <w:i w:val="0"/>
        </w:rPr>
        <w:t xml:space="preserve">Gardner (1988). Journal of Physics A: Mathematical and General 21(1), 257-270. </w:t>
      </w:r>
      <w:hyperlink r:id="rId69">
        <w:r>
          <w:rPr>
            <w:rStyle w:val="Hyperlink"/>
          </w:rPr>
          <w:t xml:space="preserve">https://doi.org/10.1088/0305-4470/21/1/030</w:t>
        </w:r>
      </w:hyperlink>
    </w:p>
    <w:p>
      <w:pPr>
        <w:spacing w:before="120" w:after="0"/>
        <w:ind w:firstLine="0"/>
      </w:pPr>
      <w:r>
        <w:rPr>
          <w:i w:val="0"/>
        </w:rPr>
        <w:t xml:space="preserve">Gardner, Derrida (1988). Optimal storage properties of neural network models. Journal of Physics A: Mathematical and General 21(1), 271-284. </w:t>
      </w:r>
      <w:hyperlink r:id="rId70">
        <w:r>
          <w:rPr>
            <w:rStyle w:val="Hyperlink"/>
          </w:rPr>
          <w:t xml:space="preserve">https://doi.org/10.1088/0305-4470/21/1/031</w:t>
        </w:r>
      </w:hyperlink>
    </w:p>
    <w:p>
      <w:pPr>
        <w:spacing w:before="120" w:after="0"/>
        <w:ind w:firstLine="0"/>
      </w:pPr>
      <w:r>
        <w:rPr>
          <w:i w:val="0"/>
        </w:rPr>
        <w:t xml:space="preserve">Geiger, Jacot, Spigler, Gabriel, Sagun, d'Ascoli, Biroli, Hongler, Wyart (2020). Journal of Statistical Mechanics: Theory and Experiment; preprint arXiv:1901.01608. </w:t>
      </w:r>
      <w:hyperlink r:id="rId71">
        <w:r>
          <w:rPr>
            <w:rStyle w:val="Hyperlink"/>
          </w:rPr>
          <w:t xml:space="preserve">https://arxiv.org/abs/1901.01608</w:t>
        </w:r>
      </w:hyperlink>
    </w:p>
    <w:p>
      <w:pPr>
        <w:spacing w:before="120" w:after="0"/>
        <w:ind w:firstLine="0"/>
      </w:pPr>
      <w:r>
        <w:rPr>
          <w:i w:val="0"/>
        </w:rPr>
        <w:t xml:space="preserve">Geiger, Spigler, d'Ascoli, Sagun, Baity-Jesi, Biroli, Wyart (2019). Physical Review E 100, 012115; preprint arXiv:1809.09349. </w:t>
      </w:r>
      <w:hyperlink r:id="rId72">
        <w:r>
          <w:rPr>
            <w:rStyle w:val="Hyperlink"/>
          </w:rPr>
          <w:t xml:space="preserve">https://doi.org/10.1103/PhysRevE.100.012115</w:t>
        </w:r>
      </w:hyperlink>
    </w:p>
    <w:p>
      <w:pPr>
        <w:spacing w:before="120" w:after="0"/>
        <w:ind w:firstLine="0"/>
      </w:pPr>
      <w:r>
        <w:rPr>
          <w:i w:val="0"/>
        </w:rPr>
        <w:t xml:space="preserve">Györgyi (1990). Physical Review A 41(12), 7097-7100. </w:t>
      </w:r>
      <w:hyperlink r:id="rId73">
        <w:r>
          <w:rPr>
            <w:rStyle w:val="Hyperlink"/>
          </w:rPr>
          <w:t xml:space="preserve">https://doi.org/10.1103/PhysRevA.41.7097</w:t>
        </w:r>
      </w:hyperlink>
    </w:p>
    <w:p>
      <w:pPr>
        <w:spacing w:before="120" w:after="0"/>
        <w:ind w:firstLine="0"/>
      </w:pPr>
      <w:r>
        <w:rPr>
          <w:i w:val="0"/>
        </w:rPr>
        <w:t xml:space="preserve">Hopfield (1982). Proceedings of the National Academy of Sciences 79(8), 2554-2558. </w:t>
      </w:r>
      <w:hyperlink r:id="rId74">
        <w:r>
          <w:rPr>
            <w:rStyle w:val="Hyperlink"/>
          </w:rPr>
          <w:t xml:space="preserve">https://doi.org/10.1073/pnas.79.8.2554</w:t>
        </w:r>
      </w:hyperlink>
    </w:p>
    <w:p>
      <w:pPr>
        <w:spacing w:before="120" w:after="0"/>
        <w:ind w:firstLine="0"/>
      </w:pPr>
      <w:r>
        <w:rPr>
          <w:i w:val="0"/>
        </w:rPr>
        <w:t xml:space="preserve">Krotov, Hopfield (2016). Dense Associative Memory for Pattern Recognition. Advances in Neural Information Processing Systems 29 (NeurIPS 2016), pp. 1172-1180; preprint arXiv:1606.01164. </w:t>
      </w:r>
      <w:hyperlink r:id="rId75">
        <w:r>
          <w:rPr>
            <w:rStyle w:val="Hyperlink"/>
          </w:rPr>
          <w:t xml:space="preserve">https://arxiv.org/abs/1606.01164</w:t>
        </w:r>
      </w:hyperlink>
    </w:p>
    <w:p>
      <w:pPr>
        <w:spacing w:before="120" w:after="0"/>
        <w:ind w:firstLine="0"/>
      </w:pPr>
      <w:r>
        <w:rPr>
          <w:i w:val="0"/>
        </w:rPr>
        <w:t xml:space="preserve">Liu, Nagel (1998). Nature 396, 21-22. </w:t>
      </w:r>
      <w:hyperlink r:id="rId76">
        <w:r>
          <w:rPr>
            <w:rStyle w:val="Hyperlink"/>
          </w:rPr>
          <w:t xml:space="preserve">https://doi.org/10.1038/23819</w:t>
        </w:r>
      </w:hyperlink>
    </w:p>
    <w:p>
      <w:pPr>
        <w:spacing w:before="120" w:after="0"/>
        <w:ind w:firstLine="0"/>
      </w:pPr>
      <w:r>
        <w:rPr>
          <w:i w:val="0"/>
        </w:rPr>
        <w:t xml:space="preserve">Liu, Nagel (2010). The Jamming Transition and the Marginally Jammed Solid. Annual Review of Condensed Matter Physics 1, 347-369. </w:t>
      </w:r>
      <w:hyperlink r:id="rId77">
        <w:r>
          <w:rPr>
            <w:rStyle w:val="Hyperlink"/>
          </w:rPr>
          <w:t xml:space="preserve">https://doi.org/10.1146/annurev-conmatphys-070909-104045</w:t>
        </w:r>
      </w:hyperlink>
    </w:p>
    <w:p>
      <w:pPr>
        <w:spacing w:before="120" w:after="0"/>
        <w:ind w:firstLine="0"/>
      </w:pPr>
      <w:r>
        <w:rPr>
          <w:i w:val="0"/>
        </w:rPr>
        <w:t xml:space="preserve">Nakkiran, Kaplun, Bansal, Yang, Barak, Sutskever (2020). International Conference on Learning Representations (ICLR) 2020; Journal of Statistical Mechanics: Theory and Experiment 2021, 124003; preprint arXiv:1912.02292. </w:t>
      </w:r>
      <w:hyperlink r:id="rId78">
        <w:r>
          <w:rPr>
            <w:rStyle w:val="Hyperlink"/>
          </w:rPr>
          <w:t xml:space="preserve">https://doi.org/10.1088/1742-5468/ac3a74</w:t>
        </w:r>
      </w:hyperlink>
    </w:p>
    <w:p>
      <w:pPr>
        <w:spacing w:before="120" w:after="0"/>
        <w:ind w:firstLine="0"/>
      </w:pPr>
      <w:r>
        <w:rPr>
          <w:i w:val="0"/>
        </w:rPr>
        <w:t xml:space="preserve">Nanda, Chan, Lieberum, Smith, Steinhardt (2023). The Eleventh International Conference on Learning Representations (ICLR 2023); preprint arXiv:2301.05217. </w:t>
      </w:r>
      <w:hyperlink r:id="rId79">
        <w:r>
          <w:rPr>
            <w:rStyle w:val="Hyperlink"/>
          </w:rPr>
          <w:t xml:space="preserve">https://arxiv.org/abs/2301.05217</w:t>
        </w:r>
      </w:hyperlink>
    </w:p>
    <w:p>
      <w:pPr>
        <w:spacing w:before="120" w:after="0"/>
        <w:ind w:firstLine="0"/>
      </w:pPr>
      <w:r>
        <w:rPr>
          <w:i w:val="0"/>
        </w:rPr>
        <w:t xml:space="preserve">O'Hern, Silbert, Liu, Nagel (2003). Physical Review E 68, 011306; preprint arXiv:cond-mat/0304421. </w:t>
      </w:r>
      <w:hyperlink r:id="rId80">
        <w:r>
          <w:rPr>
            <w:rStyle w:val="Hyperlink"/>
          </w:rPr>
          <w:t xml:space="preserve">https://doi.org/10.1103/PhysRevE.68.011306</w:t>
        </w:r>
      </w:hyperlink>
    </w:p>
    <w:p>
      <w:pPr>
        <w:spacing w:before="120" w:after="0"/>
        <w:ind w:firstLine="0"/>
      </w:pPr>
      <w:r>
        <w:rPr>
          <w:i w:val="0"/>
        </w:rPr>
        <w:t xml:space="preserve">Power, Burda, Edwards, Babuschkin, Misra (2022). arXiv preprint arXiv:2201.02177. </w:t>
      </w:r>
      <w:hyperlink r:id="rId81">
        <w:r>
          <w:rPr>
            <w:rStyle w:val="Hyperlink"/>
          </w:rPr>
          <w:t xml:space="preserve">https://arxiv.org/abs/2201.02177</w:t>
        </w:r>
      </w:hyperlink>
    </w:p>
    <w:p>
      <w:pPr>
        <w:spacing w:before="120" w:after="0"/>
        <w:ind w:firstLine="0"/>
      </w:pPr>
      <w:r>
        <w:rPr>
          <w:i w:val="0"/>
        </w:rPr>
        <w:t xml:space="preserve">Schaeffer, Miranda, Koyejo (2023). Advances in Neural Information Processing Systems 36 (NeurIPS 2023); preprint arXiv:2304.15004. </w:t>
      </w:r>
      <w:hyperlink r:id="rId82">
        <w:r>
          <w:rPr>
            <w:rStyle w:val="Hyperlink"/>
          </w:rPr>
          <w:t xml:space="preserve">https://arxiv.org/abs/2304.15004</w:t>
        </w:r>
      </w:hyperlink>
    </w:p>
    <w:p>
      <w:pPr>
        <w:spacing w:before="120" w:after="0"/>
        <w:ind w:firstLine="0"/>
      </w:pPr>
      <w:r>
        <w:rPr>
          <w:i w:val="0"/>
        </w:rPr>
        <w:t xml:space="preserve">Schaeffer, Miranda, Koyejo (2023). NeurIPS 2023 conference proceedings. </w:t>
      </w:r>
      <w:hyperlink r:id="rId83">
        <w:r>
          <w:rPr>
            <w:rStyle w:val="Hyperlink"/>
          </w:rPr>
          <w:t xml:space="preserve">https://proceedings.neurips.cc/paper_files/paper/2023/hash/adc98a266f45005c403b8311ca7e8bd7-Abstract-Conference.html</w:t>
        </w:r>
      </w:hyperlink>
    </w:p>
    <w:p>
      <w:pPr>
        <w:spacing w:before="120" w:after="0"/>
        <w:ind w:firstLine="0"/>
      </w:pPr>
      <w:r>
        <w:rPr>
          <w:i w:val="0"/>
        </w:rPr>
        <w:t xml:space="preserve">Sompolinsky, Tishby, Seung (1990). Physical Review Letters 65(13), 1683-1686. </w:t>
      </w:r>
      <w:hyperlink r:id="rId84">
        <w:r>
          <w:rPr>
            <w:rStyle w:val="Hyperlink"/>
          </w:rPr>
          <w:t xml:space="preserve">https://pubmed.ncbi.nlm.nih.gov/10042332/</w:t>
        </w:r>
      </w:hyperlink>
    </w:p>
    <w:p>
      <w:pPr>
        <w:spacing w:before="120" w:after="0"/>
        <w:ind w:firstLine="0"/>
      </w:pPr>
      <w:r>
        <w:rPr>
          <w:i w:val="0"/>
        </w:rPr>
        <w:t xml:space="preserve">Spigler, Geiger, d'Ascoli, Sagun, Biroli, Wyart (2019). A jamming transition from under- to over-parametrization affects generalization in deep learning. Journal of Physics A: Mathematical and Theoretical 52(47), 474001; preprint arXiv:1810.09665. </w:t>
      </w:r>
      <w:hyperlink r:id="rId85">
        <w:r>
          <w:rPr>
            <w:rStyle w:val="Hyperlink"/>
          </w:rPr>
          <w:t xml:space="preserve">https://doi.org/10.1088/1751-8121/ab4c8b</w:t>
        </w:r>
      </w:hyperlink>
    </w:p>
    <w:p>
      <w:pPr>
        <w:spacing w:before="120" w:after="0"/>
        <w:ind w:firstLine="0"/>
      </w:pPr>
      <w:r>
        <w:rPr>
          <w:i w:val="0"/>
        </w:rPr>
        <w:t xml:space="preserve">Watkin, Rau, Biehl (1993). Reviews of Modern Physics 65(2), 499-556. </w:t>
      </w:r>
      <w:hyperlink r:id="rId86">
        <w:r>
          <w:rPr>
            <w:rStyle w:val="Hyperlink"/>
          </w:rPr>
          <w:t xml:space="preserve">https://doi.org/10.1103/RevModPhys.65.499</w:t>
        </w:r>
      </w:hyperlink>
    </w:p>
    <w:p>
      <w:pPr>
        <w:spacing w:before="120" w:after="0"/>
        <w:ind w:firstLine="0"/>
      </w:pPr>
      <w:r>
        <w:rPr>
          <w:i w:val="0"/>
        </w:rPr>
        <w:t xml:space="preserve">Wei, Tay, Bommasani, Raffel, Zoph, Borgeaud, Yogatama, Bosma, Zhou, Metzler, Chi, Hashimoto, Vinyals, Liang, Dean, Fedus (2022). Emergent Abilities of Large Language Models. Transactions on Machine Learning Research (TMLR); preprint arXiv:2206.07682. </w:t>
      </w:r>
      <w:hyperlink r:id="rId87">
        <w:r>
          <w:rPr>
            <w:rStyle w:val="Hyperlink"/>
          </w:rPr>
          <w:t xml:space="preserve">https://arxiv.org/abs/2206.07682</w:t>
        </w:r>
      </w:hyperlink>
    </w:p>
    <w:p>
      <w:pPr>
        <w:spacing w:before="120" w:after="0"/>
        <w:ind w:firstLine="0"/>
      </w:pPr>
      <w:r>
        <w:rPr>
          <w:i w:val="0"/>
        </w:rPr>
        <w:t xml:space="preserve">Zdeborová (2020). Nature Physics 16, 602-604. </w:t>
      </w:r>
      <w:hyperlink r:id="rId88">
        <w:r>
          <w:rPr>
            <w:rStyle w:val="Hyperlink"/>
          </w:rPr>
          <w:t xml:space="preserve">https://doi.org/10.1038/s41567-020-0929-2</w:t>
        </w:r>
      </w:hyperlink>
    </w:p>
    <w:p>
      <w:pPr>
        <w:spacing w:before="120" w:after="0"/>
        <w:ind w:firstLine="0"/>
      </w:pPr>
      <w:r>
        <w:rPr>
          <w:i w:val="0"/>
        </w:rPr>
        <w:t xml:space="preserve">Zdeborová, Krzakala (2016). Advances in Physics 65(5), 453-552; preprint arXiv:1511.02476. </w:t>
      </w:r>
      <w:hyperlink r:id="rId89">
        <w:r>
          <w:rPr>
            <w:rStyle w:val="Hyperlink"/>
          </w:rPr>
          <w:t xml:space="preserve">https://doi.org/10.1080/00018732.2016.1211393</w:t>
        </w:r>
      </w:hyperlink>
    </w:p>
    <w:sectPr w:rsidR="007C37E4" w:rsidRPr="008E070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Garamond">
    <w:panose1 w:val="02020404030301010803"/>
    <w:charset w:val="00"/>
    <w:family w:val="roman"/>
    <w:pitch w:val="variable"/>
    <w:sig w:usb0="00000287" w:usb1="00000000" w:usb2="00000000" w:usb3="00000000" w:csb0="0000009F"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D8B5B96"/>
    <w:multiLevelType w:val="hybridMultilevel"/>
    <w:tmpl w:val="C0AC22F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 w15:restartNumberingAfterBreak="0">
    <w:nsid w:val="672072D2"/>
    <w:multiLevelType w:val="multilevel"/>
    <w:tmpl w:val="4F26E8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00319588">
    <w:abstractNumId w:val="1"/>
  </w:num>
  <w:num w:numId="2" w16cid:durableId="65850618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proofState w:spelling="clean" w:grammar="clean"/>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1693E"/>
    <w:rsid w:val="000059B6"/>
    <w:rsid w:val="00011D75"/>
    <w:rsid w:val="0009176D"/>
    <w:rsid w:val="001300C4"/>
    <w:rsid w:val="003E438B"/>
    <w:rsid w:val="0061693E"/>
    <w:rsid w:val="006E401A"/>
    <w:rsid w:val="00777342"/>
    <w:rsid w:val="007C37E4"/>
    <w:rsid w:val="008E0704"/>
    <w:rsid w:val="00B53BBD"/>
    <w:rsid w:val="00C40D96"/>
    <w:rsid w:val="00DA562F"/>
    <w:rsid w:val="00F31AB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D7CF657"/>
  <w15:chartTrackingRefBased/>
  <w15:docId w15:val="{295E243A-8DB0-4905-B258-D9314E8119D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A562F"/>
    <w:pPr>
      <w:keepNext/>
      <w:keepLines/>
      <w:spacing w:before="360" w:after="80" w:line="240" w:lineRule="auto"/>
      <w:ind w:firstLine="720"/>
      <w:contextualSpacing/>
      <w:outlineLvl w:val="0"/>
    </w:pPr>
    <w:rPr>
      <w:rFonts w:ascii="Garamond" w:eastAsiaTheme="majorEastAsia" w:hAnsi="Garamond" w:cstheme="majorBidi"/>
    </w:rPr>
  </w:style>
  <w:style w:type="paragraph" w:styleId="Heading1">
    <w:name w:val="heading 1"/>
    <w:basedOn w:val="Normal"/>
    <w:next w:val="Normal"/>
    <w:link w:val="Heading1Char"/>
    <w:uiPriority w:val="9"/>
    <w:qFormat/>
    <w:rsid w:val="003E438B"/>
    <w:pPr>
      <w:ind w:firstLine="0"/>
      <w:jc w:val="center"/>
    </w:pPr>
    <w:rPr>
      <w:b/>
      <w:bCs/>
      <w:sz w:val="48"/>
      <w:szCs w:val="48"/>
    </w:rPr>
  </w:style>
  <w:style w:type="paragraph" w:styleId="Heading2">
    <w:name w:val="heading 2"/>
    <w:basedOn w:val="Normal"/>
    <w:next w:val="Normal"/>
    <w:link w:val="Heading2Char"/>
    <w:uiPriority w:val="9"/>
    <w:semiHidden/>
    <w:unhideWhenUsed/>
    <w:qFormat/>
    <w:rsid w:val="0061693E"/>
    <w:pPr>
      <w:spacing w:before="160"/>
      <w:outlineLvl w:val="1"/>
    </w:pPr>
    <w:rPr>
      <w:rFonts w:asciiTheme="majorHAnsi" w:hAnsiTheme="majorHAnsi"/>
      <w:color w:val="0F4761" w:themeColor="accent1" w:themeShade="BF"/>
      <w:sz w:val="32"/>
      <w:szCs w:val="32"/>
    </w:rPr>
  </w:style>
  <w:style w:type="paragraph" w:styleId="Heading3">
    <w:name w:val="heading 3"/>
    <w:basedOn w:val="Normal"/>
    <w:next w:val="Normal"/>
    <w:link w:val="Heading3Char"/>
    <w:uiPriority w:val="9"/>
    <w:unhideWhenUsed/>
    <w:qFormat/>
    <w:rsid w:val="0061693E"/>
    <w:pPr>
      <w:spacing w:before="160"/>
      <w:outlineLvl w:val="2"/>
    </w:pPr>
    <w:rPr>
      <w:color w:val="0F4761" w:themeColor="accent1" w:themeShade="BF"/>
      <w:sz w:val="28"/>
      <w:szCs w:val="28"/>
    </w:rPr>
  </w:style>
  <w:style w:type="paragraph" w:styleId="Heading4">
    <w:name w:val="heading 4"/>
    <w:basedOn w:val="Normal"/>
    <w:next w:val="Normal"/>
    <w:link w:val="Heading4Char"/>
    <w:uiPriority w:val="9"/>
    <w:semiHidden/>
    <w:unhideWhenUsed/>
    <w:qFormat/>
    <w:rsid w:val="0061693E"/>
    <w:pPr>
      <w:spacing w:before="80" w:after="40"/>
      <w:outlineLvl w:val="3"/>
    </w:pPr>
    <w:rPr>
      <w:i/>
      <w:iCs/>
      <w:color w:val="0F4761" w:themeColor="accent1" w:themeShade="BF"/>
    </w:rPr>
  </w:style>
  <w:style w:type="paragraph" w:styleId="Heading5">
    <w:name w:val="heading 5"/>
    <w:basedOn w:val="Normal"/>
    <w:next w:val="Normal"/>
    <w:link w:val="Heading5Char"/>
    <w:uiPriority w:val="9"/>
    <w:semiHidden/>
    <w:unhideWhenUsed/>
    <w:qFormat/>
    <w:rsid w:val="0061693E"/>
    <w:pPr>
      <w:spacing w:before="80" w:after="40"/>
      <w:outlineLvl w:val="4"/>
    </w:pPr>
    <w:rPr>
      <w:color w:val="0F4761" w:themeColor="accent1" w:themeShade="BF"/>
    </w:rPr>
  </w:style>
  <w:style w:type="paragraph" w:styleId="Heading6">
    <w:name w:val="heading 6"/>
    <w:basedOn w:val="Normal"/>
    <w:next w:val="Normal"/>
    <w:link w:val="Heading6Char"/>
    <w:uiPriority w:val="9"/>
    <w:semiHidden/>
    <w:unhideWhenUsed/>
    <w:qFormat/>
    <w:rsid w:val="0061693E"/>
    <w:pPr>
      <w:spacing w:before="40" w:after="0"/>
      <w:outlineLvl w:val="5"/>
    </w:pPr>
    <w:rPr>
      <w:i/>
      <w:iCs/>
      <w:color w:val="595959" w:themeColor="text1" w:themeTint="A6"/>
    </w:rPr>
  </w:style>
  <w:style w:type="paragraph" w:styleId="Heading7">
    <w:name w:val="heading 7"/>
    <w:basedOn w:val="Normal"/>
    <w:next w:val="Normal"/>
    <w:link w:val="Heading7Char"/>
    <w:uiPriority w:val="9"/>
    <w:semiHidden/>
    <w:unhideWhenUsed/>
    <w:qFormat/>
    <w:rsid w:val="0061693E"/>
    <w:pPr>
      <w:spacing w:before="40" w:after="0"/>
      <w:outlineLvl w:val="6"/>
    </w:pPr>
    <w:rPr>
      <w:color w:val="595959" w:themeColor="text1" w:themeTint="A6"/>
    </w:rPr>
  </w:style>
  <w:style w:type="paragraph" w:styleId="Heading8">
    <w:name w:val="heading 8"/>
    <w:basedOn w:val="Normal"/>
    <w:next w:val="Normal"/>
    <w:link w:val="Heading8Char"/>
    <w:uiPriority w:val="9"/>
    <w:semiHidden/>
    <w:unhideWhenUsed/>
    <w:qFormat/>
    <w:rsid w:val="0061693E"/>
    <w:pPr>
      <w:spacing w:after="0"/>
      <w:outlineLvl w:val="7"/>
    </w:pPr>
    <w:rPr>
      <w:i/>
      <w:iCs/>
      <w:color w:val="272727" w:themeColor="text1" w:themeTint="D8"/>
    </w:rPr>
  </w:style>
  <w:style w:type="paragraph" w:styleId="Heading9">
    <w:name w:val="heading 9"/>
    <w:basedOn w:val="Normal"/>
    <w:next w:val="Normal"/>
    <w:link w:val="Heading9Char"/>
    <w:uiPriority w:val="9"/>
    <w:semiHidden/>
    <w:unhideWhenUsed/>
    <w:qFormat/>
    <w:rsid w:val="0061693E"/>
    <w:pPr>
      <w:spacing w:after="0"/>
      <w:outlineLvl w:val="8"/>
    </w:pPr>
    <w:rPr>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E438B"/>
    <w:rPr>
      <w:rFonts w:ascii="Garamond" w:eastAsiaTheme="majorEastAsia" w:hAnsi="Garamond" w:cstheme="majorBidi"/>
      <w:b/>
      <w:bCs/>
      <w:sz w:val="48"/>
      <w:szCs w:val="48"/>
    </w:rPr>
  </w:style>
  <w:style w:type="character" w:customStyle="1" w:styleId="Heading2Char">
    <w:name w:val="Heading 2 Char"/>
    <w:basedOn w:val="DefaultParagraphFont"/>
    <w:link w:val="Heading2"/>
    <w:uiPriority w:val="9"/>
    <w:semiHidden/>
    <w:rsid w:val="0061693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61693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1693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1693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1693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1693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1693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1693E"/>
    <w:rPr>
      <w:rFonts w:eastAsiaTheme="majorEastAsia" w:cstheme="majorBidi"/>
      <w:color w:val="272727" w:themeColor="text1" w:themeTint="D8"/>
    </w:rPr>
  </w:style>
  <w:style w:type="paragraph" w:styleId="Title">
    <w:name w:val="Title"/>
    <w:basedOn w:val="Normal"/>
    <w:next w:val="Normal"/>
    <w:link w:val="TitleChar"/>
    <w:uiPriority w:val="10"/>
    <w:qFormat/>
    <w:rsid w:val="00777342"/>
    <w:pPr>
      <w:jc w:val="center"/>
    </w:pPr>
    <w:rPr>
      <w:spacing w:val="-10"/>
      <w:kern w:val="28"/>
      <w:sz w:val="96"/>
      <w:szCs w:val="96"/>
    </w:rPr>
  </w:style>
  <w:style w:type="character" w:customStyle="1" w:styleId="TitleChar">
    <w:name w:val="Title Char"/>
    <w:basedOn w:val="DefaultParagraphFont"/>
    <w:link w:val="Title"/>
    <w:uiPriority w:val="10"/>
    <w:rsid w:val="00777342"/>
    <w:rPr>
      <w:rFonts w:ascii="Garamond" w:eastAsiaTheme="majorEastAsia" w:hAnsi="Garamond" w:cstheme="majorBidi"/>
      <w:b/>
      <w:bCs/>
      <w:spacing w:val="-10"/>
      <w:kern w:val="28"/>
      <w:sz w:val="96"/>
      <w:szCs w:val="96"/>
    </w:rPr>
  </w:style>
  <w:style w:type="paragraph" w:styleId="Subtitle">
    <w:name w:val="Subtitle"/>
    <w:basedOn w:val="Normal"/>
    <w:next w:val="Normal"/>
    <w:link w:val="SubtitleChar"/>
    <w:uiPriority w:val="11"/>
    <w:qFormat/>
    <w:rsid w:val="0061693E"/>
    <w:pPr>
      <w:numPr>
        <w:ilvl w:val="1"/>
      </w:numPr>
    </w:pPr>
    <w:rPr>
      <w:color w:val="595959" w:themeColor="text1" w:themeTint="A6"/>
      <w:spacing w:val="15"/>
      <w:sz w:val="28"/>
      <w:szCs w:val="28"/>
    </w:rPr>
  </w:style>
  <w:style w:type="character" w:customStyle="1" w:styleId="SubtitleChar">
    <w:name w:val="Subtitle Char"/>
    <w:basedOn w:val="DefaultParagraphFont"/>
    <w:link w:val="Subtitle"/>
    <w:uiPriority w:val="11"/>
    <w:rsid w:val="0061693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1693E"/>
    <w:pPr>
      <w:spacing w:before="160"/>
      <w:jc w:val="center"/>
    </w:pPr>
    <w:rPr>
      <w:i/>
      <w:iCs/>
      <w:color w:val="404040" w:themeColor="text1" w:themeTint="BF"/>
    </w:rPr>
  </w:style>
  <w:style w:type="character" w:customStyle="1" w:styleId="QuoteChar">
    <w:name w:val="Quote Char"/>
    <w:basedOn w:val="DefaultParagraphFont"/>
    <w:link w:val="Quote"/>
    <w:uiPriority w:val="29"/>
    <w:rsid w:val="0061693E"/>
    <w:rPr>
      <w:i/>
      <w:iCs/>
      <w:color w:val="404040" w:themeColor="text1" w:themeTint="BF"/>
    </w:rPr>
  </w:style>
  <w:style w:type="paragraph" w:styleId="ListParagraph">
    <w:name w:val="List Paragraph"/>
    <w:basedOn w:val="Normal"/>
    <w:uiPriority w:val="34"/>
    <w:qFormat/>
    <w:rsid w:val="0061693E"/>
    <w:pPr>
      <w:ind w:left="720"/>
    </w:pPr>
  </w:style>
  <w:style w:type="character" w:styleId="IntenseEmphasis">
    <w:name w:val="Intense Emphasis"/>
    <w:basedOn w:val="DefaultParagraphFont"/>
    <w:uiPriority w:val="21"/>
    <w:qFormat/>
    <w:rsid w:val="0061693E"/>
    <w:rPr>
      <w:i/>
      <w:iCs/>
      <w:color w:val="0F4761" w:themeColor="accent1" w:themeShade="BF"/>
    </w:rPr>
  </w:style>
  <w:style w:type="paragraph" w:styleId="IntenseQuote">
    <w:name w:val="Intense Quote"/>
    <w:basedOn w:val="Normal"/>
    <w:next w:val="Normal"/>
    <w:link w:val="IntenseQuoteChar"/>
    <w:uiPriority w:val="30"/>
    <w:qFormat/>
    <w:rsid w:val="0061693E"/>
    <w:pPr>
      <w:pBdr>
        <w:top w:val="single" w:sz="4" w:space="10" w:color="0F4761" w:themeColor="accent1" w:themeShade="BF"/>
        <w:bottom w:val="single" w:sz="4" w:space="10" w:color="0F4761" w:themeColor="accent1" w:themeShade="BF"/>
      </w:pBdr>
      <w:spacing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1693E"/>
    <w:rPr>
      <w:i/>
      <w:iCs/>
      <w:color w:val="0F4761" w:themeColor="accent1" w:themeShade="BF"/>
    </w:rPr>
  </w:style>
  <w:style w:type="character" w:styleId="IntenseReference">
    <w:name w:val="Intense Reference"/>
    <w:basedOn w:val="DefaultParagraphFont"/>
    <w:uiPriority w:val="32"/>
    <w:qFormat/>
    <w:rsid w:val="0061693E"/>
    <w:rPr>
      <w:b/>
      <w:bCs/>
      <w:smallCaps/>
      <w:color w:val="0F4761" w:themeColor="accent1" w:themeShade="BF"/>
      <w:spacing w:val="5"/>
    </w:rPr>
  </w:style>
  <w:style w:type="paragraph" w:customStyle="1" w:styleId="msonormal0">
    <w:name w:val="msonormal"/>
    <w:basedOn w:val="Normal"/>
    <w:rsid w:val="0061693E"/>
    <w:pPr>
      <w:spacing w:before="100" w:beforeAutospacing="1" w:after="100" w:afterAutospacing="1"/>
    </w:pPr>
    <w:rPr>
      <w:rFonts w:ascii="Times New Roman" w:eastAsia="Times New Roman" w:hAnsi="Times New Roman" w:cs="Times New Roman"/>
      <w:kern w:val="0"/>
      <w14:ligatures w14:val="none"/>
    </w:rPr>
  </w:style>
  <w:style w:type="paragraph" w:styleId="NormalWeb">
    <w:name w:val="Normal (Web)"/>
    <w:basedOn w:val="Normal"/>
    <w:uiPriority w:val="99"/>
    <w:semiHidden/>
    <w:unhideWhenUsed/>
    <w:rsid w:val="0061693E"/>
    <w:pPr>
      <w:spacing w:before="100" w:beforeAutospacing="1" w:after="100" w:afterAutospacing="1"/>
    </w:pPr>
    <w:rPr>
      <w:rFonts w:ascii="Times New Roman" w:eastAsia="Times New Roman" w:hAnsi="Times New Roman" w:cs="Times New Roman"/>
      <w:kern w:val="0"/>
      <w14:ligatures w14:val="none"/>
    </w:rPr>
  </w:style>
  <w:style w:type="character" w:customStyle="1" w:styleId="math-inline">
    <w:name w:val="math-inline"/>
    <w:basedOn w:val="DefaultParagraphFont"/>
    <w:rsid w:val="0061693E"/>
  </w:style>
  <w:style w:type="character" w:styleId="Hyperlink">
    <w:name w:val="Hyperlink"/>
    <w:basedOn w:val="DefaultParagraphFont"/>
    <w:uiPriority w:val="99"/>
    <w:unhideWhenUsed/>
    <w:rsid w:val="0061693E"/>
    <w:rPr>
      <w:color w:val="0000FF"/>
      <w:u w:val="single"/>
    </w:rPr>
  </w:style>
  <w:style w:type="character" w:styleId="FollowedHyperlink">
    <w:name w:val="FollowedHyperlink"/>
    <w:basedOn w:val="DefaultParagraphFont"/>
    <w:uiPriority w:val="99"/>
    <w:semiHidden/>
    <w:unhideWhenUsed/>
    <w:rsid w:val="0061693E"/>
    <w:rPr>
      <w:color w:val="800080"/>
      <w:u w:val="single"/>
    </w:rPr>
  </w:style>
  <w:style w:type="character" w:styleId="UnresolvedMention">
    <w:name w:val="Unresolved Mention"/>
    <w:basedOn w:val="DefaultParagraphFont"/>
    <w:uiPriority w:val="99"/>
    <w:semiHidden/>
    <w:unhideWhenUsed/>
    <w:rsid w:val="0061693E"/>
    <w:rPr>
      <w:color w:val="605E5C"/>
      <w:shd w:val="clear" w:color="auto" w:fill="E1DFDD"/>
    </w:rPr>
  </w:style>
  <w:style w:type="paragraph" w:customStyle="1" w:styleId="BookSection">
    <w:name w:val="BookSection"/>
    <w:basedOn w:val="Normal"/>
    <w:pPr>
      <w:keepNext/>
      <w:spacing w:before="320" w:after="80"/>
      <w:ind w:firstLine="0"/>
    </w:pPr>
    <w:rPr>
      <w:rFonts w:ascii="Garamond" w:hAnsi="Garamond"/>
      <w:b/>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s://www.amazon.com/dp/B0FG1WRVBB" TargetMode="External"/><Relationship Id="rId18" Type="http://schemas.openxmlformats.org/officeDocument/2006/relationships/hyperlink" Target="https://www.amazon.com/Thinking-Web-Berners-Lee-G%C3%B6del-Turing/dp/0471768146?ref_=ast_author_dp_rw&amp;dib=eyJ2IjoiMSJ9.PL9qoZpKEjkVUnUQYCo8gjOTGNvdhoYh3mBdDjp4RmhwBYORkKAtbsZ8ZG9fGPVAJCbVpES-Sz-vDHOYVEG0k7JJYtNNTNp1e6cmtQVEVZmxscnMrukGf9EfiPj4NMC8AsuevcHeJ0kXvoje8MrlbLoicsb1SDw66aQ-gheTweWb6ubN_5eesJOLhuz1k9OWOgIjzWmb9dBLXsiWHK18HMI_RS00unEqGXy_38AosVU.E8nXpnJ7EDYfNfzn56mnLQLoRb1LWR_gQRZ4KSi8jzs&amp;dib_tag=AUTHOR" TargetMode="External"/><Relationship Id="rId26" Type="http://schemas.openxmlformats.org/officeDocument/2006/relationships/hyperlink" Target="https://doi.org/10.2475/ajs.s3-16.96.441" TargetMode="External"/><Relationship Id="rId39" Type="http://schemas.openxmlformats.org/officeDocument/2006/relationships/hyperlink" Target="https://doi.org/10.1063/1.1744102" TargetMode="External"/><Relationship Id="rId21" Type="http://schemas.openxmlformats.org/officeDocument/2006/relationships/hyperlink" Target="https://www.amazon.com/Video-Producing-Internet-Broadband-Technologies/dp/0201703149?ref_=ast_author_dp_rw&amp;dib=eyJ2IjoiMSJ9.PL9qoZpKEjkVUnUQYCo8gjOTGNvdhoYh3mBdDjp4RmhwBYORkKAtbsZ8ZG9fGPVAJCbVpES-Sz-vDHOYVEG0k7JJYtNNTNp1e6cmtQVEVZmxscnMrukGf9EfiPj4NMC8AsuevcHeJ0kXvoje8MrlbLoicsb1SDw66aQ-gheTweWb6ubN_5eesJOLhuz1k9OWOgIjzWmb9dBLXsiWHK18HMI_RS00unEqGXy_38AosVU.E8nXpnJ7EDYfNfzn56mnLQLoRb1LWR_gQRZ4KSi8jzs&amp;dib_tag=AUTHOR" TargetMode="External"/><Relationship Id="rId34" Type="http://schemas.openxmlformats.org/officeDocument/2006/relationships/hyperlink" Target="https://doi.org/10.1103/PhysRev.65.117" TargetMode="External"/><Relationship Id="rId42" Type="http://schemas.openxmlformats.org/officeDocument/2006/relationships/hyperlink" Target="https://doi.org/10.1063/1.1734338" TargetMode="External"/><Relationship Id="rId47" Type="http://schemas.openxmlformats.org/officeDocument/2006/relationships/hyperlink" Target="https://doi.org/10.1103/PhysRevB.4.3174" TargetMode="External"/><Relationship Id="rId50" Type="http://schemas.openxmlformats.org/officeDocument/2006/relationships/hyperlink" Target="https://doi.org/10.1103/RevModPhys.46.597" TargetMode="External"/><Relationship Id="rId55" Type="http://schemas.openxmlformats.org/officeDocument/2006/relationships/hyperlink" Target="https://doi.org/10.1038/nphys4037" TargetMode="External"/><Relationship Id="rId7" Type="http://schemas.openxmlformats.org/officeDocument/2006/relationships/hyperlink" Target="https://www.amazon.com/dp/B0FF2RXNSH" TargetMode="External"/><Relationship Id="rId2" Type="http://schemas.openxmlformats.org/officeDocument/2006/relationships/styles" Target="styles.xml"/><Relationship Id="rId16" Type="http://schemas.openxmlformats.org/officeDocument/2006/relationships/hyperlink" Target="https://www.amazon.com/dp/B0F8667YMW" TargetMode="External"/><Relationship Id="rId29" Type="http://schemas.openxmlformats.org/officeDocument/2006/relationships/hyperlink" Target="https://arxiv.org/abs/1612.03062" TargetMode="External"/><Relationship Id="rId11" Type="http://schemas.openxmlformats.org/officeDocument/2006/relationships/hyperlink" Target="https://www.amazon.com/dp/B0FKRHJNKV" TargetMode="External"/><Relationship Id="rId24" Type="http://schemas.openxmlformats.org/officeDocument/2006/relationships/image" Target="media/image2.svg"/><Relationship Id="rId32" Type="http://schemas.openxmlformats.org/officeDocument/2006/relationships/hyperlink" Target="https://doi.org/10.1007/BF02980577" TargetMode="External"/><Relationship Id="rId37" Type="http://schemas.openxmlformats.org/officeDocument/2006/relationships/hyperlink" Target="https://doi.org/10.1103/PhysRev.87.404" TargetMode="External"/><Relationship Id="rId40" Type="http://schemas.openxmlformats.org/officeDocument/2006/relationships/hyperlink" Target="https://jetp.ras.ru/cgi-bin/e/index/e/9/3/p571?a=list" TargetMode="External"/><Relationship Id="rId45" Type="http://schemas.openxmlformats.org/officeDocument/2006/relationships/hyperlink" Target="https://doi.org/10.1103/PhysicsPhysiqueFizika.2.263" TargetMode="External"/><Relationship Id="rId53" Type="http://schemas.openxmlformats.org/officeDocument/2006/relationships/hyperlink" Target="https://doi.org/10.1038/nphys4035" TargetMode="External"/><Relationship Id="rId58" Type="http://schemas.openxmlformats.org/officeDocument/2006/relationships/hyperlink" Target="https://doi.org/10.1103/PhysRevB.97.174435" TargetMode="External"/><Relationship Id="rId5" Type="http://schemas.openxmlformats.org/officeDocument/2006/relationships/hyperlink" Target="https://www.hpeteralesso.com/" TargetMode="External"/><Relationship Id="rId61" Type="http://schemas.openxmlformats.org/officeDocument/2006/relationships/fontTable" Target="fontTable.xml"/><Relationship Id="rId19" Type="http://schemas.openxmlformats.org/officeDocument/2006/relationships/hyperlink" Target="https://www.amazon.com/Developing-Semantic-Services-H-Peter-Alesso-ebook/dp/B07YYNL4KT?ref_=ast_author_dp_rw&amp;dib=eyJ2IjoiMSJ9.PL9qoZpKEjkVUnUQYCo8gjOTGNvdhoYh3mBdDjp4RmhwBYORkKAtbsZ8ZG9fGPVAJCbVpES-Sz-vDHOYVEG0k7JJYtNNTNp1e6cmtQVEVZmxscnMrukGf9EfiPj4NMC8AsuevcHeJ0kXvoje8MrlbLoicsb1SDw66aQ-gheTweWb6ubN_5eesJOLhuz1k9OWOgIjzWmb9dBLXsiWHK18HMI_RS00unEqGXy_38AosVU.E8nXpnJ7EDYfNfzn56mnLQLoRb1LWR_gQRZ4KSi8jzs&amp;dib_tag=AUTHOR" TargetMode="External"/><Relationship Id="rId14" Type="http://schemas.openxmlformats.org/officeDocument/2006/relationships/hyperlink" Target="https://www.amazon.com/dp/B0FCV28PMM" TargetMode="External"/><Relationship Id="rId22" Type="http://schemas.openxmlformats.org/officeDocument/2006/relationships/hyperlink" Target="http://www.hpeteralesso.com" TargetMode="External"/><Relationship Id="rId27" Type="http://schemas.openxmlformats.org/officeDocument/2006/relationships/hyperlink" Target="https://gallica.bnf.fr/ark:/12148/bpt6k3414331n.image" TargetMode="External"/><Relationship Id="rId30" Type="http://schemas.openxmlformats.org/officeDocument/2006/relationships/hyperlink" Target="https://doi.org/10.1140/epjst/e2016-60344-y" TargetMode="External"/><Relationship Id="rId35" Type="http://schemas.openxmlformats.org/officeDocument/2006/relationships/hyperlink" Target="https://doi.org/10.1063/1.1724033" TargetMode="External"/><Relationship Id="rId43" Type="http://schemas.openxmlformats.org/officeDocument/2006/relationships/hyperlink" Target="https://books.google.com/books/about/Lectures_in_Theoretical_Physics_Vol_7c.html?id=W6-lXwAACAAJ" TargetMode="External"/><Relationship Id="rId48" Type="http://schemas.openxmlformats.org/officeDocument/2006/relationships/hyperlink" Target="https://doi.org/10.1103/PhysRevLett.28.240" TargetMode="External"/><Relationship Id="rId56" Type="http://schemas.openxmlformats.org/officeDocument/2006/relationships/hyperlink" Target="https://doi.org/10.1103/PhysRevB.96.184410" TargetMode="External"/><Relationship Id="rId8" Type="http://schemas.openxmlformats.org/officeDocument/2006/relationships/hyperlink" Target="https://www.amazon.com/dp/B0FBR8B2W9" TargetMode="External"/><Relationship Id="rId51" Type="http://schemas.openxmlformats.org/officeDocument/2006/relationships/hyperlink" Target="https://doi.org/10.1103/PhysRevLett.47.1" TargetMode="External"/><Relationship Id="rId3" Type="http://schemas.openxmlformats.org/officeDocument/2006/relationships/settings" Target="settings.xml"/><Relationship Id="rId12" Type="http://schemas.openxmlformats.org/officeDocument/2006/relationships/hyperlink" Target="https://www.amazon.com/dp/B0FH5S9WQR" TargetMode="External"/><Relationship Id="rId17" Type="http://schemas.openxmlformats.org/officeDocument/2006/relationships/hyperlink" Target="https://www.amazon.com/Connections-Patterns-Discovery-Wiley-IEEE-ebook/dp/B0017T9E6O?ref_=ast_author_dp_rw&amp;dib=eyJ2IjoiMSJ9.PL9qoZpKEjkVUnUQYCo8gjOTGNvdhoYh3mBdDjp4RmhwBYORkKAtbsZ8ZG9fGPVAJCbVpES-Sz-vDHOYVEG0k7JJYtNNTNp1e6cmtQVEVZmxscnMrukGf9EfiPj4NMC8AsuevcHeJ0kXvoje8MrlbLoicsb1SDw66aQ-gheTweWb6ubN_5eesJOLhuz1k9OWOgIjzWmb9dBLXsiWHK18HMI_RS00unEqGXy_38AosVU.E8nXpnJ7EDYfNfzn56mnLQLoRb1LWR_gQRZ4KSi8jzs&amp;dib_tag=AUTHOR" TargetMode="External"/><Relationship Id="rId25" Type="http://schemas.openxmlformats.org/officeDocument/2006/relationships/hyperlink" Target="https://www.ai-hive.net/" TargetMode="External"/><Relationship Id="rId33" Type="http://schemas.openxmlformats.org/officeDocument/2006/relationships/hyperlink" Target="https://doi.org/10.1017/S0305004100019174" TargetMode="External"/><Relationship Id="rId38" Type="http://schemas.openxmlformats.org/officeDocument/2006/relationships/hyperlink" Target="https://doi.org/10.1103/PhysRev.87.410" TargetMode="External"/><Relationship Id="rId46" Type="http://schemas.openxmlformats.org/officeDocument/2006/relationships/hyperlink" Target="https://doi.org/10.1103/PhysRev.185.832" TargetMode="External"/><Relationship Id="rId59" Type="http://schemas.openxmlformats.org/officeDocument/2006/relationships/hyperlink" Target="https://doi.org/10.4007/annals.2021.194.1.3" TargetMode="External"/><Relationship Id="rId20" Type="http://schemas.openxmlformats.org/officeDocument/2006/relationships/hyperlink" Target="https://www.amazon.com/Intelligent-Wireless-Web-Peter-Alesso/dp/0201730634?ref_=ast_author_dp_rw&amp;dib=eyJ2IjoiMSJ9.PL9qoZpKEjkVUnUQYCo8gjOTGNvdhoYh3mBdDjp4RmhwBYORkKAtbsZ8ZG9fGPVAJCbVpES-Sz-vDHOYVEG0k7JJYtNNTNp1e6cmtQVEVZmxscnMrukGf9EfiPj4NMC8AsuevcHeJ0kXvoje8MrlbLoicsb1SDw66aQ-gheTweWb6ubN_5eesJOLhuz1k9OWOgIjzWmb9dBLXsiWHK18HMI_RS00unEqGXy_38AosVU.E8nXpnJ7EDYfNfzn56mnLQLoRb1LWR_gQRZ4KSi8jzs&amp;dib_tag=AUTHOR" TargetMode="External"/><Relationship Id="rId41" Type="http://schemas.openxmlformats.org/officeDocument/2006/relationships/hyperlink" Target="https://garfield.library.upenn.edu/histcomp/fisher-me_auth-citing/node/46.html" TargetMode="External"/><Relationship Id="rId54" Type="http://schemas.openxmlformats.org/officeDocument/2006/relationships/hyperlink" Target="https://doi.org/10.1103/PhysRevX.7.031038" TargetMode="External"/><Relationship Id="rId62"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hyperlink" Target="https://www.amazon.com/dp/B0FLSP5DM3" TargetMode="External"/><Relationship Id="rId15" Type="http://schemas.openxmlformats.org/officeDocument/2006/relationships/hyperlink" Target="https://www.amazon.com/dp/B0FCNB5VK9" TargetMode="External"/><Relationship Id="rId23" Type="http://schemas.openxmlformats.org/officeDocument/2006/relationships/image" Target="media/image1.png"/><Relationship Id="rId28" Type="http://schemas.openxmlformats.org/officeDocument/2006/relationships/hyperlink" Target="https://doi.org/10.1002/andp.18501550306" TargetMode="External"/><Relationship Id="rId36" Type="http://schemas.openxmlformats.org/officeDocument/2006/relationships/hyperlink" Target="https://doi.org/10.1103/PhysRev.85.808" TargetMode="External"/><Relationship Id="rId49" Type="http://schemas.openxmlformats.org/officeDocument/2006/relationships/hyperlink" Target="https://doi.org/10.1103/PhysRevLett.28.1516" TargetMode="External"/><Relationship Id="rId57" Type="http://schemas.openxmlformats.org/officeDocument/2006/relationships/hyperlink" Target="https://doi.org/10.1103/PhysRevE.98.022138" TargetMode="External"/><Relationship Id="rId10" Type="http://schemas.openxmlformats.org/officeDocument/2006/relationships/hyperlink" Target="https://www.amazon.com/dp/B0FJBD36BV" TargetMode="External"/><Relationship Id="rId31" Type="http://schemas.openxmlformats.org/officeDocument/2006/relationships/hyperlink" Target="https://doi.org/10.1016/B978-0-08-010586-4.50034-1" TargetMode="External"/><Relationship Id="rId44" Type="http://schemas.openxmlformats.org/officeDocument/2006/relationships/hyperlink" Target="https://doi.org/10.1063/1.1696618" TargetMode="External"/><Relationship Id="rId52" Type="http://schemas.openxmlformats.org/officeDocument/2006/relationships/hyperlink" Target="https://doi.org/10.1007/BF01213009" TargetMode="External"/><Relationship Id="rId60" Type="http://schemas.openxmlformats.org/officeDocument/2006/relationships/hyperlink" Target="https://doi.org/10.1103/PhysRevE.108.L032102" TargetMode="External"/><Relationship Id="rId4" Type="http://schemas.openxmlformats.org/officeDocument/2006/relationships/webSettings" Target="webSettings.xml"/><Relationship Id="rId9" Type="http://schemas.openxmlformats.org/officeDocument/2006/relationships/hyperlink" Target="https://www.amazon.com/dp/B0FP8KYXNF" TargetMode="External"/><Relationship Id="rId63" Type="http://schemas.openxmlformats.org/officeDocument/2006/relationships/hyperlink" Target="https://www.sciencedirect.com/science/article/abs/pii/0003491687900923" TargetMode="External"/><Relationship Id="rId64" Type="http://schemas.openxmlformats.org/officeDocument/2006/relationships/hyperlink" Target="https://doi.org/10.1073/pnas.1802705116" TargetMode="External"/><Relationship Id="rId65" Type="http://schemas.openxmlformats.org/officeDocument/2006/relationships/hyperlink" Target="https://doi.org/10.1073/pnas.1903070116" TargetMode="External"/><Relationship Id="rId66" Type="http://schemas.openxmlformats.org/officeDocument/2006/relationships/hyperlink" Target="https://iopscience.iop.org/article/10.1088/0022-3719/17/33/005" TargetMode="External"/><Relationship Id="rId67" Type="http://schemas.openxmlformats.org/officeDocument/2006/relationships/hyperlink" Target="https://arxiv.org/pdf/1011.2578" TargetMode="External"/><Relationship Id="rId68" Type="http://schemas.openxmlformats.org/officeDocument/2006/relationships/hyperlink" Target="https://doi.org/10.1103/PhysRevE.84.066106" TargetMode="External"/><Relationship Id="rId69" Type="http://schemas.openxmlformats.org/officeDocument/2006/relationships/hyperlink" Target="https://doi.org/10.1088/0305-4470/21/1/030" TargetMode="External"/><Relationship Id="rId70" Type="http://schemas.openxmlformats.org/officeDocument/2006/relationships/hyperlink" Target="https://doi.org/10.1088/0305-4470/21/1/031" TargetMode="External"/><Relationship Id="rId71" Type="http://schemas.openxmlformats.org/officeDocument/2006/relationships/hyperlink" Target="https://arxiv.org/abs/1901.01608" TargetMode="External"/><Relationship Id="rId72" Type="http://schemas.openxmlformats.org/officeDocument/2006/relationships/hyperlink" Target="https://doi.org/10.1103/PhysRevE.100.012115" TargetMode="External"/><Relationship Id="rId73" Type="http://schemas.openxmlformats.org/officeDocument/2006/relationships/hyperlink" Target="https://doi.org/10.1103/PhysRevA.41.7097" TargetMode="External"/><Relationship Id="rId74" Type="http://schemas.openxmlformats.org/officeDocument/2006/relationships/hyperlink" Target="https://doi.org/10.1073/pnas.79.8.2554" TargetMode="External"/><Relationship Id="rId75" Type="http://schemas.openxmlformats.org/officeDocument/2006/relationships/hyperlink" Target="https://arxiv.org/abs/1606.01164" TargetMode="External"/><Relationship Id="rId76" Type="http://schemas.openxmlformats.org/officeDocument/2006/relationships/hyperlink" Target="https://doi.org/10.1038/23819" TargetMode="External"/><Relationship Id="rId77" Type="http://schemas.openxmlformats.org/officeDocument/2006/relationships/hyperlink" Target="https://doi.org/10.1146/annurev-conmatphys-070909-104045" TargetMode="External"/><Relationship Id="rId78" Type="http://schemas.openxmlformats.org/officeDocument/2006/relationships/hyperlink" Target="https://doi.org/10.1088/1742-5468/ac3a74" TargetMode="External"/><Relationship Id="rId79" Type="http://schemas.openxmlformats.org/officeDocument/2006/relationships/hyperlink" Target="https://arxiv.org/abs/2301.05217" TargetMode="External"/><Relationship Id="rId80" Type="http://schemas.openxmlformats.org/officeDocument/2006/relationships/hyperlink" Target="https://doi.org/10.1103/PhysRevE.68.011306" TargetMode="External"/><Relationship Id="rId81" Type="http://schemas.openxmlformats.org/officeDocument/2006/relationships/hyperlink" Target="https://arxiv.org/abs/2201.02177" TargetMode="External"/><Relationship Id="rId82" Type="http://schemas.openxmlformats.org/officeDocument/2006/relationships/hyperlink" Target="https://arxiv.org/abs/2304.15004" TargetMode="External"/><Relationship Id="rId83" Type="http://schemas.openxmlformats.org/officeDocument/2006/relationships/hyperlink" Target="https://proceedings.neurips.cc/paper_files/paper/2023/hash/adc98a266f45005c403b8311ca7e8bd7-Abstract-Conference.html" TargetMode="External"/><Relationship Id="rId84" Type="http://schemas.openxmlformats.org/officeDocument/2006/relationships/hyperlink" Target="https://pubmed.ncbi.nlm.nih.gov/10042332/" TargetMode="External"/><Relationship Id="rId85" Type="http://schemas.openxmlformats.org/officeDocument/2006/relationships/hyperlink" Target="https://doi.org/10.1088/1751-8121/ab4c8b" TargetMode="External"/><Relationship Id="rId86" Type="http://schemas.openxmlformats.org/officeDocument/2006/relationships/hyperlink" Target="https://doi.org/10.1103/RevModPhys.65.499" TargetMode="External"/><Relationship Id="rId87" Type="http://schemas.openxmlformats.org/officeDocument/2006/relationships/hyperlink" Target="https://arxiv.org/abs/2206.07682" TargetMode="External"/><Relationship Id="rId88" Type="http://schemas.openxmlformats.org/officeDocument/2006/relationships/hyperlink" Target="https://doi.org/10.1038/s41567-020-0929-2" TargetMode="External"/><Relationship Id="rId89" Type="http://schemas.openxmlformats.org/officeDocument/2006/relationships/hyperlink" Target="https://doi.org/10.1080/00018732.2016.1211393"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56</TotalTime>
  <Pages>15</Pages>
  <Words>6924</Words>
  <Characters>39473</Characters>
  <Application>Microsoft Office Word</Application>
  <DocSecurity>0</DocSecurity>
  <Lines>328</Lines>
  <Paragraphs>92</Paragraphs>
  <ScaleCrop>false</ScaleCrop>
  <Company/>
  <LinksUpToDate>false</LinksUpToDate>
  <CharactersWithSpaces>46305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Harry Alesso</dc:creator>
  <cp:keywords/>
  <dc:description/>
  <cp:lastModifiedBy>Harry Alesso</cp:lastModifiedBy>
  <cp:revision>8</cp:revision>
  <dcterms:created xsi:type="dcterms:W3CDTF">2026-08-23T17:29:00Z</dcterms:created>
  <dcterms:modified xsi:type="dcterms:W3CDTF">2026-08-23T18:20:00Z</dcterms:modified>
</cp:coreProperties>
</file>