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40"/>
        </w:rPr>
        <w:t>FalconOne Body-Worn Camera</w:t>
      </w:r>
    </w:p>
    <w:p>
      <w:pPr>
        <w:spacing w:after="280"/>
      </w:pPr>
      <w:r>
        <w:rPr>
          <w:b w:val="0"/>
          <w:i/>
          <w:sz w:val="25"/>
        </w:rPr>
        <w:t>Project overview: what the unit does and what we have built so far</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703"/>
        <w:gridCol w:w="4703"/>
      </w:tblGrid>
      <w:tr>
        <w:tc>
          <w:tcPr>
            <w:tcW w:type="dxa" w:w="2551"/>
            <w:shd w:val="clear" w:color="auto" w:fill="EDEDED"/>
          </w:tcPr>
          <w:p>
            <w:pPr>
              <w:spacing w:after="40"/>
            </w:pPr>
            <w:r>
              <w:rPr>
                <w:b/>
                <w:sz w:val="20"/>
              </w:rPr>
            </w:r>
          </w:p>
        </w:tc>
        <w:tc>
          <w:tcPr>
            <w:tcW w:type="dxa" w:w="6520"/>
            <w:shd w:val="clear" w:color="auto" w:fill="EDEDED"/>
          </w:tcPr>
          <w:p>
            <w:pPr>
              <w:spacing w:after="40"/>
            </w:pPr>
            <w:r>
              <w:rPr>
                <w:b/>
                <w:sz w:val="20"/>
              </w:rPr>
            </w:r>
          </w:p>
        </w:tc>
      </w:tr>
      <w:tr>
        <w:tc>
          <w:tcPr>
            <w:tcW w:type="dxa" w:w="2551"/>
          </w:tcPr>
          <w:p>
            <w:pPr>
              <w:spacing w:after="40"/>
            </w:pPr>
            <w:r>
              <w:rPr>
                <w:sz w:val="20"/>
              </w:rPr>
              <w:t>Prepared for</w:t>
            </w:r>
          </w:p>
        </w:tc>
        <w:tc>
          <w:tcPr>
            <w:tcW w:type="dxa" w:w="6520"/>
          </w:tcPr>
          <w:p>
            <w:pPr>
              <w:spacing w:after="40"/>
            </w:pPr>
            <w:r>
              <w:rPr>
                <w:sz w:val="20"/>
              </w:rPr>
              <w:t>Investor review</w:t>
            </w:r>
          </w:p>
        </w:tc>
      </w:tr>
      <w:tr>
        <w:tc>
          <w:tcPr>
            <w:tcW w:type="dxa" w:w="2551"/>
          </w:tcPr>
          <w:p>
            <w:pPr>
              <w:spacing w:after="40"/>
            </w:pPr>
            <w:r>
              <w:rPr>
                <w:sz w:val="20"/>
              </w:rPr>
              <w:t>Scope</w:t>
            </w:r>
          </w:p>
        </w:tc>
        <w:tc>
          <w:tcPr>
            <w:tcW w:type="dxa" w:w="6520"/>
          </w:tcPr>
          <w:p>
            <w:pPr>
              <w:spacing w:after="40"/>
            </w:pPr>
            <w:r>
              <w:rPr>
                <w:sz w:val="20"/>
              </w:rPr>
              <w:t>Body-worn camera unit and its software</w:t>
            </w:r>
          </w:p>
        </w:tc>
      </w:tr>
      <w:tr>
        <w:tc>
          <w:tcPr>
            <w:tcW w:type="dxa" w:w="2551"/>
          </w:tcPr>
          <w:p>
            <w:pPr>
              <w:spacing w:after="40"/>
            </w:pPr>
            <w:r>
              <w:rPr>
                <w:sz w:val="20"/>
              </w:rPr>
              <w:t>Date</w:t>
            </w:r>
          </w:p>
        </w:tc>
        <w:tc>
          <w:tcPr>
            <w:tcW w:type="dxa" w:w="6520"/>
          </w:tcPr>
          <w:p>
            <w:pPr>
              <w:spacing w:after="40"/>
            </w:pPr>
            <w:r>
              <w:rPr>
                <w:sz w:val="20"/>
              </w:rPr>
              <w:t>30 August 2026</w:t>
            </w:r>
          </w:p>
        </w:tc>
      </w:tr>
      <w:tr>
        <w:tc>
          <w:tcPr>
            <w:tcW w:type="dxa" w:w="2551"/>
          </w:tcPr>
          <w:p>
            <w:pPr>
              <w:spacing w:after="40"/>
            </w:pPr>
            <w:r>
              <w:rPr>
                <w:sz w:val="20"/>
              </w:rPr>
              <w:t>Document version</w:t>
            </w:r>
          </w:p>
        </w:tc>
        <w:tc>
          <w:tcPr>
            <w:tcW w:type="dxa" w:w="6520"/>
          </w:tcPr>
          <w:p>
            <w:pPr>
              <w:spacing w:after="40"/>
            </w:pPr>
            <w:r>
              <w:rPr>
                <w:sz w:val="20"/>
              </w:rPr>
              <w:t>1.0</w:t>
            </w:r>
          </w:p>
        </w:tc>
      </w:tr>
    </w:tbl>
    <w:p>
      <w:pPr>
        <w:spacing w:after="40"/>
      </w:pPr>
    </w:p>
    <w:p>
      <w:pPr>
        <w:pStyle w:val="Heading1"/>
      </w:pPr>
      <w:r>
        <w:t>1. What this document covers</w:t>
      </w:r>
    </w:p>
    <w:p>
      <w:r>
        <w:rPr>
          <w:b w:val="0"/>
          <w:i w:val="0"/>
        </w:rPr>
        <w:t>This is a short description of the body-worn camera side of the project: what the device is capable of, what we have built on top of it, and where the work stands at the end of August 2026. It is written to be read by people who are not engineers, so the technical detail is limited to what is needed to judge progress. Two parts of the system are specified in more depth in separate documents, because third parties have to integrate with them: the encrypted evidence format and the upload protocol. Both are available on request.</w:t>
      </w:r>
    </w:p>
    <w:p>
      <w:r>
        <w:rPr>
          <w:b w:val="0"/>
          <w:i w:val="0"/>
        </w:rPr>
        <w:t>The project is made up of two Android applications: the software that runs on the body-worn unit itself, and a companion application for the officer's phone. This document is about the unit. The phone application appears only where the two meet.</w:t>
      </w:r>
    </w:p>
    <w:p>
      <w:pPr>
        <w:pStyle w:val="Heading1"/>
      </w:pPr>
      <w:r>
        <w:t>2. Where we started</w:t>
      </w:r>
    </w:p>
    <w:p>
      <w:r>
        <w:rPr>
          <w:b w:val="0"/>
          <w:i w:val="0"/>
        </w:rPr>
        <w:t>Work began on 23 April 2026. The starting point was a decision not to build hardware. Body-worn units of the type used by police and private security are already manufactured in volume and are, underneath, Android devices. What they lack is software. They ship with generic manufacturer firmware that records video to a file and does little else: no evidence model, no chain of custody, no encryption, and no integration with a back office.</w:t>
      </w:r>
    </w:p>
    <w:p>
      <w:r>
        <w:rPr>
          <w:b w:val="0"/>
          <w:i w:val="0"/>
        </w:rPr>
        <w:t>The unit we work on is an Android 9 device on a Unisoc SC9832e processor (model DSJ-ZXAN9A1). It has a camera, infrared illumination, a motorised day/night filter, an RGB status LED, a screen of roughly three by three centimetres, physical buttons, Bluetooth and Wi-Fi. We do not have privileged access to it, so everything our software does has to work within what the device grants to an ordinary application. That constraint is deliberate: it is what keeps the software portable to other units of the same class instead of tied to one supplier.</w:t>
      </w:r>
    </w:p>
    <w:p>
      <w:r>
        <w:rPr>
          <w:b w:val="0"/>
          <w:i w:val="0"/>
        </w:rPr>
        <w:t>The first months went into taking control of the device - driving its hardware (LEDs, infrared light, the day/night filter motor, the light sensor), capturing its physical buttons even while the screen is off, and building the Bluetooth link that lets the officer's phone command the unit. By mid-July the unit could be paired, commanded, and could record and serve video on request. From August onwards the work moved from controlling the device to producing evidence, which is the part that gives the product its value.</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9406"/>
      </w:tblGrid>
      <w:tr>
        <w:tc>
          <w:tcPr>
            <w:tcW w:type="dxa" w:w="9071"/>
            <w:shd w:val="clear" w:color="auto" w:fill="F2F2F2"/>
          </w:tcPr>
          <w:p>
            <w:pPr>
              <w:spacing w:after="40"/>
              <w:jc w:val="left"/>
            </w:pPr>
            <w:r>
              <w:rPr>
                <w:b/>
                <w:sz w:val="20"/>
              </w:rPr>
              <w:t>[ IMAGE 1 - The unit ]</w:t>
            </w:r>
          </w:p>
          <w:p>
            <w:pPr>
              <w:spacing w:after="40"/>
            </w:pPr>
            <w:r>
              <w:rPr>
                <w:i/>
                <w:sz w:val="19"/>
              </w:rPr>
              <w:t>Photograph of the body-worn unit: front view showing lens, infrared LEDs and status LED,</w:t>
            </w:r>
          </w:p>
          <w:p>
            <w:pPr>
              <w:spacing w:after="40"/>
            </w:pPr>
            <w:r>
              <w:rPr>
                <w:i/>
                <w:sz w:val="19"/>
              </w:rPr>
              <w:t>ideally next to a second shot of it worn on a uniform, for scale.</w:t>
            </w:r>
          </w:p>
        </w:tc>
      </w:tr>
    </w:tbl>
    <w:p>
      <w:pPr>
        <w:spacing w:after="80"/>
      </w:pP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703"/>
        <w:gridCol w:w="4703"/>
      </w:tblGrid>
      <w:tr>
        <w:tc>
          <w:tcPr>
            <w:tcW w:type="dxa" w:w="2041"/>
            <w:shd w:val="clear" w:color="auto" w:fill="EDEDED"/>
          </w:tcPr>
          <w:p>
            <w:pPr>
              <w:spacing w:after="40"/>
            </w:pPr>
            <w:r>
              <w:rPr>
                <w:b/>
                <w:sz w:val="20"/>
              </w:rPr>
              <w:t>Period</w:t>
            </w:r>
          </w:p>
        </w:tc>
        <w:tc>
          <w:tcPr>
            <w:tcW w:type="dxa" w:w="7030"/>
            <w:shd w:val="clear" w:color="auto" w:fill="EDEDED"/>
          </w:tcPr>
          <w:p>
            <w:pPr>
              <w:spacing w:after="40"/>
            </w:pPr>
            <w:r>
              <w:rPr>
                <w:b/>
                <w:sz w:val="20"/>
              </w:rPr>
              <w:t>What was achieved</w:t>
            </w:r>
          </w:p>
        </w:tc>
      </w:tr>
      <w:tr>
        <w:tc>
          <w:tcPr>
            <w:tcW w:type="dxa" w:w="2041"/>
          </w:tcPr>
          <w:p>
            <w:pPr>
              <w:spacing w:after="40"/>
            </w:pPr>
            <w:r>
              <w:rPr>
                <w:sz w:val="20"/>
              </w:rPr>
              <w:t>April - June 2026</w:t>
            </w:r>
          </w:p>
        </w:tc>
        <w:tc>
          <w:tcPr>
            <w:tcW w:type="dxa" w:w="7030"/>
          </w:tcPr>
          <w:p>
            <w:pPr>
              <w:spacing w:after="40"/>
            </w:pPr>
            <w:r>
              <w:rPr>
                <w:sz w:val="20"/>
              </w:rPr>
              <w:t>First working build on the unit. Hardware control (LEDs, infrared, day/night filter, light sensor), Bluetooth server, remote commands from the phone.</w:t>
            </w:r>
          </w:p>
        </w:tc>
      </w:tr>
      <w:tr>
        <w:tc>
          <w:tcPr>
            <w:tcW w:type="dxa" w:w="2041"/>
          </w:tcPr>
          <w:p>
            <w:pPr>
              <w:spacing w:after="40"/>
            </w:pPr>
            <w:r>
              <w:rPr>
                <w:sz w:val="20"/>
              </w:rPr>
              <w:t>July 2026</w:t>
            </w:r>
          </w:p>
        </w:tc>
        <w:tc>
          <w:tcPr>
            <w:tcW w:type="dxa" w:w="7030"/>
          </w:tcPr>
          <w:p>
            <w:pPr>
              <w:spacing w:after="40"/>
            </w:pPr>
            <w:r>
              <w:rPr>
                <w:sz w:val="20"/>
              </w:rPr>
              <w:t>Bluetooth link stabilised, camera and remote recording, remote viewfinder and photo capture, live streaming for emergencies.</w:t>
            </w:r>
          </w:p>
        </w:tc>
      </w:tr>
      <w:tr>
        <w:tc>
          <w:tcPr>
            <w:tcW w:type="dxa" w:w="2041"/>
          </w:tcPr>
          <w:p>
            <w:pPr>
              <w:spacing w:after="40"/>
            </w:pPr>
            <w:r>
              <w:rPr>
                <w:sz w:val="20"/>
              </w:rPr>
              <w:t>August 2026</w:t>
            </w:r>
          </w:p>
        </w:tc>
        <w:tc>
          <w:tcPr>
            <w:tcW w:type="dxa" w:w="7030"/>
          </w:tcPr>
          <w:p>
            <w:pPr>
              <w:spacing w:after="40"/>
            </w:pPr>
            <w:r>
              <w:rPr>
                <w:sz w:val="20"/>
              </w:rPr>
              <w:t>The evidence model: continuous pre-event buffer, one video per incident, officer identity burned into the image, incident numbering and per-incident record.</w:t>
            </w:r>
          </w:p>
        </w:tc>
      </w:tr>
      <w:tr>
        <w:tc>
          <w:tcPr>
            <w:tcW w:type="dxa" w:w="2041"/>
          </w:tcPr>
          <w:p>
            <w:pPr>
              <w:spacing w:after="40"/>
            </w:pPr>
            <w:r>
              <w:rPr>
                <w:sz w:val="20"/>
              </w:rPr>
              <w:t>Late August 2026</w:t>
            </w:r>
          </w:p>
        </w:tc>
        <w:tc>
          <w:tcPr>
            <w:tcW w:type="dxa" w:w="7030"/>
          </w:tcPr>
          <w:p>
            <w:pPr>
              <w:spacing w:after="40"/>
            </w:pPr>
            <w:r>
              <w:rPr>
                <w:sz w:val="20"/>
              </w:rPr>
              <w:t>Evidence encryption and integrity fingerprints, and resumable chunked upload to the back office. Both validated on the physical unit.</w:t>
            </w:r>
          </w:p>
        </w:tc>
      </w:tr>
    </w:tbl>
    <w:p>
      <w:pPr>
        <w:spacing w:after="40"/>
      </w:pPr>
    </w:p>
    <w:p>
      <w:pPr>
        <w:pStyle w:val="Heading1"/>
      </w:pPr>
      <w:r>
        <w:t>3. What the unit can do</w:t>
      </w:r>
    </w:p>
    <w:p>
      <w:r>
        <w:rPr>
          <w:b w:val="0"/>
          <w:i w:val="0"/>
        </w:rPr>
        <w:t>The table below describes the device's capability as our software currently uses it. Everything listed is working on the physical unit, not planned.</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703"/>
        <w:gridCol w:w="4703"/>
      </w:tblGrid>
      <w:tr>
        <w:tc>
          <w:tcPr>
            <w:tcW w:type="dxa" w:w="2608"/>
            <w:shd w:val="clear" w:color="auto" w:fill="EDEDED"/>
          </w:tcPr>
          <w:p>
            <w:pPr>
              <w:spacing w:after="40"/>
            </w:pPr>
            <w:r>
              <w:rPr>
                <w:b/>
                <w:sz w:val="20"/>
              </w:rPr>
              <w:t>Capability</w:t>
            </w:r>
          </w:p>
        </w:tc>
        <w:tc>
          <w:tcPr>
            <w:tcW w:type="dxa" w:w="6463"/>
            <w:shd w:val="clear" w:color="auto" w:fill="EDEDED"/>
          </w:tcPr>
          <w:p>
            <w:pPr>
              <w:spacing w:after="40"/>
            </w:pPr>
            <w:r>
              <w:rPr>
                <w:b/>
                <w:sz w:val="20"/>
              </w:rPr>
              <w:t>What the software does with it</w:t>
            </w:r>
          </w:p>
        </w:tc>
      </w:tr>
      <w:tr>
        <w:tc>
          <w:tcPr>
            <w:tcW w:type="dxa" w:w="2608"/>
          </w:tcPr>
          <w:p>
            <w:pPr>
              <w:spacing w:after="40"/>
            </w:pPr>
            <w:r>
              <w:rPr>
                <w:sz w:val="20"/>
              </w:rPr>
              <w:t>Video</w:t>
            </w:r>
          </w:p>
        </w:tc>
        <w:tc>
          <w:tcPr>
            <w:tcW w:type="dxa" w:w="6463"/>
          </w:tcPr>
          <w:p>
            <w:pPr>
              <w:spacing w:after="40"/>
            </w:pPr>
            <w:r>
              <w:rPr>
                <w:sz w:val="20"/>
              </w:rPr>
              <w:t>Continuous recording at 720p, H.264 video with AAC audio, around 4 Mbit/s. This feeds both the pre-event buffer and the incident evidence.</w:t>
            </w:r>
          </w:p>
        </w:tc>
      </w:tr>
      <w:tr>
        <w:tc>
          <w:tcPr>
            <w:tcW w:type="dxa" w:w="2608"/>
          </w:tcPr>
          <w:p>
            <w:pPr>
              <w:spacing w:after="40"/>
            </w:pPr>
            <w:r>
              <w:rPr>
                <w:sz w:val="20"/>
              </w:rPr>
              <w:t>Stills</w:t>
            </w:r>
          </w:p>
        </w:tc>
        <w:tc>
          <w:tcPr>
            <w:tcW w:type="dxa" w:w="6463"/>
          </w:tcPr>
          <w:p>
            <w:pPr>
              <w:spacing w:after="40"/>
            </w:pPr>
            <w:r>
              <w:rPr>
                <w:sz w:val="20"/>
              </w:rPr>
              <w:t>Photo capture from the unit or remotely from the phone, taken over the same camera session as the remote viewfinder, so the officer photographs exactly what they see on the phone.</w:t>
            </w:r>
          </w:p>
        </w:tc>
      </w:tr>
      <w:tr>
        <w:tc>
          <w:tcPr>
            <w:tcW w:type="dxa" w:w="2608"/>
          </w:tcPr>
          <w:p>
            <w:pPr>
              <w:spacing w:after="40"/>
            </w:pPr>
            <w:r>
              <w:rPr>
                <w:sz w:val="20"/>
              </w:rPr>
              <w:t>Infrared light and day/night filter</w:t>
            </w:r>
          </w:p>
        </w:tc>
        <w:tc>
          <w:tcPr>
            <w:tcW w:type="dxa" w:w="6463"/>
          </w:tcPr>
          <w:p>
            <w:pPr>
              <w:spacing w:after="40"/>
            </w:pPr>
            <w:r>
              <w:rPr>
                <w:sz w:val="20"/>
              </w:rPr>
              <w:t>Night capture. The infrared illuminator and the motorised filter are switched under software control, from the unit or from the phone.</w:t>
            </w:r>
          </w:p>
        </w:tc>
      </w:tr>
      <w:tr>
        <w:tc>
          <w:tcPr>
            <w:tcW w:type="dxa" w:w="2608"/>
          </w:tcPr>
          <w:p>
            <w:pPr>
              <w:spacing w:after="40"/>
            </w:pPr>
            <w:r>
              <w:rPr>
                <w:sz w:val="20"/>
              </w:rPr>
              <w:t>Ambient light sensor</w:t>
            </w:r>
          </w:p>
        </w:tc>
        <w:tc>
          <w:tcPr>
            <w:tcW w:type="dxa" w:w="6463"/>
          </w:tcPr>
          <w:p>
            <w:pPr>
              <w:spacing w:after="40"/>
            </w:pPr>
            <w:r>
              <w:rPr>
                <w:sz w:val="20"/>
              </w:rPr>
              <w:t>Read by the software, and available to drive automatic day/night switching.</w:t>
            </w:r>
          </w:p>
        </w:tc>
      </w:tr>
      <w:tr>
        <w:tc>
          <w:tcPr>
            <w:tcW w:type="dxa" w:w="2608"/>
          </w:tcPr>
          <w:p>
            <w:pPr>
              <w:spacing w:after="40"/>
            </w:pPr>
            <w:r>
              <w:rPr>
                <w:sz w:val="20"/>
              </w:rPr>
              <w:t>Status LED</w:t>
            </w:r>
          </w:p>
        </w:tc>
        <w:tc>
          <w:tcPr>
            <w:tcW w:type="dxa" w:w="6463"/>
          </w:tcPr>
          <w:p>
            <w:pPr>
              <w:spacing w:after="40"/>
            </w:pPr>
            <w:r>
              <w:rPr>
                <w:sz w:val="20"/>
              </w:rPr>
              <w:t>A single colour code derived from the unit's real state - recording, streaming, in buffer, standby - rather than set by whichever action happened last.</w:t>
            </w:r>
          </w:p>
        </w:tc>
      </w:tr>
      <w:tr>
        <w:tc>
          <w:tcPr>
            <w:tcW w:type="dxa" w:w="2608"/>
          </w:tcPr>
          <w:p>
            <w:pPr>
              <w:spacing w:after="40"/>
            </w:pPr>
            <w:r>
              <w:rPr>
                <w:sz w:val="20"/>
              </w:rPr>
              <w:t>Display (approx. 3 x 3 cm)</w:t>
            </w:r>
          </w:p>
        </w:tc>
        <w:tc>
          <w:tcPr>
            <w:tcW w:type="dxa" w:w="6463"/>
          </w:tcPr>
          <w:p>
            <w:pPr>
              <w:spacing w:after="40"/>
            </w:pPr>
            <w:r>
              <w:rPr>
                <w:sz w:val="20"/>
              </w:rPr>
              <w:t>A status panel with one control. The unit is worn on the uniform, so it is operated with the physical keys or from the phone.</w:t>
            </w:r>
          </w:p>
        </w:tc>
      </w:tr>
      <w:tr>
        <w:tc>
          <w:tcPr>
            <w:tcW w:type="dxa" w:w="2608"/>
          </w:tcPr>
          <w:p>
            <w:pPr>
              <w:spacing w:after="40"/>
            </w:pPr>
            <w:r>
              <w:rPr>
                <w:sz w:val="20"/>
              </w:rPr>
              <w:t>Physical buttons</w:t>
            </w:r>
          </w:p>
        </w:tc>
        <w:tc>
          <w:tcPr>
            <w:tcW w:type="dxa" w:w="6463"/>
          </w:tcPr>
          <w:p>
            <w:pPr>
              <w:spacing w:after="40"/>
            </w:pPr>
            <w:r>
              <w:rPr>
                <w:sz w:val="20"/>
              </w:rPr>
              <w:t>Start and stop recording, emergency, push-to-talk. Captured even when the screen is off and the application is in the background.</w:t>
            </w:r>
          </w:p>
        </w:tc>
      </w:tr>
      <w:tr>
        <w:tc>
          <w:tcPr>
            <w:tcW w:type="dxa" w:w="2608"/>
          </w:tcPr>
          <w:p>
            <w:pPr>
              <w:spacing w:after="40"/>
            </w:pPr>
            <w:r>
              <w:rPr>
                <w:sz w:val="20"/>
              </w:rPr>
              <w:t>Bluetooth</w:t>
            </w:r>
          </w:p>
        </w:tc>
        <w:tc>
          <w:tcPr>
            <w:tcW w:type="dxa" w:w="6463"/>
          </w:tcPr>
          <w:p>
            <w:pPr>
              <w:spacing w:after="40"/>
            </w:pPr>
            <w:r>
              <w:rPr>
                <w:sz w:val="20"/>
              </w:rPr>
              <w:t>Command and status channel with the officer's phone.</w:t>
            </w:r>
          </w:p>
        </w:tc>
      </w:tr>
      <w:tr>
        <w:tc>
          <w:tcPr>
            <w:tcW w:type="dxa" w:w="2608"/>
          </w:tcPr>
          <w:p>
            <w:pPr>
              <w:spacing w:after="40"/>
            </w:pPr>
            <w:r>
              <w:rPr>
                <w:sz w:val="20"/>
              </w:rPr>
              <w:t>Wi-Fi</w:t>
            </w:r>
          </w:p>
        </w:tc>
        <w:tc>
          <w:tcPr>
            <w:tcW w:type="dxa" w:w="6463"/>
          </w:tcPr>
          <w:p>
            <w:pPr>
              <w:spacing w:after="40"/>
            </w:pPr>
            <w:r>
              <w:rPr>
                <w:sz w:val="20"/>
              </w:rPr>
              <w:t>Evidence browsing and download on the local network, live streaming, and upload of closed incidents.</w:t>
            </w:r>
          </w:p>
        </w:tc>
      </w:tr>
      <w:tr>
        <w:tc>
          <w:tcPr>
            <w:tcW w:type="dxa" w:w="2608"/>
          </w:tcPr>
          <w:p>
            <w:pPr>
              <w:spacing w:after="40"/>
            </w:pPr>
            <w:r>
              <w:rPr>
                <w:sz w:val="20"/>
              </w:rPr>
              <w:t>Storage</w:t>
            </w:r>
          </w:p>
        </w:tc>
        <w:tc>
          <w:tcPr>
            <w:tcW w:type="dxa" w:w="6463"/>
          </w:tcPr>
          <w:p>
            <w:pPr>
              <w:spacing w:after="40"/>
            </w:pPr>
            <w:r>
              <w:rPr>
                <w:sz w:val="20"/>
              </w:rPr>
              <w:t>Evidence kept on the device in a defined layout until it is confirmed as delivered.</w:t>
            </w:r>
          </w:p>
        </w:tc>
      </w:tr>
    </w:tbl>
    <w:p>
      <w:pPr>
        <w:spacing w:after="40"/>
      </w:pPr>
    </w:p>
    <w:p>
      <w:r>
        <w:rPr>
          <w:b w:val="0"/>
          <w:i w:val="0"/>
        </w:rPr>
        <w:t>One limitation is worth recording, because it shaped part of the work: the unit's firmware has no facility for stamping text onto the video. We verified this against the chipset's camera layer and against the manufacturer's own camera applications. Anything of that kind has to be produced by our software, which is what section 4.2 describes.</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9406"/>
      </w:tblGrid>
      <w:tr>
        <w:tc>
          <w:tcPr>
            <w:tcW w:type="dxa" w:w="9071"/>
            <w:shd w:val="clear" w:color="auto" w:fill="F2F2F2"/>
          </w:tcPr>
          <w:p>
            <w:pPr>
              <w:spacing w:after="40"/>
              <w:jc w:val="left"/>
            </w:pPr>
            <w:r>
              <w:rPr>
                <w:b/>
                <w:sz w:val="20"/>
              </w:rPr>
              <w:t>[ IMAGE 2 - The unit's screen ]</w:t>
            </w:r>
          </w:p>
          <w:p>
            <w:pPr>
              <w:spacing w:after="40"/>
            </w:pPr>
            <w:r>
              <w:rPr>
                <w:i/>
                <w:sz w:val="19"/>
              </w:rPr>
              <w:t>Close-up of the 3 cm screen showing the control panel: connection status, capture</w:t>
            </w:r>
          </w:p>
          <w:p>
            <w:pPr>
              <w:spacing w:after="40"/>
            </w:pPr>
            <w:r>
              <w:rPr>
                <w:i/>
                <w:sz w:val="19"/>
              </w:rPr>
              <w:t>state and the emergency button. A photo of the real screen works better here than</w:t>
            </w:r>
          </w:p>
          <w:p>
            <w:pPr>
              <w:spacing w:after="40"/>
            </w:pPr>
            <w:r>
              <w:rPr>
                <w:i/>
                <w:sz w:val="19"/>
              </w:rPr>
              <w:t>a rendering.</w:t>
            </w:r>
          </w:p>
        </w:tc>
      </w:tr>
    </w:tbl>
    <w:p>
      <w:pPr>
        <w:spacing w:after="80"/>
      </w:pPr>
    </w:p>
    <w:p>
      <w:pPr>
        <w:pStyle w:val="Heading1"/>
      </w:pPr>
      <w:r>
        <w:t>4. The software we have built</w:t>
      </w:r>
    </w:p>
    <w:p>
      <w:r>
        <w:rPr>
          <w:b w:val="0"/>
          <w:i w:val="0"/>
        </w:rPr>
        <w:t>The unit's software does three jobs. It records evidence to a defined standard, it acts as a server that the officer's phone commands, and it protects that evidence and delivers it to the back office.</w:t>
      </w:r>
    </w:p>
    <w:p>
      <w:pPr>
        <w:pStyle w:val="Heading2"/>
      </w:pPr>
      <w:r>
        <w:t>4.1 It is already recording before the button is pressed</w:t>
      </w:r>
    </w:p>
    <w:p>
      <w:r>
        <w:rPr>
          <w:b w:val="0"/>
          <w:i w:val="0"/>
        </w:rPr>
        <w:t>From the moment the application is opened, the unit is in service: the camera runs and writes continuously into a rolling buffer that deletes its own oldest material. None of that is evidence and none of it is kept - it exists so that when the officer presses record, the twenty seconds that led up to the incident are already on disk.</w:t>
      </w:r>
    </w:p>
    <w:p>
      <w:r>
        <w:rPr>
          <w:b w:val="0"/>
          <w:i w:val="0"/>
        </w:rPr>
        <w:t>This is the difference between a camera and a body camera. What matters in a use-of-force review or in a complaint is almost always what happened just before someone had a free hand to press a button. The delivered pre-roll is never shorter than the twenty seconds asked for; the cut is rounded outwards, so in practice it lands between twenty and thirty-five seconds.</w:t>
      </w:r>
    </w:p>
    <w:p>
      <w:r>
        <w:rPr>
          <w:b w:val="0"/>
          <w:i w:val="0"/>
        </w:rPr>
        <w:t>When an incident is opened, the relevant buffer material is moved into it rather than copied, so promoting two minutes of video costs no time and no extra space. The buffer can only ever delete inside its own area, which means that once material has been promoted to evidence it is out of reach of automatic deletion by construction, not by a check that somebody could forget to write.</w:t>
      </w:r>
    </w:p>
    <w:p>
      <w:pPr>
        <w:pStyle w:val="Heading2"/>
      </w:pPr>
      <w:r>
        <w:t>4.2 One incident is one video</w:t>
      </w:r>
    </w:p>
    <w:p>
      <w:r>
        <w:rPr>
          <w:b w:val="0"/>
          <w:i w:val="0"/>
        </w:rPr>
        <w:t>Police body cameras deliver a single file per incident, and so do we. Internally the unit records in segments, because that is what makes a rolling buffer possible, but the segments are a mechanism and they disappear when the incident closes. What is delivered is one video that begins twenty seconds before the button and ends when the officer stops.</w:t>
      </w:r>
    </w:p>
    <w:p>
      <w:r>
        <w:rPr>
          <w:b w:val="0"/>
          <w:i w:val="0"/>
        </w:rPr>
        <w:t>Assembling it does not re-compress the video: the pieces come from a single recording session, so they are stitched by copying. That costs the time of a file copy rather than the time of processing an entire video on a modest processor.</w:t>
      </w:r>
    </w:p>
    <w:p>
      <w:r>
        <w:rPr>
          <w:b w:val="0"/>
          <w:i w:val="0"/>
        </w:rPr>
        <w:t>On top of that, three things make the file usable as evidence rather than as footage:</w:t>
      </w:r>
    </w:p>
    <w:p>
      <w:pPr>
        <w:pStyle w:val="ListBullet"/>
        <w:spacing w:after="80"/>
      </w:pPr>
      <w:r>
        <w:rPr>
          <w:b/>
        </w:rPr>
        <w:t xml:space="preserve">The officer's identity is burned into the image. </w:t>
      </w:r>
      <w:r>
        <w:t>Name, rank and badge number appear in the pixels of the video, not only on the screen of the device. Because the firmware cannot do this, we decode, draw and re-encode each frame using the unit's hardware video engine, which keeps the operation roughly as fast as the recording itself.</w:t>
      </w:r>
    </w:p>
    <w:p>
      <w:pPr>
        <w:pStyle w:val="ListBullet"/>
        <w:spacing w:after="80"/>
      </w:pPr>
      <w:r>
        <w:rPr>
          <w:b/>
        </w:rPr>
        <w:t xml:space="preserve">Files are named for the evidence they hold. </w:t>
      </w:r>
      <w:r>
        <w:t>Badge number, date and time, so that a file is identifiable outside whatever system produced it.</w:t>
      </w:r>
    </w:p>
    <w:p>
      <w:pPr>
        <w:pStyle w:val="ListBullet"/>
        <w:spacing w:after="80"/>
      </w:pPr>
      <w:r>
        <w:rPr>
          <w:b/>
        </w:rPr>
        <w:t xml:space="preserve">Incidents are numbered in a continuous sequence. </w:t>
      </w:r>
      <w:r>
        <w:t>INC_000001, INC_000002 and so on, from a counter that repairs itself if it is damaged. The point is not the numbering, it is that a missing number is visible: a gap in the sequence is a question somebody has to answer.</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9406"/>
      </w:tblGrid>
      <w:tr>
        <w:tc>
          <w:tcPr>
            <w:tcW w:type="dxa" w:w="9071"/>
            <w:shd w:val="clear" w:color="auto" w:fill="F2F2F2"/>
          </w:tcPr>
          <w:p>
            <w:pPr>
              <w:spacing w:after="40"/>
              <w:jc w:val="left"/>
            </w:pPr>
            <w:r>
              <w:rPr>
                <w:b/>
                <w:sz w:val="20"/>
              </w:rPr>
              <w:t>[ IMAGE 3 - Evidence video with the officer label ]</w:t>
            </w:r>
          </w:p>
          <w:p>
            <w:pPr>
              <w:spacing w:after="40"/>
            </w:pPr>
            <w:r>
              <w:rPr>
                <w:i/>
                <w:sz w:val="19"/>
              </w:rPr>
              <w:t>A frame taken from a real incident video, showing the officer label burned into the</w:t>
            </w:r>
          </w:p>
          <w:p>
            <w:pPr>
              <w:spacing w:after="40"/>
            </w:pPr>
            <w:r>
              <w:rPr>
                <w:i/>
                <w:sz w:val="19"/>
              </w:rPr>
              <w:t>image (name, rank, badge, date and time). A screenshot of the video playing is fine.</w:t>
            </w:r>
          </w:p>
        </w:tc>
      </w:tr>
    </w:tbl>
    <w:p>
      <w:pPr>
        <w:spacing w:after="80"/>
      </w:pPr>
    </w:p>
    <w:p>
      <w:pPr>
        <w:pStyle w:val="Heading2"/>
      </w:pPr>
      <w:r>
        <w:t>4.3 Every incident carries its own record</w:t>
      </w:r>
    </w:p>
    <w:p>
      <w:r>
        <w:rPr>
          <w:b w:val="0"/>
          <w:i w:val="0"/>
        </w:rPr>
        <w:t>Alongside the video, each incident writes a machine-readable record: the identifier, the device, the officer, the moment the unit went into service, the moment the button was pressed, the moment recording stopped, how much pre-event material was asked for and how much was actually delivered, where in the timeline the button falls, and the cryptographic fingerprints described in section 5.</w:t>
      </w:r>
    </w:p>
    <w:p>
      <w:r>
        <w:rPr>
          <w:b w:val="0"/>
          <w:i w:val="0"/>
        </w:rPr>
        <w:t>The purpose is that someone reviewing the evidence months later can tell, without taking anyone's word for it, which part of the video was recorded before the officer decided to record and which part after.</w:t>
      </w:r>
    </w:p>
    <w:p>
      <w:pPr>
        <w:pStyle w:val="Heading2"/>
      </w:pPr>
      <w:r>
        <w:t>4.4 The panel on the unit</w:t>
      </w:r>
    </w:p>
    <w:p>
      <w:r>
        <w:rPr>
          <w:b w:val="0"/>
          <w:i w:val="0"/>
        </w:rPr>
        <w:t>The screen is about the size of a postage stamp and it is worn on a chest harness, so it is a status display rather than a menu. It shows whether the phone is connected, whether the unit is in service, recording or streaming, and it carries a single control: the emergency button, which is the only thing that might have to be found without looking. Everything else is done with the physical keys or from the phone.</w:t>
      </w:r>
    </w:p>
    <w:p>
      <w:pPr>
        <w:pStyle w:val="Heading2"/>
      </w:pPr>
      <w:r>
        <w:t>4.5 Remote control from the officer's phone</w:t>
      </w:r>
    </w:p>
    <w:p>
      <w:r>
        <w:rPr>
          <w:b w:val="0"/>
          <w:i w:val="0"/>
        </w:rPr>
        <w:t>The unit runs a server that the paired phone commands over Bluetooth: start and stop recording, take a photo, put the unit into or out of service, switch the infrared light, the torch and the status LED, start and stop a live stream, and open a remote viewfinder. The unit answers status requests with a structured report - recording or not, battery, free storage, network, address, streaming, capture state - and it also reports on its own when someone presses a physical button on the device, so the phone never shows a stale picture.</w:t>
      </w:r>
    </w:p>
    <w:p>
      <w:r>
        <w:rPr>
          <w:b w:val="0"/>
          <w:i w:val="0"/>
        </w:rPr>
        <w:t>Over Wi-Fi the unit additionally serves its evidence on the local network: the phone can list recordings and incidents, open an individual incident and download the files. For emergencies the unit can hand the camera over to a live stream and, when the stream ends, put itself back into service automatically.</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9406"/>
      </w:tblGrid>
      <w:tr>
        <w:tc>
          <w:tcPr>
            <w:tcW w:type="dxa" w:w="9071"/>
            <w:shd w:val="clear" w:color="auto" w:fill="F2F2F2"/>
          </w:tcPr>
          <w:p>
            <w:pPr>
              <w:spacing w:after="40"/>
              <w:jc w:val="left"/>
            </w:pPr>
            <w:r>
              <w:rPr>
                <w:b/>
                <w:sz w:val="20"/>
              </w:rPr>
              <w:t>[ IMAGE 4 - The companion phone application ]</w:t>
            </w:r>
          </w:p>
          <w:p>
            <w:pPr>
              <w:spacing w:after="40"/>
            </w:pPr>
            <w:r>
              <w:rPr>
                <w:i/>
                <w:sz w:val="19"/>
              </w:rPr>
              <w:t>Screenshot of the phone app connected to the unit: camera status, the remote</w:t>
            </w:r>
          </w:p>
          <w:p>
            <w:pPr>
              <w:spacing w:after="40"/>
            </w:pPr>
            <w:r>
              <w:rPr>
                <w:i/>
                <w:sz w:val="19"/>
              </w:rPr>
              <w:t>viewfinder and the incident list. Two screens side by side would work well here.</w:t>
            </w:r>
          </w:p>
        </w:tc>
      </w:tr>
    </w:tbl>
    <w:p>
      <w:pPr>
        <w:spacing w:after="80"/>
      </w:pPr>
    </w:p>
    <w:p>
      <w:pPr>
        <w:pStyle w:val="Heading1"/>
      </w:pPr>
      <w:r>
        <w:t>5. Protecting the evidence</w:t>
      </w:r>
    </w:p>
    <w:p>
      <w:r>
        <w:rPr>
          <w:b w:val="0"/>
          <w:i w:val="0"/>
        </w:rPr>
        <w:t>Since 25 August, evidence leaves the unit encrypted. Each incident is encrypted with a key generated for that file alone, using AES-256 in an authenticated mode, in one-megabyte blocks that are each sealed independently. That block structure is not decoration: it is what allows a two-gigabyte file to be encrypted on a device with limited memory, and it also means an investigator can later open the middle of a video without decrypting all of it.</w:t>
      </w:r>
    </w:p>
    <w:p>
      <w:r>
        <w:rPr>
          <w:b w:val="0"/>
          <w:i w:val="0"/>
        </w:rPr>
        <w:t>The file key is then wrapped for two recipients: the unit itself, using a key held in the device's hardware security area that never leaves the chip, and the back office, using its public key. This is standard envelope encryption, and its practical consequence is that adding or removing who may open a piece of evidence never changes the file format.</w:t>
      </w:r>
    </w:p>
    <w:p>
      <w:r>
        <w:rPr>
          <w:b w:val="0"/>
          <w:i w:val="0"/>
        </w:rPr>
        <w:t>Tampering is detected when the file is opened - altered content, an altered header, a truncated file, or blocks moved out of order. All four cases were tested and all four are rejected. Two fingerprints are recorded for every incident: one of the original video, which identifies it for chain-of-custody purposes regardless of how it was later encrypted, and one of the encrypted file, which lets the receiving server confirm that what it stored is exactly what left the device, without holding any key at all.</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703"/>
        <w:gridCol w:w="4703"/>
      </w:tblGrid>
      <w:tr>
        <w:tc>
          <w:tcPr>
            <w:tcW w:type="dxa" w:w="5102"/>
            <w:shd w:val="clear" w:color="auto" w:fill="EDEDED"/>
          </w:tcPr>
          <w:p>
            <w:pPr>
              <w:spacing w:after="40"/>
            </w:pPr>
            <w:r>
              <w:rPr>
                <w:b/>
                <w:sz w:val="20"/>
              </w:rPr>
              <w:t>Measured on the physical unit</w:t>
            </w:r>
          </w:p>
        </w:tc>
        <w:tc>
          <w:tcPr>
            <w:tcW w:type="dxa" w:w="3969"/>
            <w:shd w:val="clear" w:color="auto" w:fill="EDEDED"/>
          </w:tcPr>
          <w:p>
            <w:pPr>
              <w:spacing w:after="40"/>
            </w:pPr>
            <w:r>
              <w:rPr>
                <w:b/>
                <w:sz w:val="20"/>
              </w:rPr>
              <w:t>Result</w:t>
            </w:r>
          </w:p>
        </w:tc>
      </w:tr>
      <w:tr>
        <w:tc>
          <w:tcPr>
            <w:tcW w:type="dxa" w:w="5102"/>
          </w:tcPr>
          <w:p>
            <w:pPr>
              <w:spacing w:after="40"/>
            </w:pPr>
            <w:r>
              <w:rPr>
                <w:sz w:val="20"/>
              </w:rPr>
              <w:t>Encrypting and fingerprinting a 20.3 MB incident</w:t>
            </w:r>
          </w:p>
        </w:tc>
        <w:tc>
          <w:tcPr>
            <w:tcW w:type="dxa" w:w="3969"/>
          </w:tcPr>
          <w:p>
            <w:pPr>
              <w:spacing w:after="40"/>
            </w:pPr>
            <w:r>
              <w:rPr>
                <w:sz w:val="20"/>
              </w:rPr>
              <w:t>0.40 seconds</w:t>
            </w:r>
          </w:p>
        </w:tc>
      </w:tr>
      <w:tr>
        <w:tc>
          <w:tcPr>
            <w:tcW w:type="dxa" w:w="5102"/>
          </w:tcPr>
          <w:p>
            <w:pPr>
              <w:spacing w:after="40"/>
            </w:pPr>
            <w:r>
              <w:rPr>
                <w:sz w:val="20"/>
              </w:rPr>
              <w:t>Encrypting a 20-minute recording (473 MB)</w:t>
            </w:r>
          </w:p>
        </w:tc>
        <w:tc>
          <w:tcPr>
            <w:tcW w:type="dxa" w:w="3969"/>
          </w:tcPr>
          <w:p>
            <w:pPr>
              <w:spacing w:after="40"/>
            </w:pPr>
            <w:r>
              <w:rPr>
                <w:sz w:val="20"/>
              </w:rPr>
              <w:t>about 5 seconds, against roughly 3 minutes to upload it</w:t>
            </w:r>
          </w:p>
        </w:tc>
      </w:tr>
      <w:tr>
        <w:tc>
          <w:tcPr>
            <w:tcW w:type="dxa" w:w="5102"/>
          </w:tcPr>
          <w:p>
            <w:pPr>
              <w:spacing w:after="40"/>
            </w:pPr>
            <w:r>
              <w:rPr>
                <w:sz w:val="20"/>
              </w:rPr>
              <w:t>Size added by encryption</w:t>
            </w:r>
          </w:p>
        </w:tc>
        <w:tc>
          <w:tcPr>
            <w:tcW w:type="dxa" w:w="3969"/>
          </w:tcPr>
          <w:p>
            <w:pPr>
              <w:spacing w:after="40"/>
            </w:pPr>
            <w:r>
              <w:rPr>
                <w:sz w:val="20"/>
              </w:rPr>
              <w:t>0.003 %</w:t>
            </w:r>
          </w:p>
        </w:tc>
      </w:tr>
      <w:tr>
        <w:tc>
          <w:tcPr>
            <w:tcW w:type="dxa" w:w="5102"/>
          </w:tcPr>
          <w:p>
            <w:pPr>
              <w:spacing w:after="40"/>
            </w:pPr>
            <w:r>
              <w:rPr>
                <w:sz w:val="20"/>
              </w:rPr>
              <w:t>Encrypt on the unit, decrypt on a PC, compare</w:t>
            </w:r>
          </w:p>
        </w:tc>
        <w:tc>
          <w:tcPr>
            <w:tcW w:type="dxa" w:w="3969"/>
          </w:tcPr>
          <w:p>
            <w:pPr>
              <w:spacing w:after="40"/>
            </w:pPr>
            <w:r>
              <w:rPr>
                <w:sz w:val="20"/>
              </w:rPr>
              <w:t>identical to the original, byte for byte</w:t>
            </w:r>
          </w:p>
        </w:tc>
      </w:tr>
      <w:tr>
        <w:tc>
          <w:tcPr>
            <w:tcW w:type="dxa" w:w="5102"/>
          </w:tcPr>
          <w:p>
            <w:pPr>
              <w:spacing w:after="40"/>
            </w:pPr>
            <w:r>
              <w:rPr>
                <w:sz w:val="20"/>
              </w:rPr>
              <w:t>Rejection of tampered files</w:t>
            </w:r>
          </w:p>
        </w:tc>
        <w:tc>
          <w:tcPr>
            <w:tcW w:type="dxa" w:w="3969"/>
          </w:tcPr>
          <w:p>
            <w:pPr>
              <w:spacing w:after="40"/>
            </w:pPr>
            <w:r>
              <w:rPr>
                <w:sz w:val="20"/>
              </w:rPr>
              <w:t>content, header, truncation and reordering - all rejected</w:t>
            </w:r>
          </w:p>
        </w:tc>
      </w:tr>
    </w:tbl>
    <w:p>
      <w:pPr>
        <w:spacing w:after="40"/>
      </w:pPr>
    </w:p>
    <w:p>
      <w:r>
        <w:rPr>
          <w:b w:val="0"/>
          <w:i w:val="0"/>
        </w:rPr>
        <w:t>A reference decryption tool was written and delivered to the customer's security team, so that they can open our evidence with their own software rather than ours. One item is still open and is noted here for completeness: files are currently encrypted for a development key. The production key has to be generated on the customer's own infrastructure, so that its private half never travels; substituting it is a configuration change on our side.</w:t>
      </w:r>
    </w:p>
    <w:p>
      <w:pPr>
        <w:pStyle w:val="Heading1"/>
      </w:pPr>
      <w:r>
        <w:t>6. Getting the evidence off the device</w:t>
      </w:r>
    </w:p>
    <w:p>
      <w:r>
        <w:rPr>
          <w:b w:val="0"/>
          <w:i w:val="0"/>
        </w:rPr>
        <w:t>A closed incident can be up to about two gigabytes and it travels over mobile data, from a device worn by someone who is walking around. The original upload sent the whole file in one attempt, which means a connection lost at 1.9 GB costs the whole 1.9 GB again. For a body-worn unit that is not an edge case, it is the normal condition.</w:t>
      </w:r>
    </w:p>
    <w:p>
      <w:r>
        <w:rPr>
          <w:b w:val="0"/>
          <w:i w:val="0"/>
        </w:rPr>
        <w:t>Uploads are now resumable and sent in chunks, following a published open standard so that the back office does not have to implement anything bespoke to receive them. We added one step of our own: the unit declares the fingerprint of the file before the transfer starts, and the server confirms after the last byte whether what it assembled matches. That confirmation is what will eventually allow a unit to delete its own copy safely.</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703"/>
        <w:gridCol w:w="4703"/>
      </w:tblGrid>
      <w:tr>
        <w:tc>
          <w:tcPr>
            <w:tcW w:type="dxa" w:w="5102"/>
            <w:shd w:val="clear" w:color="auto" w:fill="EDEDED"/>
          </w:tcPr>
          <w:p>
            <w:pPr>
              <w:spacing w:after="40"/>
            </w:pPr>
            <w:r>
              <w:rPr>
                <w:b/>
                <w:sz w:val="20"/>
              </w:rPr>
              <w:t>Validated on the physical unit, 26 August</w:t>
            </w:r>
          </w:p>
        </w:tc>
        <w:tc>
          <w:tcPr>
            <w:tcW w:type="dxa" w:w="3969"/>
            <w:shd w:val="clear" w:color="auto" w:fill="EDEDED"/>
          </w:tcPr>
          <w:p>
            <w:pPr>
              <w:spacing w:after="40"/>
            </w:pPr>
            <w:r>
              <w:rPr>
                <w:b/>
                <w:sz w:val="20"/>
              </w:rPr>
              <w:t>Result</w:t>
            </w:r>
          </w:p>
        </w:tc>
      </w:tr>
      <w:tr>
        <w:tc>
          <w:tcPr>
            <w:tcW w:type="dxa" w:w="5102"/>
          </w:tcPr>
          <w:p>
            <w:pPr>
              <w:spacing w:after="40"/>
            </w:pPr>
            <w:r>
              <w:rPr>
                <w:sz w:val="20"/>
              </w:rPr>
              <w:t>Incidents uploaded and verified by fingerprint</w:t>
            </w:r>
          </w:p>
        </w:tc>
        <w:tc>
          <w:tcPr>
            <w:tcW w:type="dxa" w:w="3969"/>
          </w:tcPr>
          <w:p>
            <w:pPr>
              <w:spacing w:after="40"/>
            </w:pPr>
            <w:r>
              <w:rPr>
                <w:sz w:val="20"/>
              </w:rPr>
              <w:t>9 incidents, 61.9 MB, no discrepancies</w:t>
            </w:r>
          </w:p>
        </w:tc>
      </w:tr>
      <w:tr>
        <w:tc>
          <w:tcPr>
            <w:tcW w:type="dxa" w:w="5102"/>
          </w:tcPr>
          <w:p>
            <w:pPr>
              <w:spacing w:after="40"/>
            </w:pPr>
            <w:r>
              <w:rPr>
                <w:sz w:val="20"/>
              </w:rPr>
              <w:t>Connection cut in the middle of a chunk</w:t>
            </w:r>
          </w:p>
        </w:tc>
        <w:tc>
          <w:tcPr>
            <w:tcW w:type="dxa" w:w="3969"/>
          </w:tcPr>
          <w:p>
            <w:pPr>
              <w:spacing w:after="40"/>
            </w:pPr>
            <w:r>
              <w:rPr>
                <w:sz w:val="20"/>
              </w:rPr>
              <w:t>resumes from the exact byte the server holds</w:t>
            </w:r>
          </w:p>
        </w:tc>
      </w:tr>
      <w:tr>
        <w:tc>
          <w:tcPr>
            <w:tcW w:type="dxa" w:w="5102"/>
          </w:tcPr>
          <w:p>
            <w:pPr>
              <w:spacing w:after="40"/>
            </w:pPr>
            <w:r>
              <w:rPr>
                <w:sz w:val="20"/>
              </w:rPr>
              <w:t>Real Wi-Fi loss during upload</w:t>
            </w:r>
          </w:p>
        </w:tc>
        <w:tc>
          <w:tcPr>
            <w:tcW w:type="dxa" w:w="3969"/>
          </w:tcPr>
          <w:p>
            <w:pPr>
              <w:spacing w:after="40"/>
            </w:pPr>
            <w:r>
              <w:rPr>
                <w:sz w:val="20"/>
              </w:rPr>
              <w:t>recovers on its own after retrying</w:t>
            </w:r>
          </w:p>
        </w:tc>
      </w:tr>
      <w:tr>
        <w:tc>
          <w:tcPr>
            <w:tcW w:type="dxa" w:w="5102"/>
          </w:tcPr>
          <w:p>
            <w:pPr>
              <w:spacing w:after="40"/>
            </w:pPr>
            <w:r>
              <w:rPr>
                <w:sz w:val="20"/>
              </w:rPr>
              <w:t>Full restart of the unit mid-upload</w:t>
            </w:r>
          </w:p>
        </w:tc>
        <w:tc>
          <w:tcPr>
            <w:tcW w:type="dxa" w:w="3969"/>
          </w:tcPr>
          <w:p>
            <w:pPr>
              <w:spacing w:after="40"/>
            </w:pPr>
            <w:r>
              <w:rPr>
                <w:sz w:val="20"/>
              </w:rPr>
              <w:t>continues from the exact byte, nothing re-sent</w:t>
            </w:r>
          </w:p>
        </w:tc>
      </w:tr>
      <w:tr>
        <w:tc>
          <w:tcPr>
            <w:tcW w:type="dxa" w:w="5102"/>
          </w:tcPr>
          <w:p>
            <w:pPr>
              <w:spacing w:after="40"/>
            </w:pPr>
            <w:r>
              <w:rPr>
                <w:sz w:val="20"/>
              </w:rPr>
              <w:t>Decrypting on a PC what the server received</w:t>
            </w:r>
          </w:p>
        </w:tc>
        <w:tc>
          <w:tcPr>
            <w:tcW w:type="dxa" w:w="3969"/>
          </w:tcPr>
          <w:p>
            <w:pPr>
              <w:spacing w:after="40"/>
            </w:pPr>
            <w:r>
              <w:rPr>
                <w:sz w:val="20"/>
              </w:rPr>
              <w:t>identical to the original video</w:t>
            </w:r>
          </w:p>
        </w:tc>
      </w:tr>
    </w:tbl>
    <w:p>
      <w:pPr>
        <w:spacing w:after="40"/>
      </w:pPr>
    </w:p>
    <w:p>
      <w:r>
        <w:rPr>
          <w:b w:val="0"/>
          <w:i w:val="0"/>
        </w:rPr>
        <w:t>We also wrote a reference server and a written specification and handed both to the back-office team, so that moving from our test server to theirs is a change of address and nothing else.</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9406"/>
      </w:tblGrid>
      <w:tr>
        <w:tc>
          <w:tcPr>
            <w:tcW w:type="dxa" w:w="9071"/>
            <w:shd w:val="clear" w:color="auto" w:fill="F2F2F2"/>
          </w:tcPr>
          <w:p>
            <w:pPr>
              <w:spacing w:after="40"/>
              <w:jc w:val="left"/>
            </w:pPr>
            <w:r>
              <w:rPr>
                <w:b/>
                <w:sz w:val="20"/>
              </w:rPr>
              <w:t>[ IMAGE 5 - Upload and verification (optional) ]</w:t>
            </w:r>
          </w:p>
          <w:p>
            <w:pPr>
              <w:spacing w:after="40"/>
            </w:pPr>
            <w:r>
              <w:rPr>
                <w:i/>
                <w:sz w:val="19"/>
              </w:rPr>
              <w:t>Screenshot of the test server listing received incidents with their verification</w:t>
            </w:r>
          </w:p>
          <w:p>
            <w:pPr>
              <w:spacing w:after="40"/>
            </w:pPr>
            <w:r>
              <w:rPr>
                <w:i/>
                <w:sz w:val="19"/>
              </w:rPr>
              <w:t>result, or of the decryption tool confirming that the received file matches the</w:t>
            </w:r>
          </w:p>
          <w:p>
            <w:pPr>
              <w:spacing w:after="40"/>
            </w:pPr>
            <w:r>
              <w:rPr>
                <w:i/>
                <w:sz w:val="19"/>
              </w:rPr>
              <w:t>original. Useful if the audience wants evidence of the testing; drop it if it</w:t>
            </w:r>
          </w:p>
          <w:p>
            <w:pPr>
              <w:spacing w:after="40"/>
            </w:pPr>
            <w:r>
              <w:rPr>
                <w:i/>
                <w:sz w:val="19"/>
              </w:rPr>
              <w:t>feels too technical for the room.</w:t>
            </w:r>
          </w:p>
        </w:tc>
      </w:tr>
    </w:tbl>
    <w:p>
      <w:pPr>
        <w:spacing w:after="80"/>
      </w:pPr>
    </w:p>
    <w:p>
      <w:pPr>
        <w:pStyle w:val="Heading1"/>
      </w:pPr>
      <w:r>
        <w:t>7. Where the project stands today</w:t>
      </w:r>
    </w:p>
    <w:p>
      <w:r>
        <w:rPr>
          <w:b w:val="0"/>
          <w:i w:val="0"/>
        </w:rPr>
        <w:t>The software on the unit is at version 1.3. Everything marked as validated below has been exercised on the real device, not in an emulator.</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703"/>
        <w:gridCol w:w="4703"/>
      </w:tblGrid>
      <w:tr>
        <w:tc>
          <w:tcPr>
            <w:tcW w:type="dxa" w:w="4819"/>
            <w:shd w:val="clear" w:color="auto" w:fill="EDEDED"/>
          </w:tcPr>
          <w:p>
            <w:pPr>
              <w:spacing w:after="40"/>
            </w:pPr>
            <w:r>
              <w:rPr>
                <w:b/>
                <w:sz w:val="20"/>
              </w:rPr>
              <w:t>Area</w:t>
            </w:r>
          </w:p>
        </w:tc>
        <w:tc>
          <w:tcPr>
            <w:tcW w:type="dxa" w:w="4252"/>
            <w:shd w:val="clear" w:color="auto" w:fill="EDEDED"/>
          </w:tcPr>
          <w:p>
            <w:pPr>
              <w:spacing w:after="40"/>
            </w:pPr>
            <w:r>
              <w:rPr>
                <w:b/>
                <w:sz w:val="20"/>
              </w:rPr>
              <w:t>Status</w:t>
            </w:r>
          </w:p>
        </w:tc>
      </w:tr>
      <w:tr>
        <w:tc>
          <w:tcPr>
            <w:tcW w:type="dxa" w:w="4819"/>
          </w:tcPr>
          <w:p>
            <w:pPr>
              <w:spacing w:after="40"/>
            </w:pPr>
            <w:r>
              <w:rPr>
                <w:sz w:val="20"/>
              </w:rPr>
              <w:t>Hardware control (LEDs, infrared, day/night filter, buttons)</w:t>
            </w:r>
          </w:p>
        </w:tc>
        <w:tc>
          <w:tcPr>
            <w:tcW w:type="dxa" w:w="4252"/>
          </w:tcPr>
          <w:p>
            <w:pPr>
              <w:spacing w:after="40"/>
            </w:pPr>
            <w:r>
              <w:rPr>
                <w:sz w:val="20"/>
              </w:rPr>
              <w:t>Working</w:t>
            </w:r>
          </w:p>
        </w:tc>
      </w:tr>
      <w:tr>
        <w:tc>
          <w:tcPr>
            <w:tcW w:type="dxa" w:w="4819"/>
          </w:tcPr>
          <w:p>
            <w:pPr>
              <w:spacing w:after="40"/>
            </w:pPr>
            <w:r>
              <w:rPr>
                <w:sz w:val="20"/>
              </w:rPr>
              <w:t>Bluetooth link and remote command from the phone</w:t>
            </w:r>
          </w:p>
        </w:tc>
        <w:tc>
          <w:tcPr>
            <w:tcW w:type="dxa" w:w="4252"/>
          </w:tcPr>
          <w:p>
            <w:pPr>
              <w:spacing w:after="40"/>
            </w:pPr>
            <w:r>
              <w:rPr>
                <w:sz w:val="20"/>
              </w:rPr>
              <w:t>Working</w:t>
            </w:r>
          </w:p>
        </w:tc>
      </w:tr>
      <w:tr>
        <w:tc>
          <w:tcPr>
            <w:tcW w:type="dxa" w:w="4819"/>
          </w:tcPr>
          <w:p>
            <w:pPr>
              <w:spacing w:after="40"/>
            </w:pPr>
            <w:r>
              <w:rPr>
                <w:sz w:val="20"/>
              </w:rPr>
              <w:t>Continuous recording with 20-second pre-event buffer</w:t>
            </w:r>
          </w:p>
        </w:tc>
        <w:tc>
          <w:tcPr>
            <w:tcW w:type="dxa" w:w="4252"/>
          </w:tcPr>
          <w:p>
            <w:pPr>
              <w:spacing w:after="40"/>
            </w:pPr>
            <w:r>
              <w:rPr>
                <w:sz w:val="20"/>
              </w:rPr>
              <w:t>Working, validated on the unit</w:t>
            </w:r>
          </w:p>
        </w:tc>
      </w:tr>
      <w:tr>
        <w:tc>
          <w:tcPr>
            <w:tcW w:type="dxa" w:w="4819"/>
          </w:tcPr>
          <w:p>
            <w:pPr>
              <w:spacing w:after="40"/>
            </w:pPr>
            <w:r>
              <w:rPr>
                <w:sz w:val="20"/>
              </w:rPr>
              <w:t>One video per incident, officer identity burned in</w:t>
            </w:r>
          </w:p>
        </w:tc>
        <w:tc>
          <w:tcPr>
            <w:tcW w:type="dxa" w:w="4252"/>
          </w:tcPr>
          <w:p>
            <w:pPr>
              <w:spacing w:after="40"/>
            </w:pPr>
            <w:r>
              <w:rPr>
                <w:sz w:val="20"/>
              </w:rPr>
              <w:t>Working, validated on the unit</w:t>
            </w:r>
          </w:p>
        </w:tc>
      </w:tr>
      <w:tr>
        <w:tc>
          <w:tcPr>
            <w:tcW w:type="dxa" w:w="4819"/>
          </w:tcPr>
          <w:p>
            <w:pPr>
              <w:spacing w:after="40"/>
            </w:pPr>
            <w:r>
              <w:rPr>
                <w:sz w:val="20"/>
              </w:rPr>
              <w:t>Incident numbering, naming and per-incident record</w:t>
            </w:r>
          </w:p>
        </w:tc>
        <w:tc>
          <w:tcPr>
            <w:tcW w:type="dxa" w:w="4252"/>
          </w:tcPr>
          <w:p>
            <w:pPr>
              <w:spacing w:after="40"/>
            </w:pPr>
            <w:r>
              <w:rPr>
                <w:sz w:val="20"/>
              </w:rPr>
              <w:t>Working, validated on the unit</w:t>
            </w:r>
          </w:p>
        </w:tc>
      </w:tr>
      <w:tr>
        <w:tc>
          <w:tcPr>
            <w:tcW w:type="dxa" w:w="4819"/>
          </w:tcPr>
          <w:p>
            <w:pPr>
              <w:spacing w:after="40"/>
            </w:pPr>
            <w:r>
              <w:rPr>
                <w:sz w:val="20"/>
              </w:rPr>
              <w:t>Live streaming and remote viewfinder</w:t>
            </w:r>
          </w:p>
        </w:tc>
        <w:tc>
          <w:tcPr>
            <w:tcW w:type="dxa" w:w="4252"/>
          </w:tcPr>
          <w:p>
            <w:pPr>
              <w:spacing w:after="40"/>
            </w:pPr>
            <w:r>
              <w:rPr>
                <w:sz w:val="20"/>
              </w:rPr>
              <w:t>Working</w:t>
            </w:r>
          </w:p>
        </w:tc>
      </w:tr>
      <w:tr>
        <w:tc>
          <w:tcPr>
            <w:tcW w:type="dxa" w:w="4819"/>
          </w:tcPr>
          <w:p>
            <w:pPr>
              <w:spacing w:after="40"/>
            </w:pPr>
            <w:r>
              <w:rPr>
                <w:sz w:val="20"/>
              </w:rPr>
              <w:t>Evidence encryption and integrity fingerprints</w:t>
            </w:r>
          </w:p>
        </w:tc>
        <w:tc>
          <w:tcPr>
            <w:tcW w:type="dxa" w:w="4252"/>
          </w:tcPr>
          <w:p>
            <w:pPr>
              <w:spacing w:after="40"/>
            </w:pPr>
            <w:r>
              <w:rPr>
                <w:sz w:val="20"/>
              </w:rPr>
              <w:t>Working, validated on the unit</w:t>
            </w:r>
          </w:p>
        </w:tc>
      </w:tr>
      <w:tr>
        <w:tc>
          <w:tcPr>
            <w:tcW w:type="dxa" w:w="4819"/>
          </w:tcPr>
          <w:p>
            <w:pPr>
              <w:spacing w:after="40"/>
            </w:pPr>
            <w:r>
              <w:rPr>
                <w:sz w:val="20"/>
              </w:rPr>
              <w:t>Resumable chunked upload with server-side verification</w:t>
            </w:r>
          </w:p>
        </w:tc>
        <w:tc>
          <w:tcPr>
            <w:tcW w:type="dxa" w:w="4252"/>
          </w:tcPr>
          <w:p>
            <w:pPr>
              <w:spacing w:after="40"/>
            </w:pPr>
            <w:r>
              <w:rPr>
                <w:sz w:val="20"/>
              </w:rPr>
              <w:t>Working, validated against our reference server</w:t>
            </w:r>
          </w:p>
        </w:tc>
      </w:tr>
      <w:tr>
        <w:tc>
          <w:tcPr>
            <w:tcW w:type="dxa" w:w="4819"/>
          </w:tcPr>
          <w:p>
            <w:pPr>
              <w:spacing w:after="40"/>
            </w:pPr>
            <w:r>
              <w:rPr>
                <w:sz w:val="20"/>
              </w:rPr>
              <w:t>Officer identity from an authenticated session</w:t>
            </w:r>
          </w:p>
        </w:tc>
        <w:tc>
          <w:tcPr>
            <w:tcW w:type="dxa" w:w="4252"/>
          </w:tcPr>
          <w:p>
            <w:pPr>
              <w:spacing w:after="40"/>
            </w:pPr>
            <w:r>
              <w:rPr>
                <w:sz w:val="20"/>
              </w:rPr>
              <w:t>Pending. Identity is currently a fixed record, read by the rest of the system from a single place</w:t>
            </w:r>
          </w:p>
        </w:tc>
      </w:tr>
      <w:tr>
        <w:tc>
          <w:tcPr>
            <w:tcW w:type="dxa" w:w="4819"/>
          </w:tcPr>
          <w:p>
            <w:pPr>
              <w:spacing w:after="40"/>
            </w:pPr>
            <w:r>
              <w:rPr>
                <w:sz w:val="20"/>
              </w:rPr>
              <w:t>Digital signature of evidence (authorship, not only integrity)</w:t>
            </w:r>
          </w:p>
        </w:tc>
        <w:tc>
          <w:tcPr>
            <w:tcW w:type="dxa" w:w="4252"/>
          </w:tcPr>
          <w:p>
            <w:pPr>
              <w:spacing w:after="40"/>
            </w:pPr>
            <w:r>
              <w:rPr>
                <w:sz w:val="20"/>
              </w:rPr>
              <w:t>Planned, not started</w:t>
            </w:r>
          </w:p>
        </w:tc>
      </w:tr>
      <w:tr>
        <w:tc>
          <w:tcPr>
            <w:tcW w:type="dxa" w:w="4819"/>
          </w:tcPr>
          <w:p>
            <w:pPr>
              <w:spacing w:after="40"/>
            </w:pPr>
            <w:r>
              <w:rPr>
                <w:sz w:val="20"/>
              </w:rPr>
              <w:t>Connection to the production back office</w:t>
            </w:r>
          </w:p>
        </w:tc>
        <w:tc>
          <w:tcPr>
            <w:tcW w:type="dxa" w:w="4252"/>
          </w:tcPr>
          <w:p>
            <w:pPr>
              <w:spacing w:after="40"/>
            </w:pPr>
            <w:r>
              <w:rPr>
                <w:sz w:val="20"/>
              </w:rPr>
              <w:t>Waiting on the customer: real endpoint and production key</w:t>
            </w:r>
          </w:p>
        </w:tc>
      </w:tr>
    </w:tbl>
    <w:p>
      <w:pPr>
        <w:spacing w:after="40"/>
      </w:pPr>
    </w:p>
    <w:p>
      <w:pPr>
        <w:pStyle w:val="Heading1"/>
      </w:pPr>
      <w:r>
        <w:t>8. What comes next</w:t>
      </w:r>
    </w:p>
    <w:p>
      <w:r>
        <w:rPr>
          <w:b w:val="0"/>
          <w:i w:val="0"/>
        </w:rPr>
        <w:t>The near-term work divides cleanly into what depends only on us and what depends on the customer's own teams.</w:t>
      </w:r>
    </w:p>
    <w:p>
      <w:pPr>
        <w:pStyle w:val="ListBullet"/>
        <w:spacing w:after="80"/>
      </w:pPr>
      <w:r>
        <w:rPr>
          <w:b/>
        </w:rPr>
        <w:t xml:space="preserve">Ours: </w:t>
      </w:r>
      <w:r>
        <w:t>authenticated pairing between unit and phone; officer login, so that the identity which reaches the evidence comes from a session rather than from a constant; digital signature of evidence, so that a file proves who produced it and not only that it has not been altered; and bringing the phone application up to the same encryption and upload behaviour as the unit.</w:t>
      </w:r>
    </w:p>
    <w:p>
      <w:pPr>
        <w:pStyle w:val="ListBullet"/>
        <w:spacing w:after="80"/>
      </w:pPr>
      <w:r>
        <w:rPr>
          <w:b/>
        </w:rPr>
        <w:t xml:space="preserve">Customer side: </w:t>
      </w:r>
      <w:r>
        <w:t>the production key for evidence encryption, generated on their own infrastructure; the real upload endpoint and its secure address; and the policy decision on how long a unit keeps its own copy of an incident once delivery has been confirmed.</w:t>
      </w:r>
    </w:p>
    <w:p>
      <w:r>
        <w:rPr>
          <w:b w:val="0"/>
          <w:i w:val="0"/>
        </w:rPr>
        <w:t>None of the items on the customer's side blocks development. Each of them is already implemented against a stand-in that we control, precisely so that the schedule does not depend on somebody else's calendar.</w:t>
      </w:r>
    </w:p>
    <w:p>
      <w:pPr>
        <w:pStyle w:val="Heading1"/>
      </w:pPr>
      <w:r>
        <w:t>Annex - technical summary</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703"/>
        <w:gridCol w:w="4703"/>
      </w:tblGrid>
      <w:tr>
        <w:tc>
          <w:tcPr>
            <w:tcW w:type="dxa" w:w="2381"/>
            <w:shd w:val="clear" w:color="auto" w:fill="EDEDED"/>
          </w:tcPr>
          <w:p>
            <w:pPr>
              <w:spacing w:after="40"/>
            </w:pPr>
            <w:r>
              <w:rPr>
                <w:b/>
                <w:sz w:val="20"/>
              </w:rPr>
            </w:r>
          </w:p>
        </w:tc>
        <w:tc>
          <w:tcPr>
            <w:tcW w:type="dxa" w:w="6690"/>
            <w:shd w:val="clear" w:color="auto" w:fill="EDEDED"/>
          </w:tcPr>
          <w:p>
            <w:pPr>
              <w:spacing w:after="40"/>
            </w:pPr>
            <w:r>
              <w:rPr>
                <w:b/>
                <w:sz w:val="20"/>
              </w:rPr>
            </w:r>
          </w:p>
        </w:tc>
      </w:tr>
      <w:tr>
        <w:tc>
          <w:tcPr>
            <w:tcW w:type="dxa" w:w="2381"/>
          </w:tcPr>
          <w:p>
            <w:pPr>
              <w:spacing w:after="40"/>
            </w:pPr>
            <w:r>
              <w:rPr>
                <w:sz w:val="20"/>
              </w:rPr>
              <w:t>Unit</w:t>
            </w:r>
          </w:p>
        </w:tc>
        <w:tc>
          <w:tcPr>
            <w:tcW w:type="dxa" w:w="6690"/>
          </w:tcPr>
          <w:p>
            <w:pPr>
              <w:spacing w:after="40"/>
            </w:pPr>
            <w:r>
              <w:rPr>
                <w:sz w:val="20"/>
              </w:rPr>
              <w:t>Android 9, Unisoc SC9832e, model DSJ-ZXAN9A1; no privileged access required</w:t>
            </w:r>
          </w:p>
        </w:tc>
      </w:tr>
      <w:tr>
        <w:tc>
          <w:tcPr>
            <w:tcW w:type="dxa" w:w="2381"/>
          </w:tcPr>
          <w:p>
            <w:pPr>
              <w:spacing w:after="40"/>
            </w:pPr>
            <w:r>
              <w:rPr>
                <w:sz w:val="20"/>
              </w:rPr>
              <w:t>Unit software</w:t>
            </w:r>
          </w:p>
        </w:tc>
        <w:tc>
          <w:tcPr>
            <w:tcW w:type="dxa" w:w="6690"/>
          </w:tcPr>
          <w:p>
            <w:pPr>
              <w:spacing w:after="40"/>
            </w:pPr>
            <w:r>
              <w:rPr>
                <w:sz w:val="20"/>
              </w:rPr>
              <w:t>Native Android application written in Kotlin, 25 source files, around 6,400 lines</w:t>
            </w:r>
          </w:p>
        </w:tc>
      </w:tr>
      <w:tr>
        <w:tc>
          <w:tcPr>
            <w:tcW w:type="dxa" w:w="2381"/>
          </w:tcPr>
          <w:p>
            <w:pPr>
              <w:spacing w:after="40"/>
            </w:pPr>
            <w:r>
              <w:rPr>
                <w:sz w:val="20"/>
              </w:rPr>
              <w:t>Current version</w:t>
            </w:r>
          </w:p>
        </w:tc>
        <w:tc>
          <w:tcPr>
            <w:tcW w:type="dxa" w:w="6690"/>
          </w:tcPr>
          <w:p>
            <w:pPr>
              <w:spacing w:after="40"/>
            </w:pPr>
            <w:r>
              <w:rPr>
                <w:sz w:val="20"/>
              </w:rPr>
              <w:t>1.3</w:t>
            </w:r>
          </w:p>
        </w:tc>
      </w:tr>
      <w:tr>
        <w:tc>
          <w:tcPr>
            <w:tcW w:type="dxa" w:w="2381"/>
          </w:tcPr>
          <w:p>
            <w:pPr>
              <w:spacing w:after="40"/>
            </w:pPr>
            <w:r>
              <w:rPr>
                <w:sz w:val="20"/>
              </w:rPr>
              <w:t>Repository history</w:t>
            </w:r>
          </w:p>
        </w:tc>
        <w:tc>
          <w:tcPr>
            <w:tcW w:type="dxa" w:w="6690"/>
          </w:tcPr>
          <w:p>
            <w:pPr>
              <w:spacing w:after="40"/>
            </w:pPr>
            <w:r>
              <w:rPr>
                <w:sz w:val="20"/>
              </w:rPr>
              <w:t>28 commits since 23 April 2026</w:t>
            </w:r>
          </w:p>
        </w:tc>
      </w:tr>
      <w:tr>
        <w:tc>
          <w:tcPr>
            <w:tcW w:type="dxa" w:w="2381"/>
          </w:tcPr>
          <w:p>
            <w:pPr>
              <w:spacing w:after="40"/>
            </w:pPr>
            <w:r>
              <w:rPr>
                <w:sz w:val="20"/>
              </w:rPr>
              <w:t>Video</w:t>
            </w:r>
          </w:p>
        </w:tc>
        <w:tc>
          <w:tcPr>
            <w:tcW w:type="dxa" w:w="6690"/>
          </w:tcPr>
          <w:p>
            <w:pPr>
              <w:spacing w:after="40"/>
            </w:pPr>
            <w:r>
              <w:rPr>
                <w:sz w:val="20"/>
              </w:rPr>
              <w:t>720p, H.264 with AAC audio; assembly without re-compression; hardware decode and encode for the burned-in label</w:t>
            </w:r>
          </w:p>
        </w:tc>
      </w:tr>
      <w:tr>
        <w:tc>
          <w:tcPr>
            <w:tcW w:type="dxa" w:w="2381"/>
          </w:tcPr>
          <w:p>
            <w:pPr>
              <w:spacing w:after="40"/>
            </w:pPr>
            <w:r>
              <w:rPr>
                <w:sz w:val="20"/>
              </w:rPr>
              <w:t>Encryption</w:t>
            </w:r>
          </w:p>
        </w:tc>
        <w:tc>
          <w:tcPr>
            <w:tcW w:type="dxa" w:w="6690"/>
          </w:tcPr>
          <w:p>
            <w:pPr>
              <w:spacing w:after="40"/>
            </w:pPr>
            <w:r>
              <w:rPr>
                <w:sz w:val="20"/>
              </w:rPr>
              <w:t>AES-256-GCM in 1 MB blocks, one key per file, envelope encryption for device and back office; SHA-256 of the original and of the encrypted file</w:t>
            </w:r>
          </w:p>
        </w:tc>
      </w:tr>
      <w:tr>
        <w:tc>
          <w:tcPr>
            <w:tcW w:type="dxa" w:w="2381"/>
          </w:tcPr>
          <w:p>
            <w:pPr>
              <w:spacing w:after="40"/>
            </w:pPr>
            <w:r>
              <w:rPr>
                <w:sz w:val="20"/>
              </w:rPr>
              <w:t>Upload</w:t>
            </w:r>
          </w:p>
        </w:tc>
        <w:tc>
          <w:tcPr>
            <w:tcW w:type="dxa" w:w="6690"/>
          </w:tcPr>
          <w:p>
            <w:pPr>
              <w:spacing w:after="40"/>
            </w:pPr>
            <w:r>
              <w:rPr>
                <w:sz w:val="20"/>
              </w:rPr>
              <w:t>tus 1.0.0 resumable upload (open standard), plus fingerprint verification on completion</w:t>
            </w:r>
          </w:p>
        </w:tc>
      </w:tr>
      <w:tr>
        <w:tc>
          <w:tcPr>
            <w:tcW w:type="dxa" w:w="2381"/>
          </w:tcPr>
          <w:p>
            <w:pPr>
              <w:spacing w:after="40"/>
            </w:pPr>
            <w:r>
              <w:rPr>
                <w:sz w:val="20"/>
              </w:rPr>
              <w:t>Local interfaces</w:t>
            </w:r>
          </w:p>
        </w:tc>
        <w:tc>
          <w:tcPr>
            <w:tcW w:type="dxa" w:w="6690"/>
          </w:tcPr>
          <w:p>
            <w:pPr>
              <w:spacing w:after="40"/>
            </w:pPr>
            <w:r>
              <w:rPr>
                <w:sz w:val="20"/>
              </w:rPr>
              <w:t>Bluetooth command channel; HTTP server on the local network for evidence access; live streaming</w:t>
            </w:r>
          </w:p>
        </w:tc>
      </w:tr>
      <w:tr>
        <w:tc>
          <w:tcPr>
            <w:tcW w:type="dxa" w:w="2381"/>
          </w:tcPr>
          <w:p>
            <w:pPr>
              <w:spacing w:after="40"/>
            </w:pPr>
            <w:r>
              <w:rPr>
                <w:sz w:val="20"/>
              </w:rPr>
              <w:t>Companion application</w:t>
            </w:r>
          </w:p>
        </w:tc>
        <w:tc>
          <w:tcPr>
            <w:tcW w:type="dxa" w:w="6690"/>
          </w:tcPr>
          <w:p>
            <w:pPr>
              <w:spacing w:after="40"/>
            </w:pPr>
            <w:r>
              <w:rPr>
                <w:sz w:val="20"/>
              </w:rPr>
              <w:t>Android phone application, covered in a separate document</w:t>
            </w:r>
          </w:p>
        </w:tc>
      </w:tr>
    </w:tbl>
    <w:p>
      <w:pPr>
        <w:spacing w:after="40"/>
      </w:pPr>
    </w:p>
    <w:p>
      <w:pPr>
        <w:spacing w:before="320"/>
      </w:pPr>
      <w:r>
        <w:rPr>
          <w:i/>
          <w:sz w:val="19"/>
        </w:rPr>
        <w:t>Figures quoted in this document are measurements taken on the physical unit during the test sessions of 23, 25 and 26 August 2026, not estimates.</w:t>
      </w:r>
    </w:p>
    <w:sectPr w:rsidR="00FC693F" w:rsidRPr="0006063C" w:rsidSect="00034616">
      <w:pgSz w:w="12240" w:h="15840"/>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i w:val="0"/>
      <w:color w:val="2E2E2E"/>
      <w:sz w:val="25"/>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i w:val="0"/>
      <w:color w:val="2E2E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