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Evidence Encryption and Hashing</w:t>
      </w:r>
    </w:p>
    <w:p>
      <w:r>
        <w:rPr>
          <w:color w:val="555555"/>
          <w:sz w:val="20"/>
        </w:rPr>
        <w:t>Implementation status - 25 August 2026</w:t>
        <w:br/>
        <w:t>BodyCamServer (body-worn unit) and AeriaNexusPrototype (mobile)</w:t>
      </w:r>
    </w:p>
    <w:p>
      <w:r>
        <w:rPr>
          <w:b/>
        </w:rPr>
        <w:t xml:space="preserve">Summary. </w:t>
      </w:r>
      <w:r>
        <w:t>Evidence now leaves both applications encrypted and hashed, in the same file format, validated on real hardware. What remains open is a key-custody decision that is not technical, and the digital signature of the evidence.</w:t>
      </w:r>
    </w:p>
    <w:p>
      <w:pPr>
        <w:pStyle w:val="Heading1"/>
      </w:pPr>
      <w:r>
        <w:t>1. What has been implemented</w:t>
      </w:r>
    </w:p>
    <w:tbl>
      <w:tblPr>
        <w:tblStyle w:val="TableGrid"/>
        <w:tblW w:type="auto" w:w="0"/>
        <w:tblLook w:firstColumn="1" w:firstRow="1" w:lastColumn="0" w:lastRow="0" w:noHBand="0" w:noVBand="1" w:val="04A0"/>
      </w:tblPr>
      <w:tblGrid>
        <w:gridCol w:w="3324"/>
        <w:gridCol w:w="3324"/>
        <w:gridCol w:w="3324"/>
      </w:tblGrid>
      <w:tr>
        <w:tc>
          <w:tcPr>
            <w:tcW w:type="dxa" w:w="1474"/>
          </w:tcPr>
          <w:p>
            <w:r/>
            <w:r>
              <w:rPr>
                <w:b/>
                <w:sz w:val="18"/>
              </w:rPr>
              <w:t>Item</w:t>
            </w:r>
          </w:p>
        </w:tc>
        <w:tc>
          <w:tcPr>
            <w:tcW w:type="dxa" w:w="3742"/>
          </w:tcPr>
          <w:p>
            <w:r/>
            <w:r>
              <w:rPr>
                <w:b/>
                <w:sz w:val="18"/>
              </w:rPr>
              <w:t>Decision</w:t>
            </w:r>
          </w:p>
        </w:tc>
        <w:tc>
          <w:tcPr>
            <w:tcW w:type="dxa" w:w="4195"/>
          </w:tcPr>
          <w:p>
            <w:r/>
            <w:r>
              <w:rPr>
                <w:b/>
                <w:sz w:val="18"/>
              </w:rPr>
              <w:t>Rationale</w:t>
            </w:r>
          </w:p>
        </w:tc>
      </w:tr>
      <w:tr>
        <w:tc>
          <w:tcPr>
            <w:tcW w:type="dxa" w:w="1474"/>
          </w:tcPr>
          <w:p>
            <w:r/>
            <w:r>
              <w:rPr>
                <w:sz w:val="18"/>
              </w:rPr>
              <w:t>Cipher</w:t>
            </w:r>
          </w:p>
        </w:tc>
        <w:tc>
          <w:tcPr>
            <w:tcW w:type="dxa" w:w="3742"/>
          </w:tcPr>
          <w:p>
            <w:r/>
            <w:r>
              <w:rPr>
                <w:sz w:val="18"/>
              </w:rPr>
              <w:t>AES-256-GCM</w:t>
            </w:r>
          </w:p>
        </w:tc>
        <w:tc>
          <w:tcPr>
            <w:tcW w:type="dxa" w:w="4195"/>
          </w:tcPr>
          <w:p>
            <w:r/>
            <w:r>
              <w:rPr>
                <w:sz w:val="18"/>
              </w:rPr>
              <w:t>AEAD: encrypts and authenticates in one pass</w:t>
            </w:r>
          </w:p>
        </w:tc>
      </w:tr>
      <w:tr>
        <w:tc>
          <w:tcPr>
            <w:tcW w:type="dxa" w:w="1474"/>
          </w:tcPr>
          <w:p>
            <w:r/>
            <w:r>
              <w:rPr>
                <w:sz w:val="18"/>
              </w:rPr>
              <w:t>Key</w:t>
            </w:r>
          </w:p>
        </w:tc>
        <w:tc>
          <w:tcPr>
            <w:tcW w:type="dxa" w:w="3742"/>
          </w:tcPr>
          <w:p>
            <w:r/>
            <w:r>
              <w:rPr>
                <w:sz w:val="18"/>
              </w:rPr>
              <w:t>256-bit, random per file (DEK)</w:t>
            </w:r>
          </w:p>
        </w:tc>
        <w:tc>
          <w:tcPr>
            <w:tcW w:type="dxa" w:w="4195"/>
          </w:tcPr>
          <w:p>
            <w:r/>
            <w:r>
              <w:rPr>
                <w:sz w:val="18"/>
              </w:rPr>
              <w:t>One compromised key does not expose the rest</w:t>
            </w:r>
          </w:p>
        </w:tc>
      </w:tr>
      <w:tr>
        <w:tc>
          <w:tcPr>
            <w:tcW w:type="dxa" w:w="1474"/>
          </w:tcPr>
          <w:p>
            <w:r/>
            <w:r>
              <w:rPr>
                <w:sz w:val="18"/>
              </w:rPr>
              <w:t>Nonce</w:t>
            </w:r>
          </w:p>
        </w:tc>
        <w:tc>
          <w:tcPr>
            <w:tcW w:type="dxa" w:w="3742"/>
          </w:tcPr>
          <w:p>
            <w:r/>
            <w:r>
              <w:rPr>
                <w:sz w:val="18"/>
              </w:rPr>
              <w:t>96-bit = 64-bit random prefix + 32-bit block index</w:t>
            </w:r>
          </w:p>
        </w:tc>
        <w:tc>
          <w:tcPr>
            <w:tcW w:type="dxa" w:w="4195"/>
          </w:tcPr>
          <w:p>
            <w:r/>
            <w:r>
              <w:rPr>
                <w:sz w:val="18"/>
              </w:rPr>
              <w:t>Cannot repeat within a file</w:t>
            </w:r>
          </w:p>
        </w:tc>
      </w:tr>
      <w:tr>
        <w:tc>
          <w:tcPr>
            <w:tcW w:type="dxa" w:w="1474"/>
          </w:tcPr>
          <w:p>
            <w:r/>
            <w:r>
              <w:rPr>
                <w:sz w:val="18"/>
              </w:rPr>
              <w:t>Tag</w:t>
            </w:r>
          </w:p>
        </w:tc>
        <w:tc>
          <w:tcPr>
            <w:tcW w:type="dxa" w:w="3742"/>
          </w:tcPr>
          <w:p>
            <w:r/>
            <w:r>
              <w:rPr>
                <w:sz w:val="18"/>
              </w:rPr>
              <w:t>128-bit per block</w:t>
            </w:r>
          </w:p>
        </w:tc>
        <w:tc>
          <w:tcPr>
            <w:tcW w:type="dxa" w:w="4195"/>
          </w:tcPr>
          <w:p>
            <w:r/>
            <w:r>
              <w:rPr>
                <w:sz w:val="18"/>
              </w:rPr>
              <w:t>Detects any alteration</w:t>
            </w:r>
          </w:p>
        </w:tc>
      </w:tr>
      <w:tr>
        <w:tc>
          <w:tcPr>
            <w:tcW w:type="dxa" w:w="1474"/>
          </w:tcPr>
          <w:p>
            <w:r/>
            <w:r>
              <w:rPr>
                <w:sz w:val="18"/>
              </w:rPr>
              <w:t>Block</w:t>
            </w:r>
          </w:p>
        </w:tc>
        <w:tc>
          <w:tcPr>
            <w:tcW w:type="dxa" w:w="3742"/>
          </w:tcPr>
          <w:p>
            <w:r/>
            <w:r>
              <w:rPr>
                <w:sz w:val="18"/>
              </w:rPr>
              <w:t>1 MiB, each an independent GCM message</w:t>
            </w:r>
          </w:p>
        </w:tc>
        <w:tc>
          <w:tcPr>
            <w:tcW w:type="dxa" w:w="4195"/>
          </w:tcPr>
          <w:p>
            <w:r/>
            <w:r>
              <w:rPr>
                <w:sz w:val="18"/>
              </w:rPr>
              <w:t>AES/GCM cannot stream on Android (see 5)</w:t>
            </w:r>
          </w:p>
        </w:tc>
      </w:tr>
      <w:tr>
        <w:tc>
          <w:tcPr>
            <w:tcW w:type="dxa" w:w="1474"/>
          </w:tcPr>
          <w:p>
            <w:r/>
            <w:r>
              <w:rPr>
                <w:sz w:val="18"/>
              </w:rPr>
              <w:t>Hash</w:t>
            </w:r>
          </w:p>
        </w:tc>
        <w:tc>
          <w:tcPr>
            <w:tcW w:type="dxa" w:w="3742"/>
          </w:tcPr>
          <w:p>
            <w:r/>
            <w:r>
              <w:rPr>
                <w:sz w:val="18"/>
              </w:rPr>
              <w:t>SHA-256 of both plaintext and ciphertext</w:t>
            </w:r>
          </w:p>
        </w:tc>
        <w:tc>
          <w:tcPr>
            <w:tcW w:type="dxa" w:w="4195"/>
          </w:tcPr>
          <w:p>
            <w:r/>
            <w:r>
              <w:rPr>
                <w:sz w:val="18"/>
              </w:rPr>
              <w:t>Chain of custody and upload verification</w:t>
            </w:r>
          </w:p>
        </w:tc>
      </w:tr>
      <w:tr>
        <w:tc>
          <w:tcPr>
            <w:tcW w:type="dxa" w:w="1474"/>
          </w:tcPr>
          <w:p>
            <w:r/>
            <w:r>
              <w:rPr>
                <w:sz w:val="18"/>
              </w:rPr>
              <w:t>Key custody</w:t>
            </w:r>
          </w:p>
        </w:tc>
        <w:tc>
          <w:tcPr>
            <w:tcW w:type="dxa" w:w="3742"/>
          </w:tcPr>
          <w:p>
            <w:r/>
            <w:r>
              <w:rPr>
                <w:sz w:val="18"/>
              </w:rPr>
              <w:t>Envelope encryption: the DEK travels wrapped</w:t>
            </w:r>
          </w:p>
        </w:tc>
        <w:tc>
          <w:tcPr>
            <w:tcW w:type="dxa" w:w="4195"/>
          </w:tcPr>
          <w:p>
            <w:r/>
            <w:r>
              <w:rPr>
                <w:sz w:val="18"/>
              </w:rPr>
              <w:t>Recipients can change without touching the format</w:t>
            </w:r>
          </w:p>
        </w:tc>
      </w:tr>
      <w:tr>
        <w:tc>
          <w:tcPr>
            <w:tcW w:type="dxa" w:w="1474"/>
          </w:tcPr>
          <w:p>
            <w:r/>
            <w:r>
              <w:rPr>
                <w:sz w:val="18"/>
              </w:rPr>
              <w:t>Format</w:t>
            </w:r>
          </w:p>
        </w:tc>
        <w:tc>
          <w:tcPr>
            <w:tcW w:type="dxa" w:w="3742"/>
          </w:tcPr>
          <w:p>
            <w:r/>
            <w:r>
              <w:rPr>
                <w:sz w:val="18"/>
              </w:rPr>
              <w:t>FEVD v1 (docs/CRYPTO-FORMAT.md)</w:t>
            </w:r>
          </w:p>
        </w:tc>
        <w:tc>
          <w:tcPr>
            <w:tcW w:type="dxa" w:w="4195"/>
          </w:tcPr>
          <w:p>
            <w:r/>
            <w:r>
              <w:rPr>
                <w:sz w:val="18"/>
              </w:rPr>
              <w:t>Single contract shared by both apps</w:t>
            </w:r>
          </w:p>
        </w:tc>
      </w:tr>
    </w:tbl>
    <w:p/>
    <w:p>
      <w:r>
        <w:rPr>
          <w:b/>
        </w:rPr>
        <w:t xml:space="preserve">Key recipients. </w:t>
      </w:r>
      <w:r>
        <w:t>Every file carries the DEK wrapped once per party that must be able to open it: "ks:" with an AndroidKeyStore key that never leaves the chip, which enables local playback; and "srv:" with the server public key using RSA-OAEP/SHA-256. The latter is implemented and disabled, pending delivery of the Nexus public key. Adding or removing recipients does not change a single byte of the encrypted payload.</w:t>
      </w:r>
    </w:p>
    <w:p>
      <w:pPr>
        <w:pStyle w:val="Heading1"/>
      </w:pPr>
      <w:r>
        <w:t>2. Security Feature List coverage</w:t>
      </w:r>
    </w:p>
    <w:p>
      <w:r>
        <w:t>Encryption and hashing entries only. Status reflects what was measured on device, not what the spreadsheet declares, where all 35 rows still read "Planned".</w:t>
      </w:r>
    </w:p>
    <w:tbl>
      <w:tblPr>
        <w:tblStyle w:val="TableGrid"/>
        <w:tblW w:type="auto" w:w="0"/>
        <w:tblLook w:firstColumn="1" w:firstRow="1" w:lastColumn="0" w:lastRow="0" w:noHBand="0" w:noVBand="1" w:val="04A0"/>
      </w:tblPr>
      <w:tblGrid>
        <w:gridCol w:w="2493"/>
        <w:gridCol w:w="2493"/>
        <w:gridCol w:w="2493"/>
        <w:gridCol w:w="2493"/>
      </w:tblGrid>
      <w:tr>
        <w:tc>
          <w:tcPr>
            <w:tcW w:type="dxa" w:w="964"/>
          </w:tcPr>
          <w:p>
            <w:r/>
            <w:r>
              <w:rPr>
                <w:b/>
                <w:sz w:val="18"/>
              </w:rPr>
              <w:t>ID</w:t>
            </w:r>
          </w:p>
        </w:tc>
        <w:tc>
          <w:tcPr>
            <w:tcW w:type="dxa" w:w="3175"/>
          </w:tcPr>
          <w:p>
            <w:r/>
            <w:r>
              <w:rPr>
                <w:b/>
                <w:sz w:val="18"/>
              </w:rPr>
              <w:t>Requirement</w:t>
            </w:r>
          </w:p>
        </w:tc>
        <w:tc>
          <w:tcPr>
            <w:tcW w:type="dxa" w:w="1304"/>
          </w:tcPr>
          <w:p>
            <w:r/>
            <w:r>
              <w:rPr>
                <w:b/>
                <w:sz w:val="18"/>
              </w:rPr>
              <w:t>Actual status</w:t>
            </w:r>
          </w:p>
        </w:tc>
        <w:tc>
          <w:tcPr>
            <w:tcW w:type="dxa" w:w="3969"/>
          </w:tcPr>
          <w:p>
            <w:r/>
            <w:r>
              <w:rPr>
                <w:b/>
                <w:sz w:val="18"/>
              </w:rPr>
              <w:t>Note</w:t>
            </w:r>
          </w:p>
        </w:tc>
      </w:tr>
      <w:tr>
        <w:tc>
          <w:tcPr>
            <w:tcW w:type="dxa" w:w="964"/>
          </w:tcPr>
          <w:p>
            <w:r/>
            <w:r>
              <w:rPr>
                <w:sz w:val="18"/>
              </w:rPr>
              <w:t>EVD-003</w:t>
            </w:r>
          </w:p>
        </w:tc>
        <w:tc>
          <w:tcPr>
            <w:tcW w:type="dxa" w:w="3175"/>
          </w:tcPr>
          <w:p>
            <w:r/>
            <w:r>
              <w:rPr>
                <w:sz w:val="18"/>
              </w:rPr>
              <w:t>Evidence Hashing: SHA-256 after recording completion</w:t>
            </w:r>
          </w:p>
        </w:tc>
        <w:tc>
          <w:tcPr>
            <w:tcW w:type="dxa" w:w="1304"/>
          </w:tcPr>
          <w:p>
            <w:r/>
            <w:r>
              <w:rPr>
                <w:sz w:val="18"/>
              </w:rPr>
              <w:t>DONE</w:t>
            </w:r>
          </w:p>
        </w:tc>
        <w:tc>
          <w:tcPr>
            <w:tcW w:type="dxa" w:w="3969"/>
          </w:tcPr>
          <w:p>
            <w:r/>
            <w:r>
              <w:rPr>
                <w:sz w:val="18"/>
              </w:rPr>
              <w:t>Computed in the same read pass as encryption and persisted with the evidence</w:t>
            </w:r>
          </w:p>
        </w:tc>
      </w:tr>
      <w:tr>
        <w:tc>
          <w:tcPr>
            <w:tcW w:type="dxa" w:w="964"/>
          </w:tcPr>
          <w:p>
            <w:r/>
            <w:r>
              <w:rPr>
                <w:sz w:val="18"/>
              </w:rPr>
              <w:t>CRY-001</w:t>
            </w:r>
          </w:p>
        </w:tc>
        <w:tc>
          <w:tcPr>
            <w:tcW w:type="dxa" w:w="3175"/>
          </w:tcPr>
          <w:p>
            <w:r/>
            <w:r>
              <w:rPr>
                <w:sz w:val="18"/>
              </w:rPr>
              <w:t>Video Encryption: encrypt "immediately during capture", no plaintext storage</w:t>
            </w:r>
          </w:p>
        </w:tc>
        <w:tc>
          <w:tcPr>
            <w:tcW w:type="dxa" w:w="1304"/>
          </w:tcPr>
          <w:p>
            <w:r/>
            <w:r>
              <w:rPr>
                <w:sz w:val="18"/>
              </w:rPr>
              <w:t>PARTIAL</w:t>
            </w:r>
          </w:p>
        </w:tc>
        <w:tc>
          <w:tcPr>
            <w:tcW w:type="dxa" w:w="3969"/>
          </w:tcPr>
          <w:p>
            <w:r/>
            <w:r>
              <w:rPr>
                <w:sz w:val="18"/>
              </w:rPr>
              <w:t>Encryption happens ON CLOSE, not during capture, and plaintext is currently kept. See 5</w:t>
            </w:r>
          </w:p>
        </w:tc>
      </w:tr>
      <w:tr>
        <w:tc>
          <w:tcPr>
            <w:tcW w:type="dxa" w:w="964"/>
          </w:tcPr>
          <w:p>
            <w:r/>
            <w:r>
              <w:rPr>
                <w:sz w:val="18"/>
              </w:rPr>
              <w:t>CRY-002</w:t>
            </w:r>
          </w:p>
        </w:tc>
        <w:tc>
          <w:tcPr>
            <w:tcW w:type="dxa" w:w="3175"/>
          </w:tcPr>
          <w:p>
            <w:r/>
            <w:r>
              <w:rPr>
                <w:sz w:val="18"/>
              </w:rPr>
              <w:t>Secure Local Storage: store recordings only in encrypted storage</w:t>
            </w:r>
          </w:p>
        </w:tc>
        <w:tc>
          <w:tcPr>
            <w:tcW w:type="dxa" w:w="1304"/>
          </w:tcPr>
          <w:p>
            <w:r/>
            <w:r>
              <w:rPr>
                <w:sz w:val="18"/>
              </w:rPr>
              <w:t>PARTIAL</w:t>
            </w:r>
          </w:p>
        </w:tc>
        <w:tc>
          <w:tcPr>
            <w:tcW w:type="dxa" w:w="3969"/>
          </w:tcPr>
          <w:p>
            <w:r/>
            <w:r>
              <w:rPr>
                <w:sz w:val="18"/>
              </w:rPr>
              <w:t>The .fev is encrypted, but the plaintext MP4 still sits beside it (EVD-007 undecided)</w:t>
            </w:r>
          </w:p>
        </w:tc>
      </w:tr>
      <w:tr>
        <w:tc>
          <w:tcPr>
            <w:tcW w:type="dxa" w:w="964"/>
          </w:tcPr>
          <w:p>
            <w:r/>
            <w:r>
              <w:rPr>
                <w:sz w:val="18"/>
              </w:rPr>
              <w:t>EVD-004</w:t>
            </w:r>
          </w:p>
        </w:tc>
        <w:tc>
          <w:tcPr>
            <w:tcW w:type="dxa" w:w="3175"/>
          </w:tcPr>
          <w:p>
            <w:r/>
            <w:r>
              <w:rPr>
                <w:sz w:val="18"/>
              </w:rPr>
              <w:t>Digital Signature: digitally sign the completed recording</w:t>
            </w:r>
          </w:p>
        </w:tc>
        <w:tc>
          <w:tcPr>
            <w:tcW w:type="dxa" w:w="1304"/>
          </w:tcPr>
          <w:p>
            <w:r/>
            <w:r>
              <w:rPr>
                <w:sz w:val="18"/>
              </w:rPr>
              <w:t>NOT STARTED</w:t>
            </w:r>
          </w:p>
        </w:tc>
        <w:tc>
          <w:tcPr>
            <w:tcW w:type="dxa" w:w="3969"/>
          </w:tcPr>
          <w:p>
            <w:r/>
            <w:r>
              <w:rPr>
                <w:sz w:val="18"/>
              </w:rPr>
              <w:t>Hashing proves integrity but not authorship. Requires PKI</w:t>
            </w:r>
          </w:p>
        </w:tc>
      </w:tr>
      <w:tr>
        <w:tc>
          <w:tcPr>
            <w:tcW w:type="dxa" w:w="964"/>
          </w:tcPr>
          <w:p>
            <w:r/>
            <w:r>
              <w:rPr>
                <w:sz w:val="18"/>
              </w:rPr>
              <w:t>EVD-005</w:t>
            </w:r>
          </w:p>
        </w:tc>
        <w:tc>
          <w:tcPr>
            <w:tcW w:type="dxa" w:w="3175"/>
          </w:tcPr>
          <w:p>
            <w:r/>
            <w:r>
              <w:rPr>
                <w:sz w:val="18"/>
              </w:rPr>
              <w:t>Transfer Hash Verification: verify integrity after synchronisation</w:t>
            </w:r>
          </w:p>
        </w:tc>
        <w:tc>
          <w:tcPr>
            <w:tcW w:type="dxa" w:w="1304"/>
          </w:tcPr>
          <w:p>
            <w:r/>
            <w:r>
              <w:rPr>
                <w:sz w:val="18"/>
              </w:rPr>
              <w:t>READY</w:t>
            </w:r>
          </w:p>
        </w:tc>
        <w:tc>
          <w:tcPr>
            <w:tcW w:type="dxa" w:w="3969"/>
          </w:tcPr>
          <w:p>
            <w:r/>
            <w:r>
              <w:rPr>
                <w:sz w:val="18"/>
              </w:rPr>
              <w:t>Both apps already publish the hash the receiver needs to compare</w:t>
            </w:r>
          </w:p>
        </w:tc>
      </w:tr>
      <w:tr>
        <w:tc>
          <w:tcPr>
            <w:tcW w:type="dxa" w:w="964"/>
          </w:tcPr>
          <w:p>
            <w:r/>
            <w:r>
              <w:rPr>
                <w:sz w:val="18"/>
              </w:rPr>
              <w:t>EVD-008</w:t>
            </w:r>
          </w:p>
        </w:tc>
        <w:tc>
          <w:tcPr>
            <w:tcW w:type="dxa" w:w="3175"/>
          </w:tcPr>
          <w:p>
            <w:r/>
            <w:r>
              <w:rPr>
                <w:sz w:val="18"/>
              </w:rPr>
              <w:t>Cloud Hash Verification: verify against the original hash</w:t>
            </w:r>
          </w:p>
        </w:tc>
        <w:tc>
          <w:tcPr>
            <w:tcW w:type="dxa" w:w="1304"/>
          </w:tcPr>
          <w:p>
            <w:r/>
            <w:r>
              <w:rPr>
                <w:sz w:val="18"/>
              </w:rPr>
              <w:t>READY</w:t>
            </w:r>
          </w:p>
        </w:tc>
        <w:tc>
          <w:tcPr>
            <w:tcW w:type="dxa" w:w="3969"/>
          </w:tcPr>
          <w:p>
            <w:r/>
            <w:r>
              <w:rPr>
                <w:sz w:val="18"/>
              </w:rPr>
              <w:t>Same as EVD-005; verification itself is backend work</w:t>
            </w:r>
          </w:p>
        </w:tc>
      </w:tr>
      <w:tr>
        <w:tc>
          <w:tcPr>
            <w:tcW w:type="dxa" w:w="964"/>
          </w:tcPr>
          <w:p>
            <w:r/>
            <w:r>
              <w:rPr>
                <w:sz w:val="18"/>
              </w:rPr>
              <w:t>EVD-007</w:t>
            </w:r>
          </w:p>
        </w:tc>
        <w:tc>
          <w:tcPr>
            <w:tcW w:type="dxa" w:w="3175"/>
          </w:tcPr>
          <w:p>
            <w:r/>
            <w:r>
              <w:rPr>
                <w:sz w:val="18"/>
              </w:rPr>
              <w:t>Secure Local Deletion: erase after successful verification</w:t>
            </w:r>
          </w:p>
        </w:tc>
        <w:tc>
          <w:tcPr>
            <w:tcW w:type="dxa" w:w="1304"/>
          </w:tcPr>
          <w:p>
            <w:r/>
            <w:r>
              <w:rPr>
                <w:sz w:val="18"/>
              </w:rPr>
              <w:t>BLOCKED</w:t>
            </w:r>
          </w:p>
        </w:tc>
        <w:tc>
          <w:tcPr>
            <w:tcW w:type="dxa" w:w="3969"/>
          </w:tcPr>
          <w:p>
            <w:r/>
            <w:r>
              <w:rPr>
                <w:sz w:val="18"/>
              </w:rPr>
              <w:t>Retention policy still undecided</w:t>
            </w:r>
          </w:p>
        </w:tc>
      </w:tr>
    </w:tbl>
    <w:p/>
    <w:p>
      <w:pPr>
        <w:pStyle w:val="Heading1"/>
      </w:pPr>
      <w:r>
        <w:t>3. Where the code lives</w:t>
      </w:r>
    </w:p>
    <w:p>
      <w:r>
        <w:t>The cryptographic core is identical in both applications: comparing code only, the sole difference is the Keystore key alias.</w:t>
      </w:r>
    </w:p>
    <w:p>
      <w:r>
        <w:rPr>
          <w:b/>
        </w:rPr>
        <w:t>BodyCamServer - body-worn unit</w:t>
      </w:r>
    </w:p>
    <w:tbl>
      <w:tblPr>
        <w:tblStyle w:val="TableGrid"/>
        <w:tblW w:type="auto" w:w="0"/>
        <w:tblLook w:firstColumn="1" w:firstRow="1" w:lastColumn="0" w:lastRow="0" w:noHBand="0" w:noVBand="1" w:val="04A0"/>
      </w:tblPr>
      <w:tblGrid>
        <w:gridCol w:w="3324"/>
        <w:gridCol w:w="3324"/>
        <w:gridCol w:w="3324"/>
      </w:tblGrid>
      <w:tr>
        <w:tc>
          <w:tcPr>
            <w:tcW w:type="dxa" w:w="2381"/>
          </w:tcPr>
          <w:p>
            <w:r/>
            <w:r>
              <w:rPr>
                <w:b/>
                <w:sz w:val="18"/>
              </w:rPr>
              <w:t>File</w:t>
            </w:r>
          </w:p>
        </w:tc>
        <w:tc>
          <w:tcPr>
            <w:tcW w:type="dxa" w:w="3061"/>
          </w:tcPr>
          <w:p>
            <w:r/>
            <w:r>
              <w:rPr>
                <w:b/>
                <w:sz w:val="18"/>
              </w:rPr>
              <w:t>Function (line)</w:t>
            </w:r>
          </w:p>
        </w:tc>
        <w:tc>
          <w:tcPr>
            <w:tcW w:type="dxa" w:w="3969"/>
          </w:tcPr>
          <w:p>
            <w:r/>
            <w:r>
              <w:rPr>
                <w:b/>
                <w:sz w:val="18"/>
              </w:rPr>
              <w:t>Purpose</w:t>
            </w:r>
          </w:p>
        </w:tc>
      </w:tr>
      <w:tr>
        <w:tc>
          <w:tcPr>
            <w:tcW w:type="dxa" w:w="2381"/>
          </w:tcPr>
          <w:p>
            <w:r/>
            <w:r>
              <w:rPr>
                <w:sz w:val="18"/>
              </w:rPr>
              <w:t>EvidenceCrypto.kt</w:t>
            </w:r>
          </w:p>
        </w:tc>
        <w:tc>
          <w:tcPr>
            <w:tcW w:type="dxa" w:w="3061"/>
          </w:tcPr>
          <w:p>
            <w:r/>
            <w:r>
              <w:rPr>
                <w:sz w:val="18"/>
              </w:rPr>
              <w:t>seal() : 99</w:t>
            </w:r>
          </w:p>
        </w:tc>
        <w:tc>
          <w:tcPr>
            <w:tcW w:type="dxa" w:w="3969"/>
          </w:tcPr>
          <w:p>
            <w:r/>
            <w:r>
              <w:rPr>
                <w:sz w:val="18"/>
              </w:rPr>
              <w:t>Encrypts and hashes in a single read pass</w:t>
            </w:r>
          </w:p>
        </w:tc>
      </w:tr>
      <w:tr>
        <w:tc>
          <w:tcPr>
            <w:tcW w:type="dxa" w:w="2381"/>
          </w:tcPr>
          <w:p>
            <w:r/>
            <w:r>
              <w:rPr>
                <w:sz w:val="18"/>
              </w:rPr>
              <w:t>EvidenceCrypto.kt</w:t>
            </w:r>
          </w:p>
        </w:tc>
        <w:tc>
          <w:tcPr>
            <w:tcW w:type="dxa" w:w="3061"/>
          </w:tcPr>
          <w:p>
            <w:r/>
            <w:r>
              <w:rPr>
                <w:sz w:val="18"/>
              </w:rPr>
              <w:t>open() : 167</w:t>
            </w:r>
          </w:p>
        </w:tc>
        <w:tc>
          <w:tcPr>
            <w:tcW w:type="dxa" w:w="3969"/>
          </w:tcPr>
          <w:p>
            <w:r/>
            <w:r>
              <w:rPr>
                <w:sz w:val="18"/>
              </w:rPr>
              <w:t>Decrypts and verifies authentication of every block</w:t>
            </w:r>
          </w:p>
        </w:tc>
      </w:tr>
      <w:tr>
        <w:tc>
          <w:tcPr>
            <w:tcW w:type="dxa" w:w="2381"/>
          </w:tcPr>
          <w:p>
            <w:r/>
            <w:r>
              <w:rPr>
                <w:sz w:val="18"/>
              </w:rPr>
              <w:t>EvidenceCrypto.kt</w:t>
            </w:r>
          </w:p>
        </w:tc>
        <w:tc>
          <w:tcPr>
            <w:tcW w:type="dxa" w:w="3061"/>
          </w:tcPr>
          <w:p>
            <w:r/>
            <w:r>
              <w:rPr>
                <w:sz w:val="18"/>
              </w:rPr>
              <w:t>sha256() : 199</w:t>
            </w:r>
          </w:p>
        </w:tc>
        <w:tc>
          <w:tcPr>
            <w:tcW w:type="dxa" w:w="3969"/>
          </w:tcPr>
          <w:p>
            <w:r/>
            <w:r>
              <w:rPr>
                <w:sz w:val="18"/>
              </w:rPr>
              <w:t>SHA-256 of a file</w:t>
            </w:r>
          </w:p>
        </w:tc>
      </w:tr>
      <w:tr>
        <w:tc>
          <w:tcPr>
            <w:tcW w:type="dxa" w:w="2381"/>
          </w:tcPr>
          <w:p>
            <w:r/>
            <w:r>
              <w:rPr>
                <w:sz w:val="18"/>
              </w:rPr>
              <w:t>EvidenceCrypto.kt</w:t>
            </w:r>
          </w:p>
        </w:tc>
        <w:tc>
          <w:tcPr>
            <w:tcW w:type="dxa" w:w="3061"/>
          </w:tcPr>
          <w:p>
            <w:r/>
            <w:r>
              <w:rPr>
                <w:sz w:val="18"/>
              </w:rPr>
              <w:t>encryptBlocks() : 214</w:t>
            </w:r>
          </w:p>
        </w:tc>
        <w:tc>
          <w:tcPr>
            <w:tcW w:type="dxa" w:w="3969"/>
          </w:tcPr>
          <w:p>
            <w:r/>
            <w:r>
              <w:rPr>
                <w:sz w:val="18"/>
              </w:rPr>
              <w:t>Block loop: nonce and AAD derived from the index</w:t>
            </w:r>
          </w:p>
        </w:tc>
      </w:tr>
      <w:tr>
        <w:tc>
          <w:tcPr>
            <w:tcW w:type="dxa" w:w="2381"/>
          </w:tcPr>
          <w:p>
            <w:r/>
            <w:r>
              <w:rPr>
                <w:sz w:val="18"/>
              </w:rPr>
              <w:t>EvidenceCrypto.kt</w:t>
            </w:r>
          </w:p>
        </w:tc>
        <w:tc>
          <w:tcPr>
            <w:tcW w:type="dxa" w:w="3061"/>
          </w:tcPr>
          <w:p>
            <w:r/>
            <w:r>
              <w:rPr>
                <w:sz w:val="18"/>
              </w:rPr>
              <w:t>buildHeader() : 299 / readHeader() : 330</w:t>
            </w:r>
          </w:p>
        </w:tc>
        <w:tc>
          <w:tcPr>
            <w:tcW w:type="dxa" w:w="3969"/>
          </w:tcPr>
          <w:p>
            <w:r/>
            <w:r>
              <w:rPr>
                <w:sz w:val="18"/>
              </w:rPr>
              <w:t>FEVD header, which is also the AAD</w:t>
            </w:r>
          </w:p>
        </w:tc>
      </w:tr>
      <w:tr>
        <w:tc>
          <w:tcPr>
            <w:tcW w:type="dxa" w:w="2381"/>
          </w:tcPr>
          <w:p>
            <w:r/>
            <w:r>
              <w:rPr>
                <w:sz w:val="18"/>
              </w:rPr>
              <w:t>EvidenceKeys.kt</w:t>
            </w:r>
          </w:p>
        </w:tc>
        <w:tc>
          <w:tcPr>
            <w:tcW w:type="dxa" w:w="3061"/>
          </w:tcPr>
          <w:p>
            <w:r/>
            <w:r>
              <w:rPr>
                <w:sz w:val="18"/>
              </w:rPr>
              <w:t>recipients() : 59</w:t>
            </w:r>
          </w:p>
        </w:tc>
        <w:tc>
          <w:tcPr>
            <w:tcW w:type="dxa" w:w="3969"/>
          </w:tcPr>
          <w:p>
            <w:r/>
            <w:r>
              <w:rPr>
                <w:sz w:val="18"/>
              </w:rPr>
              <w:t>Who can recover the DEK</w:t>
            </w:r>
          </w:p>
        </w:tc>
      </w:tr>
      <w:tr>
        <w:tc>
          <w:tcPr>
            <w:tcW w:type="dxa" w:w="2381"/>
          </w:tcPr>
          <w:p>
            <w:r/>
            <w:r>
              <w:rPr>
                <w:sz w:val="18"/>
              </w:rPr>
              <w:t>EvidenceKeys.kt</w:t>
            </w:r>
          </w:p>
        </w:tc>
        <w:tc>
          <w:tcPr>
            <w:tcW w:type="dxa" w:w="3061"/>
          </w:tcPr>
          <w:p>
            <w:r/>
            <w:r>
              <w:rPr>
                <w:sz w:val="18"/>
              </w:rPr>
              <w:t>DeviceKeyWrapper.wrap/unwrap : 101/108</w:t>
            </w:r>
          </w:p>
        </w:tc>
        <w:tc>
          <w:tcPr>
            <w:tcW w:type="dxa" w:w="3969"/>
          </w:tcPr>
          <w:p>
            <w:r/>
            <w:r>
              <w:rPr>
                <w:sz w:val="18"/>
              </w:rPr>
              <w:t>AndroidKeyStore wrapping</w:t>
            </w:r>
          </w:p>
        </w:tc>
      </w:tr>
      <w:tr>
        <w:tc>
          <w:tcPr>
            <w:tcW w:type="dxa" w:w="2381"/>
          </w:tcPr>
          <w:p>
            <w:r/>
            <w:r>
              <w:rPr>
                <w:sz w:val="18"/>
              </w:rPr>
              <w:t>EvidenceKeys.kt</w:t>
            </w:r>
          </w:p>
        </w:tc>
        <w:tc>
          <w:tcPr>
            <w:tcW w:type="dxa" w:w="3061"/>
          </w:tcPr>
          <w:p>
            <w:r/>
            <w:r>
              <w:rPr>
                <w:sz w:val="18"/>
              </w:rPr>
              <w:t>NexusKeyWrapper.wrap() : 171</w:t>
            </w:r>
          </w:p>
        </w:tc>
        <w:tc>
          <w:tcPr>
            <w:tcW w:type="dxa" w:w="3969"/>
          </w:tcPr>
          <w:p>
            <w:r/>
            <w:r>
              <w:rPr>
                <w:sz w:val="18"/>
              </w:rPr>
              <w:t>RSA-OAEP wrapping for the server</w:t>
            </w:r>
          </w:p>
        </w:tc>
      </w:tr>
      <w:tr>
        <w:tc>
          <w:tcPr>
            <w:tcW w:type="dxa" w:w="2381"/>
          </w:tcPr>
          <w:p>
            <w:r/>
            <w:r>
              <w:rPr>
                <w:sz w:val="18"/>
              </w:rPr>
              <w:t>RecordingActivity.kt</w:t>
            </w:r>
          </w:p>
        </w:tc>
        <w:tc>
          <w:tcPr>
            <w:tcW w:type="dxa" w:w="3061"/>
          </w:tcPr>
          <w:p>
            <w:r/>
            <w:r>
              <w:rPr>
                <w:sz w:val="18"/>
              </w:rPr>
              <w:t>finalizeIncidentAsync() : 303</w:t>
            </w:r>
          </w:p>
        </w:tc>
        <w:tc>
          <w:tcPr>
            <w:tcW w:type="dxa" w:w="3969"/>
          </w:tcPr>
          <w:p>
            <w:r/>
            <w:r>
              <w:rPr>
                <w:sz w:val="18"/>
              </w:rPr>
              <w:t>Trigger: on incident close</w:t>
            </w:r>
          </w:p>
        </w:tc>
      </w:tr>
      <w:tr>
        <w:tc>
          <w:tcPr>
            <w:tcW w:type="dxa" w:w="2381"/>
          </w:tcPr>
          <w:p>
            <w:r/>
            <w:r>
              <w:rPr>
                <w:sz w:val="18"/>
              </w:rPr>
              <w:t>EvidenceStore.kt</w:t>
            </w:r>
          </w:p>
        </w:tc>
        <w:tc>
          <w:tcPr>
            <w:tcW w:type="dxa" w:w="3061"/>
          </w:tcPr>
          <w:p>
            <w:r/>
            <w:r>
              <w:rPr>
                <w:sz w:val="18"/>
              </w:rPr>
              <w:t>writeManifest() : 296</w:t>
            </w:r>
          </w:p>
        </w:tc>
        <w:tc>
          <w:tcPr>
            <w:tcW w:type="dxa" w:w="3969"/>
          </w:tcPr>
          <w:p>
            <w:r/>
            <w:r>
              <w:rPr>
                <w:sz w:val="18"/>
              </w:rPr>
              <w:t>Persists both hashes into manifest.json</w:t>
            </w:r>
          </w:p>
        </w:tc>
      </w:tr>
    </w:tbl>
    <w:p/>
    <w:p>
      <w:r>
        <w:rPr>
          <w:b/>
        </w:rPr>
        <w:t>AeriaNexusPrototype - mobile</w:t>
      </w:r>
    </w:p>
    <w:tbl>
      <w:tblPr>
        <w:tblStyle w:val="TableGrid"/>
        <w:tblW w:type="auto" w:w="0"/>
        <w:tblLook w:firstColumn="1" w:firstRow="1" w:lastColumn="0" w:lastRow="0" w:noHBand="0" w:noVBand="1" w:val="04A0"/>
      </w:tblPr>
      <w:tblGrid>
        <w:gridCol w:w="3324"/>
        <w:gridCol w:w="3324"/>
        <w:gridCol w:w="3324"/>
      </w:tblGrid>
      <w:tr>
        <w:tc>
          <w:tcPr>
            <w:tcW w:type="dxa" w:w="2835"/>
          </w:tcPr>
          <w:p>
            <w:r/>
            <w:r>
              <w:rPr>
                <w:b/>
                <w:sz w:val="18"/>
              </w:rPr>
              <w:t>File</w:t>
            </w:r>
          </w:p>
        </w:tc>
        <w:tc>
          <w:tcPr>
            <w:tcW w:type="dxa" w:w="2608"/>
          </w:tcPr>
          <w:p>
            <w:r/>
            <w:r>
              <w:rPr>
                <w:b/>
                <w:sz w:val="18"/>
              </w:rPr>
              <w:t>Function (line)</w:t>
            </w:r>
          </w:p>
        </w:tc>
        <w:tc>
          <w:tcPr>
            <w:tcW w:type="dxa" w:w="3969"/>
          </w:tcPr>
          <w:p>
            <w:r/>
            <w:r>
              <w:rPr>
                <w:b/>
                <w:sz w:val="18"/>
              </w:rPr>
              <w:t>Purpose</w:t>
            </w:r>
          </w:p>
        </w:tc>
      </w:tr>
      <w:tr>
        <w:tc>
          <w:tcPr>
            <w:tcW w:type="dxa" w:w="2835"/>
          </w:tcPr>
          <w:p>
            <w:r/>
            <w:r>
              <w:rPr>
                <w:sz w:val="18"/>
              </w:rPr>
              <w:t>data/crypto/EvidenceCrypto.kt</w:t>
            </w:r>
          </w:p>
        </w:tc>
        <w:tc>
          <w:tcPr>
            <w:tcW w:type="dxa" w:w="2608"/>
          </w:tcPr>
          <w:p>
            <w:r/>
            <w:r>
              <w:rPr>
                <w:sz w:val="18"/>
              </w:rPr>
              <w:t>identical to the unit</w:t>
            </w:r>
          </w:p>
        </w:tc>
        <w:tc>
          <w:tcPr>
            <w:tcW w:type="dxa" w:w="3969"/>
          </w:tcPr>
          <w:p>
            <w:r/>
            <w:r>
              <w:rPr>
                <w:sz w:val="18"/>
              </w:rPr>
              <w:t>Same format, byte for byte</w:t>
            </w:r>
          </w:p>
        </w:tc>
      </w:tr>
      <w:tr>
        <w:tc>
          <w:tcPr>
            <w:tcW w:type="dxa" w:w="2835"/>
          </w:tcPr>
          <w:p>
            <w:r/>
            <w:r>
              <w:rPr>
                <w:sz w:val="18"/>
              </w:rPr>
              <w:t>data/crypto/EvidenceKeys.kt</w:t>
            </w:r>
          </w:p>
        </w:tc>
        <w:tc>
          <w:tcPr>
            <w:tcW w:type="dxa" w:w="2608"/>
          </w:tcPr>
          <w:p>
            <w:r/>
            <w:r>
              <w:rPr>
                <w:sz w:val="18"/>
              </w:rPr>
              <w:t>ALIAS aeria_evidence_v1 : 99</w:t>
            </w:r>
          </w:p>
        </w:tc>
        <w:tc>
          <w:tcPr>
            <w:tcW w:type="dxa" w:w="3969"/>
          </w:tcPr>
          <w:p>
            <w:r/>
            <w:r>
              <w:rPr>
                <w:sz w:val="18"/>
              </w:rPr>
              <w:t>The only difference between the two apps</w:t>
            </w:r>
          </w:p>
        </w:tc>
      </w:tr>
      <w:tr>
        <w:tc>
          <w:tcPr>
            <w:tcW w:type="dxa" w:w="2835"/>
          </w:tcPr>
          <w:p>
            <w:r/>
            <w:r>
              <w:rPr>
                <w:sz w:val="18"/>
              </w:rPr>
              <w:t>LocalEvidenceRepository.kt</w:t>
            </w:r>
          </w:p>
        </w:tc>
        <w:tc>
          <w:tcPr>
            <w:tcW w:type="dxa" w:w="2608"/>
          </w:tcPr>
          <w:p>
            <w:r/>
            <w:r>
              <w:rPr>
                <w:sz w:val="18"/>
              </w:rPr>
              <w:t>sealAndPublish() : 105</w:t>
            </w:r>
          </w:p>
        </w:tc>
        <w:tc>
          <w:tcPr>
            <w:tcW w:type="dxa" w:w="3969"/>
          </w:tcPr>
          <w:p>
            <w:r/>
            <w:r>
              <w:rPr>
                <w:sz w:val="18"/>
              </w:rPr>
              <w:t>Trigger: on capture close, before publishing</w:t>
            </w:r>
          </w:p>
        </w:tc>
      </w:tr>
      <w:tr>
        <w:tc>
          <w:tcPr>
            <w:tcW w:type="dxa" w:w="2835"/>
          </w:tcPr>
          <w:p>
            <w:r/>
            <w:r>
              <w:rPr>
                <w:sz w:val="18"/>
              </w:rPr>
              <w:t>LocalEvidenceRepository.kt</w:t>
            </w:r>
          </w:p>
        </w:tc>
        <w:tc>
          <w:tcPr>
            <w:tcW w:type="dxa" w:w="2608"/>
          </w:tcPr>
          <w:p>
            <w:r/>
            <w:r>
              <w:rPr>
                <w:sz w:val="18"/>
              </w:rPr>
              <w:t>sealBlocking() : 115</w:t>
            </w:r>
          </w:p>
        </w:tc>
        <w:tc>
          <w:tcPr>
            <w:tcW w:type="dxa" w:w="3969"/>
          </w:tcPr>
          <w:p>
            <w:r/>
            <w:r>
              <w:rPr>
                <w:sz w:val="18"/>
              </w:rPr>
              <w:t>The actual encryption, off the main thread</w:t>
            </w:r>
          </w:p>
        </w:tc>
      </w:tr>
      <w:tr>
        <w:tc>
          <w:tcPr>
            <w:tcW w:type="dxa" w:w="2835"/>
          </w:tcPr>
          <w:p>
            <w:r/>
            <w:r>
              <w:rPr>
                <w:sz w:val="18"/>
              </w:rPr>
              <w:t>LocalEvidenceRepository.kt</w:t>
            </w:r>
          </w:p>
        </w:tc>
        <w:tc>
          <w:tcPr>
            <w:tcW w:type="dxa" w:w="2608"/>
          </w:tcPr>
          <w:p>
            <w:r/>
            <w:r>
              <w:rPr>
                <w:sz w:val="18"/>
              </w:rPr>
              <w:t>stage() : 141</w:t>
            </w:r>
          </w:p>
        </w:tc>
        <w:tc>
          <w:tcPr>
            <w:tcW w:type="dxa" w:w="3969"/>
          </w:tcPr>
          <w:p>
            <w:r/>
            <w:r>
              <w:rPr>
                <w:sz w:val="18"/>
              </w:rPr>
              <w:t>Working copy: MediaStore does not hand out a File</w:t>
            </w:r>
          </w:p>
        </w:tc>
      </w:tr>
      <w:tr>
        <w:tc>
          <w:tcPr>
            <w:tcW w:type="dxa" w:w="2835"/>
          </w:tcPr>
          <w:p>
            <w:r/>
            <w:r>
              <w:rPr>
                <w:sz w:val="18"/>
              </w:rPr>
              <w:t>IncidentRepository.kt</w:t>
            </w:r>
          </w:p>
        </w:tc>
        <w:tc>
          <w:tcPr>
            <w:tcW w:type="dxa" w:w="2608"/>
          </w:tcPr>
          <w:p>
            <w:r/>
            <w:r>
              <w:rPr>
                <w:sz w:val="18"/>
              </w:rPr>
              <w:t>evidenceHash() : 142</w:t>
            </w:r>
          </w:p>
        </w:tc>
        <w:tc>
          <w:tcPr>
            <w:tcW w:type="dxa" w:w="3969"/>
          </w:tcPr>
          <w:p>
            <w:r/>
            <w:r>
              <w:rPr>
                <w:sz w:val="18"/>
              </w:rPr>
              <w:t>Persists the real SHA-256 into the database</w:t>
            </w:r>
          </w:p>
        </w:tc>
      </w:tr>
    </w:tbl>
    <w:p/>
    <w:p>
      <w:r>
        <w:rPr>
          <w:b/>
        </w:rPr>
        <w:t xml:space="preserve">Verification tool. </w:t>
      </w:r>
      <w:r>
        <w:t>tools/falcon_evidence_decrypt.py decrypts and verifies any file produced by either app. It is the server-side reference implementation.</w:t>
      </w:r>
    </w:p>
    <w:p>
      <w:r>
        <w:br w:type="page"/>
      </w:r>
    </w:p>
    <w:p>
      <w:pPr>
        <w:pStyle w:val="Heading1"/>
      </w:pPr>
      <w:r>
        <w:t>4. Measured timings</w:t>
      </w:r>
    </w:p>
    <w:p>
      <w:r>
        <w:t>Real measurements on real recordings, not synthetic ones. Encryption timings include the SHA-256 computation, because both happen in the same read pass.</w:t>
      </w:r>
    </w:p>
    <w:tbl>
      <w:tblPr>
        <w:tblStyle w:val="TableGrid"/>
        <w:tblW w:type="auto" w:w="0"/>
        <w:tblLook w:firstColumn="1" w:firstRow="1" w:lastColumn="0" w:lastRow="0" w:noHBand="0" w:noVBand="1" w:val="04A0"/>
      </w:tblPr>
      <w:tblGrid>
        <w:gridCol w:w="3324"/>
        <w:gridCol w:w="3324"/>
        <w:gridCol w:w="3324"/>
      </w:tblGrid>
      <w:tr>
        <w:tc>
          <w:tcPr>
            <w:tcW w:type="dxa" w:w="3061"/>
          </w:tcPr>
          <w:p>
            <w:r/>
            <w:r>
              <w:rPr>
                <w:b/>
                <w:sz w:val="18"/>
              </w:rPr>
            </w:r>
          </w:p>
        </w:tc>
        <w:tc>
          <w:tcPr>
            <w:tcW w:type="dxa" w:w="3175"/>
          </w:tcPr>
          <w:p>
            <w:r/>
            <w:r>
              <w:rPr>
                <w:b/>
                <w:sz w:val="18"/>
              </w:rPr>
              <w:t>Body-worn unit</w:t>
            </w:r>
          </w:p>
        </w:tc>
        <w:tc>
          <w:tcPr>
            <w:tcW w:type="dxa" w:w="3175"/>
          </w:tcPr>
          <w:p>
            <w:r/>
            <w:r>
              <w:rPr>
                <w:b/>
                <w:sz w:val="18"/>
              </w:rPr>
              <w:t>Mobile</w:t>
            </w:r>
          </w:p>
        </w:tc>
      </w:tr>
      <w:tr>
        <w:tc>
          <w:tcPr>
            <w:tcW w:type="dxa" w:w="3061"/>
          </w:tcPr>
          <w:p>
            <w:r/>
            <w:r>
              <w:rPr>
                <w:sz w:val="18"/>
              </w:rPr>
              <w:t>Device</w:t>
            </w:r>
          </w:p>
        </w:tc>
        <w:tc>
          <w:tcPr>
            <w:tcW w:type="dxa" w:w="3175"/>
          </w:tcPr>
          <w:p>
            <w:r/>
            <w:r>
              <w:rPr>
                <w:sz w:val="18"/>
              </w:rPr>
              <w:t>DSJ-ZXAN9A1 (Unisoc SC9832e)</w:t>
            </w:r>
          </w:p>
        </w:tc>
        <w:tc>
          <w:tcPr>
            <w:tcW w:type="dxa" w:w="3175"/>
          </w:tcPr>
          <w:p>
            <w:r/>
            <w:r>
              <w:rPr>
                <w:sz w:val="18"/>
              </w:rPr>
              <w:t>Redmi Note 8 Pro</w:t>
            </w:r>
          </w:p>
        </w:tc>
      </w:tr>
      <w:tr>
        <w:tc>
          <w:tcPr>
            <w:tcW w:type="dxa" w:w="3061"/>
          </w:tcPr>
          <w:p>
            <w:r/>
            <w:r>
              <w:rPr>
                <w:sz w:val="18"/>
              </w:rPr>
              <w:t>OS</w:t>
            </w:r>
          </w:p>
        </w:tc>
        <w:tc>
          <w:tcPr>
            <w:tcW w:type="dxa" w:w="3175"/>
          </w:tcPr>
          <w:p>
            <w:r/>
            <w:r>
              <w:rPr>
                <w:sz w:val="18"/>
              </w:rPr>
              <w:t>Android 9 (SDK 28)</w:t>
            </w:r>
          </w:p>
        </w:tc>
        <w:tc>
          <w:tcPr>
            <w:tcW w:type="dxa" w:w="3175"/>
          </w:tcPr>
          <w:p>
            <w:r/>
            <w:r>
              <w:rPr>
                <w:sz w:val="18"/>
              </w:rPr>
              <w:t>Android 11 (SDK 30)</w:t>
            </w:r>
          </w:p>
        </w:tc>
      </w:tr>
      <w:tr>
        <w:tc>
          <w:tcPr>
            <w:tcW w:type="dxa" w:w="3061"/>
          </w:tcPr>
          <w:p>
            <w:r/>
            <w:r>
              <w:rPr>
                <w:sz w:val="18"/>
              </w:rPr>
              <w:t>Test file</w:t>
            </w:r>
          </w:p>
        </w:tc>
        <w:tc>
          <w:tcPr>
            <w:tcW w:type="dxa" w:w="3175"/>
          </w:tcPr>
          <w:p>
            <w:r/>
            <w:r>
              <w:rPr>
                <w:sz w:val="18"/>
              </w:rPr>
              <w:t>21,282,127 B (20.3 MB)</w:t>
            </w:r>
          </w:p>
        </w:tc>
        <w:tc>
          <w:tcPr>
            <w:tcW w:type="dxa" w:w="3175"/>
          </w:tcPr>
          <w:p>
            <w:r/>
            <w:r>
              <w:rPr>
                <w:sz w:val="18"/>
              </w:rPr>
              <w:t>22,693,312 B (21.6 MB)</w:t>
            </w:r>
          </w:p>
        </w:tc>
      </w:tr>
      <w:tr>
        <w:tc>
          <w:tcPr>
            <w:tcW w:type="dxa" w:w="3061"/>
          </w:tcPr>
          <w:p>
            <w:r/>
            <w:r>
              <w:rPr>
                <w:sz w:val="18"/>
              </w:rPr>
              <w:t>Encrypt + hash</w:t>
            </w:r>
          </w:p>
        </w:tc>
        <w:tc>
          <w:tcPr>
            <w:tcW w:type="dxa" w:w="3175"/>
          </w:tcPr>
          <w:p>
            <w:r/>
            <w:r>
              <w:rPr>
                <w:sz w:val="18"/>
              </w:rPr>
              <w:t>397 ms</w:t>
            </w:r>
          </w:p>
        </w:tc>
        <w:tc>
          <w:tcPr>
            <w:tcW w:type="dxa" w:w="3175"/>
          </w:tcPr>
          <w:p>
            <w:r/>
            <w:r>
              <w:rPr>
                <w:sz w:val="18"/>
              </w:rPr>
              <w:t>303 ms</w:t>
            </w:r>
          </w:p>
        </w:tc>
      </w:tr>
      <w:tr>
        <w:tc>
          <w:tcPr>
            <w:tcW w:type="dxa" w:w="3061"/>
          </w:tcPr>
          <w:p>
            <w:r/>
            <w:r>
              <w:rPr>
                <w:sz w:val="18"/>
              </w:rPr>
              <w:t>Throughput</w:t>
            </w:r>
          </w:p>
        </w:tc>
        <w:tc>
          <w:tcPr>
            <w:tcW w:type="dxa" w:w="3175"/>
          </w:tcPr>
          <w:p>
            <w:r/>
            <w:r>
              <w:rPr>
                <w:sz w:val="18"/>
              </w:rPr>
              <w:t>51 MB/s</w:t>
            </w:r>
          </w:p>
        </w:tc>
        <w:tc>
          <w:tcPr>
            <w:tcW w:type="dxa" w:w="3175"/>
          </w:tcPr>
          <w:p>
            <w:r/>
            <w:r>
              <w:rPr>
                <w:sz w:val="18"/>
              </w:rPr>
              <w:t>71 MB/s</w:t>
            </w:r>
          </w:p>
        </w:tc>
      </w:tr>
      <w:tr>
        <w:tc>
          <w:tcPr>
            <w:tcW w:type="dxa" w:w="3061"/>
          </w:tcPr>
          <w:p>
            <w:r/>
            <w:r>
              <w:rPr>
                <w:sz w:val="18"/>
              </w:rPr>
              <w:t>On-device decryption</w:t>
            </w:r>
          </w:p>
        </w:tc>
        <w:tc>
          <w:tcPr>
            <w:tcW w:type="dxa" w:w="3175"/>
          </w:tcPr>
          <w:p>
            <w:r/>
            <w:r>
              <w:rPr>
                <w:sz w:val="18"/>
              </w:rPr>
              <w:t>315 ms (64 MB/s)</w:t>
            </w:r>
          </w:p>
        </w:tc>
        <w:tc>
          <w:tcPr>
            <w:tcW w:type="dxa" w:w="3175"/>
          </w:tcPr>
          <w:p>
            <w:r/>
            <w:r>
              <w:rPr>
                <w:sz w:val="18"/>
              </w:rPr>
              <w:t>not measured</w:t>
            </w:r>
          </w:p>
        </w:tc>
      </w:tr>
      <w:tr>
        <w:tc>
          <w:tcPr>
            <w:tcW w:type="dxa" w:w="3061"/>
          </w:tcPr>
          <w:p>
            <w:r/>
            <w:r>
              <w:rPr>
                <w:sz w:val="18"/>
              </w:rPr>
              <w:t>Encrypted size</w:t>
            </w:r>
          </w:p>
        </w:tc>
        <w:tc>
          <w:tcPr>
            <w:tcW w:type="dxa" w:w="3175"/>
          </w:tcPr>
          <w:p>
            <w:r/>
            <w:r>
              <w:rPr>
                <w:sz w:val="18"/>
              </w:rPr>
              <w:t>21,282,854 B</w:t>
            </w:r>
          </w:p>
        </w:tc>
        <w:tc>
          <w:tcPr>
            <w:tcW w:type="dxa" w:w="3175"/>
          </w:tcPr>
          <w:p>
            <w:r/>
            <w:r>
              <w:rPr>
                <w:sz w:val="18"/>
              </w:rPr>
              <w:t>22,694,054 B</w:t>
            </w:r>
          </w:p>
        </w:tc>
      </w:tr>
      <w:tr>
        <w:tc>
          <w:tcPr>
            <w:tcW w:type="dxa" w:w="3061"/>
          </w:tcPr>
          <w:p>
            <w:r/>
            <w:r>
              <w:rPr>
                <w:sz w:val="18"/>
              </w:rPr>
              <w:t>Overhead</w:t>
            </w:r>
          </w:p>
        </w:tc>
        <w:tc>
          <w:tcPr>
            <w:tcW w:type="dxa" w:w="3175"/>
          </w:tcPr>
          <w:p>
            <w:r/>
            <w:r>
              <w:rPr>
                <w:sz w:val="18"/>
              </w:rPr>
              <w:t>+727 B (+0.0034 %)</w:t>
            </w:r>
          </w:p>
        </w:tc>
        <w:tc>
          <w:tcPr>
            <w:tcW w:type="dxa" w:w="3175"/>
          </w:tcPr>
          <w:p>
            <w:r/>
            <w:r>
              <w:rPr>
                <w:sz w:val="18"/>
              </w:rPr>
              <w:t>+742 B (+0.0033 %)</w:t>
            </w:r>
          </w:p>
        </w:tc>
      </w:tr>
      <w:tr>
        <w:tc>
          <w:tcPr>
            <w:tcW w:type="dxa" w:w="3061"/>
          </w:tcPr>
          <w:p>
            <w:r/>
            <w:r>
              <w:rPr>
                <w:sz w:val="18"/>
              </w:rPr>
              <w:t>FEVD header</w:t>
            </w:r>
          </w:p>
        </w:tc>
        <w:tc>
          <w:tcPr>
            <w:tcW w:type="dxa" w:w="3175"/>
          </w:tcPr>
          <w:p>
            <w:r/>
            <w:r>
              <w:rPr>
                <w:sz w:val="18"/>
              </w:rPr>
              <w:t>391 B</w:t>
            </w:r>
          </w:p>
        </w:tc>
        <w:tc>
          <w:tcPr>
            <w:tcW w:type="dxa" w:w="3175"/>
          </w:tcPr>
          <w:p>
            <w:r/>
            <w:r>
              <w:rPr>
                <w:sz w:val="18"/>
              </w:rPr>
              <w:t>390 B</w:t>
            </w:r>
          </w:p>
        </w:tc>
      </w:tr>
    </w:tbl>
    <w:p/>
    <w:p>
      <w:r>
        <w:rPr>
          <w:b/>
        </w:rPr>
        <w:t xml:space="preserve">Why the headers differ by exactly 1 byte. </w:t>
      </w:r>
      <w:r>
        <w:t>This is the sharpest available proof that both apps emit the same format: the difference is precisely the length of the recipient identifier, "ks:falcon_evidence_v1" versus "ks:aeria_evidence_v1". Everything else matches.</w:t>
      </w:r>
    </w:p>
    <w:p>
      <w:r>
        <w:rPr>
          <w:b/>
        </w:rPr>
        <w:t>Desktop decryption (Python reference implementation)</w:t>
      </w:r>
    </w:p>
    <w:tbl>
      <w:tblPr>
        <w:tblStyle w:val="TableGrid"/>
        <w:tblW w:type="auto" w:w="0"/>
        <w:tblLook w:firstColumn="1" w:firstRow="1" w:lastColumn="0" w:lastRow="0" w:noHBand="0" w:noVBand="1" w:val="04A0"/>
      </w:tblPr>
      <w:tblGrid>
        <w:gridCol w:w="2493"/>
        <w:gridCol w:w="2493"/>
        <w:gridCol w:w="2493"/>
        <w:gridCol w:w="2493"/>
      </w:tblGrid>
      <w:tr>
        <w:tc>
          <w:tcPr>
            <w:tcW w:type="dxa" w:w="2494"/>
          </w:tcPr>
          <w:p>
            <w:r/>
            <w:r>
              <w:rPr>
                <w:b/>
                <w:sz w:val="18"/>
              </w:rPr>
              <w:t>File origin</w:t>
            </w:r>
          </w:p>
        </w:tc>
        <w:tc>
          <w:tcPr>
            <w:tcW w:type="dxa" w:w="1474"/>
          </w:tcPr>
          <w:p>
            <w:r/>
            <w:r>
              <w:rPr>
                <w:b/>
                <w:sz w:val="18"/>
              </w:rPr>
              <w:t>Time</w:t>
            </w:r>
          </w:p>
        </w:tc>
        <w:tc>
          <w:tcPr>
            <w:tcW w:type="dxa" w:w="1928"/>
          </w:tcPr>
          <w:p>
            <w:r/>
            <w:r>
              <w:rPr>
                <w:b/>
                <w:sz w:val="18"/>
              </w:rPr>
              <w:t>Throughput</w:t>
            </w:r>
          </w:p>
        </w:tc>
        <w:tc>
          <w:tcPr>
            <w:tcW w:type="dxa" w:w="3515"/>
          </w:tcPr>
          <w:p>
            <w:r/>
            <w:r>
              <w:rPr>
                <w:b/>
                <w:sz w:val="18"/>
              </w:rPr>
              <w:t>Result</w:t>
            </w:r>
          </w:p>
        </w:tc>
      </w:tr>
      <w:tr>
        <w:tc>
          <w:tcPr>
            <w:tcW w:type="dxa" w:w="2494"/>
          </w:tcPr>
          <w:p>
            <w:r/>
            <w:r>
              <w:rPr>
                <w:sz w:val="18"/>
              </w:rPr>
              <w:t>Body-worn unit</w:t>
            </w:r>
          </w:p>
        </w:tc>
        <w:tc>
          <w:tcPr>
            <w:tcW w:type="dxa" w:w="1474"/>
          </w:tcPr>
          <w:p>
            <w:r/>
            <w:r>
              <w:rPr>
                <w:sz w:val="18"/>
              </w:rPr>
              <w:t>0.12 s</w:t>
            </w:r>
          </w:p>
        </w:tc>
        <w:tc>
          <w:tcPr>
            <w:tcW w:type="dxa" w:w="1928"/>
          </w:tcPr>
          <w:p>
            <w:r/>
            <w:r>
              <w:rPr>
                <w:sz w:val="18"/>
              </w:rPr>
              <w:t>176 MB/s</w:t>
            </w:r>
          </w:p>
        </w:tc>
        <w:tc>
          <w:tcPr>
            <w:tcW w:type="dxa" w:w="3515"/>
          </w:tcPr>
          <w:p>
            <w:r/>
            <w:r>
              <w:rPr>
                <w:sz w:val="18"/>
              </w:rPr>
              <w:t>Byte-for-byte identical to the original</w:t>
            </w:r>
          </w:p>
        </w:tc>
      </w:tr>
      <w:tr>
        <w:tc>
          <w:tcPr>
            <w:tcW w:type="dxa" w:w="2494"/>
          </w:tcPr>
          <w:p>
            <w:r/>
            <w:r>
              <w:rPr>
                <w:sz w:val="18"/>
              </w:rPr>
              <w:t>Mobile</w:t>
            </w:r>
          </w:p>
        </w:tc>
        <w:tc>
          <w:tcPr>
            <w:tcW w:type="dxa" w:w="1474"/>
          </w:tcPr>
          <w:p>
            <w:r/>
            <w:r>
              <w:rPr>
                <w:sz w:val="18"/>
              </w:rPr>
              <w:t>0.12 s</w:t>
            </w:r>
          </w:p>
        </w:tc>
        <w:tc>
          <w:tcPr>
            <w:tcW w:type="dxa" w:w="1928"/>
          </w:tcPr>
          <w:p>
            <w:r/>
            <w:r>
              <w:rPr>
                <w:sz w:val="18"/>
              </w:rPr>
              <w:t>179 MB/s</w:t>
            </w:r>
          </w:p>
        </w:tc>
        <w:tc>
          <w:tcPr>
            <w:tcW w:type="dxa" w:w="3515"/>
          </w:tcPr>
          <w:p>
            <w:r/>
            <w:r>
              <w:rPr>
                <w:sz w:val="18"/>
              </w:rPr>
              <w:t>Byte-for-byte identical to the original</w:t>
            </w:r>
          </w:p>
        </w:tc>
      </w:tr>
    </w:tbl>
    <w:p/>
    <w:p>
      <w:r>
        <w:rPr>
          <w:b/>
        </w:rPr>
        <w:t xml:space="preserve">Extrapolation to a 20-minute recording. </w:t>
      </w:r>
      <w:r>
        <w:t>At 51 MB/s, the roughly 473 MB produced by 20 minutes of recording are encrypted and hashed in about 9 seconds on the unit. Uploading that same file over a 20 Mbps link takes around 3 minutes: encryption adds about 5 % to the total and is not the bottleneck.</w:t>
      </w:r>
    </w:p>
    <w:p>
      <w:pPr>
        <w:pStyle w:val="Heading1"/>
      </w:pPr>
      <w:r>
        <w:t>5. Open decisions and technical notes</w:t>
      </w:r>
    </w:p>
    <w:p>
      <w:r>
        <w:rPr>
          <w:b/>
        </w:rPr>
        <w:t xml:space="preserve">1. Key custody. BLOCKS full delivery. </w:t>
      </w:r>
      <w:r>
        <w:t>Today the only recipient is the unit Keystore, so the server would not be able to open an encrypted file. That is why upload still sends the plaintext MP4, deliberately. It is resolved by delivering the Nexus public key: it is pasted into the code and the format does not change. A public key embedded in an APK is not a leak, it is where it belongs, and it removes the embedded-secret problem rather than mitigating it.</w:t>
      </w:r>
    </w:p>
    <w:p>
      <w:r>
        <w:rPr>
          <w:b/>
        </w:rPr>
        <w:t xml:space="preserve">2. CRY-001 asks for encryption during capture. We do not, by design. </w:t>
      </w:r>
      <w:r>
        <w:t>Encrypting in parallel with recording competes for CPU and I/O with the encoder, and the unit already runs hot while recording. Furthermore, until the incident is closed there is no final file on which a custody hash is meaningful. We propose reinterpreting the requirement as "encrypt on close, before evidence leaves the device", which is what is implemented. This needs to be agreed rather than assumed.</w:t>
      </w:r>
    </w:p>
    <w:p>
      <w:r>
        <w:rPr>
          <w:b/>
        </w:rPr>
        <w:t xml:space="preserve">3. Plaintext retention (EVD-007). </w:t>
      </w:r>
      <w:r>
        <w:t>Deleting the plaintext MP4 after encryption sits behind a constant, currently disabled, because the retention policy is undecided. Enabling it is a one-line change on the unit; on mobile it additionally requires an explicit MediaStore deletion.</w:t>
      </w:r>
    </w:p>
    <w:p>
      <w:r>
        <w:rPr>
          <w:b/>
        </w:rPr>
        <w:t xml:space="preserve">4. Digital signature (EVD-004). Not started. </w:t>
      </w:r>
      <w:r>
        <w:t>The hash proves the evidence has not changed, but not who produced it. Non-repudiation requires signing with a device key backed by PKI. This is outside the scope of this stage and depends on the same PKI decisions as provisioning (IDN-001, IDN-002).</w:t>
      </w:r>
    </w:p>
    <w:p>
      <w:r>
        <w:rPr>
          <w:b/>
        </w:rPr>
        <w:t xml:space="preserve">5. Why the script provided by security was not used as-is. </w:t>
      </w:r>
      <w:r>
        <w:t>Its parameters were kept unchanged: AES-256-GCM, 96-bit nonce, 128-bit tag, and a fresh nonce per operation. What was not portable is its structure, which uses a single nonce and a single tag for the whole file through incremental update() calls. On Android, Conscrypt buffers everything passed to Cipher.update() and only encrypts at doFinal(): asking it for 256 MB at once ends in OutOfMemoryError, verified on the unit. This is inherent to AEAD modes. Hence the 1 MiB block structure, which also bounds memory usage and allows decryption to start from an intermediate point.</w:t>
      </w:r>
    </w:p>
    <w:p>
      <w:pPr>
        <w:pStyle w:val="Heading1"/>
      </w:pPr>
      <w:r>
        <w:t>6. Validation performed</w:t>
      </w:r>
    </w:p>
    <w:tbl>
      <w:tblPr>
        <w:tblStyle w:val="TableGrid"/>
        <w:tblW w:type="auto" w:w="0"/>
        <w:tblLook w:firstColumn="1" w:firstRow="1" w:lastColumn="0" w:lastRow="0" w:noHBand="0" w:noVBand="1" w:val="04A0"/>
      </w:tblPr>
      <w:tblGrid>
        <w:gridCol w:w="4986"/>
        <w:gridCol w:w="4986"/>
      </w:tblGrid>
      <w:tr>
        <w:tc>
          <w:tcPr>
            <w:tcW w:type="dxa" w:w="4762"/>
          </w:tcPr>
          <w:p>
            <w:r/>
            <w:r>
              <w:rPr>
                <w:b/>
                <w:sz w:val="18"/>
              </w:rPr>
              <w:t>Test</w:t>
            </w:r>
          </w:p>
        </w:tc>
        <w:tc>
          <w:tcPr>
            <w:tcW w:type="dxa" w:w="4649"/>
          </w:tcPr>
          <w:p>
            <w:r/>
            <w:r>
              <w:rPr>
                <w:b/>
                <w:sz w:val="18"/>
              </w:rPr>
              <w:t>Result</w:t>
            </w:r>
          </w:p>
        </w:tc>
      </w:tr>
      <w:tr>
        <w:tc>
          <w:tcPr>
            <w:tcW w:type="dxa" w:w="4762"/>
          </w:tcPr>
          <w:p>
            <w:r/>
            <w:r>
              <w:rPr>
                <w:sz w:val="18"/>
              </w:rPr>
              <w:t>Encrypt and decrypt on the body-worn unit</w:t>
            </w:r>
          </w:p>
        </w:tc>
        <w:tc>
          <w:tcPr>
            <w:tcW w:type="dxa" w:w="4649"/>
          </w:tcPr>
          <w:p>
            <w:r/>
            <w:r>
              <w:rPr>
                <w:sz w:val="18"/>
              </w:rPr>
              <w:t>Pass, hashes match</w:t>
            </w:r>
          </w:p>
        </w:tc>
      </w:tr>
      <w:tr>
        <w:tc>
          <w:tcPr>
            <w:tcW w:type="dxa" w:w="4762"/>
          </w:tcPr>
          <w:p>
            <w:r/>
            <w:r>
              <w:rPr>
                <w:sz w:val="18"/>
              </w:rPr>
              <w:t>Encrypt on mobile, decrypt on desktop</w:t>
            </w:r>
          </w:p>
        </w:tc>
        <w:tc>
          <w:tcPr>
            <w:tcW w:type="dxa" w:w="4649"/>
          </w:tcPr>
          <w:p>
            <w:r/>
            <w:r>
              <w:rPr>
                <w:sz w:val="18"/>
              </w:rPr>
              <w:t>Pass, byte-for-byte identical</w:t>
            </w:r>
          </w:p>
        </w:tc>
      </w:tr>
      <w:tr>
        <w:tc>
          <w:tcPr>
            <w:tcW w:type="dxa" w:w="4762"/>
          </w:tcPr>
          <w:p>
            <w:r/>
            <w:r>
              <w:rPr>
                <w:sz w:val="18"/>
              </w:rPr>
              <w:t>Persisted hash versus real hash</w:t>
            </w:r>
          </w:p>
        </w:tc>
        <w:tc>
          <w:tcPr>
            <w:tcW w:type="dxa" w:w="4649"/>
          </w:tcPr>
          <w:p>
            <w:r/>
            <w:r>
              <w:rPr>
                <w:sz w:val="18"/>
              </w:rPr>
              <w:t>Match on both apps</w:t>
            </w:r>
          </w:p>
        </w:tc>
      </w:tr>
      <w:tr>
        <w:tc>
          <w:tcPr>
            <w:tcW w:type="dxa" w:w="4762"/>
          </w:tcPr>
          <w:p>
            <w:r/>
            <w:r>
              <w:rPr>
                <w:sz w:val="18"/>
              </w:rPr>
              <w:t>Single content byte altered</w:t>
            </w:r>
          </w:p>
        </w:tc>
        <w:tc>
          <w:tcPr>
            <w:tcW w:type="dxa" w:w="4649"/>
          </w:tcPr>
          <w:p>
            <w:r/>
            <w:r>
              <w:rPr>
                <w:sz w:val="18"/>
              </w:rPr>
              <w:t>Rejected: authentication failure</w:t>
            </w:r>
          </w:p>
        </w:tc>
      </w:tr>
      <w:tr>
        <w:tc>
          <w:tcPr>
            <w:tcW w:type="dxa" w:w="4762"/>
          </w:tcPr>
          <w:p>
            <w:r/>
            <w:r>
              <w:rPr>
                <w:sz w:val="18"/>
              </w:rPr>
              <w:t>Header altered (nonce, key wrapper)</w:t>
            </w:r>
          </w:p>
        </w:tc>
        <w:tc>
          <w:tcPr>
            <w:tcW w:type="dxa" w:w="4649"/>
          </w:tcPr>
          <w:p>
            <w:r/>
            <w:r>
              <w:rPr>
                <w:sz w:val="18"/>
              </w:rPr>
              <w:t>Rejected: authentication failure</w:t>
            </w:r>
          </w:p>
        </w:tc>
      </w:tr>
      <w:tr>
        <w:tc>
          <w:tcPr>
            <w:tcW w:type="dxa" w:w="4762"/>
          </w:tcPr>
          <w:p>
            <w:r/>
            <w:r>
              <w:rPr>
                <w:sz w:val="18"/>
              </w:rPr>
              <w:t>Truncated file</w:t>
            </w:r>
          </w:p>
        </w:tc>
        <w:tc>
          <w:tcPr>
            <w:tcW w:type="dxa" w:w="4649"/>
          </w:tcPr>
          <w:p>
            <w:r/>
            <w:r>
              <w:rPr>
                <w:sz w:val="18"/>
              </w:rPr>
              <w:t>Rejected before decryption, on size</w:t>
            </w:r>
          </w:p>
        </w:tc>
      </w:tr>
      <w:tr>
        <w:tc>
          <w:tcPr>
            <w:tcW w:type="dxa" w:w="4762"/>
          </w:tcPr>
          <w:p>
            <w:r/>
            <w:r>
              <w:rPr>
                <w:sz w:val="18"/>
              </w:rPr>
              <w:t>Keystore key across an app update</w:t>
            </w:r>
          </w:p>
        </w:tc>
        <w:tc>
          <w:tcPr>
            <w:tcW w:type="dxa" w:w="4649"/>
          </w:tcPr>
          <w:p>
            <w:r/>
            <w:r>
              <w:rPr>
                <w:sz w:val="18"/>
              </w:rPr>
              <w:t>Survives: lost on uninstall, not on update</w:t>
            </w:r>
          </w:p>
        </w:tc>
      </w:tr>
    </w:tbl>
    <w:p/>
    <w:p>
      <w:r>
        <w:br w:type="page"/>
      </w:r>
    </w:p>
    <w:p>
      <w:pPr>
        <w:pStyle w:val="Heading1"/>
      </w:pPr>
      <w:r>
        <w:t>7. What we need from the security lead</w:t>
      </w:r>
    </w:p>
    <w:p>
      <w:r>
        <w:rPr>
          <w:b/>
        </w:rPr>
        <w:t xml:space="preserve">1. Evidence encryption key custody. BLOCKING. </w:t>
      </w:r>
      <w:r>
        <w:t>Evidence is encrypted per file with a random AES-256 key (DEK), which travels wrapped in the file header, once per party allowed to open it. Today the only recipient is the device Keystore, so evidence can only be opened by the unit that recorded it and the server cannot read it. Please confirm who holds the private key, where it is stored (KMS/HSM preferred), who is authorised to use it, and the rotation policy. We are deliberately not generating this key pair ourselves: whoever holds the private key can decrypt all evidence, and that must not be the software vendor. The private key should never leave your infrastructure.</w:t>
      </w:r>
    </w:p>
    <w:p>
      <w:r>
        <w:rPr>
          <w:b/>
        </w:rPr>
        <w:t xml:space="preserve">2. CRY-001 wording. </w:t>
      </w:r>
      <w:r>
        <w:t>The requirement reads "encrypt immediately during capture". We encrypt on incident close, before evidence leaves the device, for the reasons set out in section 5. Measured cost on close is 397 ms for a 20 MB file. Can we agree to reinterpret CRY-001 as "encrypt on close, before evidence leaves the device"?</w:t>
      </w:r>
    </w:p>
    <w:p>
      <w:r>
        <w:rPr>
          <w:b/>
        </w:rPr>
        <w:t xml:space="preserve">3. EVD-007, plaintext retention. </w:t>
      </w:r>
      <w:r>
        <w:t>Deleting the plaintext MP4 after encryption is implemented but disabled, pending your policy. Should the plaintext be deleted immediately after encryption, only after a verified upload, or retained for a fixed window?</w:t>
      </w:r>
    </w:p>
    <w:p>
      <w:r>
        <w:rPr>
          <w:b/>
        </w:rPr>
        <w:t xml:space="preserve">4. EVD-004, digital signature. </w:t>
      </w:r>
      <w:r>
        <w:t>Not started. Hashing proves integrity, not authorship. Non-repudiation requires signing with a device key backed by PKI, which depends on the same decisions as IDN-001 and IDN-002. Is EVD-004 in scope for this stage, or does it follow device provisioning?</w:t>
      </w:r>
    </w:p>
    <w:p>
      <w:r>
        <w:rPr>
          <w:b/>
        </w:rPr>
        <w:t xml:space="preserve">5. Format of record. </w:t>
      </w:r>
      <w:r>
        <w:t>We implemented FEVD v1. Your aes-256Sha256.py was used as the parameter reference, but not as the file structure, for the reason given in section 5. Please confirm FEVD v1 is the format of record and that your script is not expected to be the decryption path. We provide falcon_evidence_decrypt.py as the server-side reference implementation.</w:t>
      </w:r>
    </w:p>
    <w:p>
      <w:r>
        <w:rPr>
          <w:b/>
        </w:rPr>
        <w:t xml:space="preserve">6. Security Feature List status. </w:t>
      </w:r>
      <w:r>
        <w:t>Should we fill in the Status column with the measured states? All 35 rows still read "Planned".</w:t>
      </w:r>
    </w:p>
    <w:p>
      <w:pPr>
        <w:pStyle w:val="Heading1"/>
      </w:pPr>
      <w:r>
        <w:t>8. What we need from the backend lead</w:t>
      </w:r>
    </w:p>
    <w:p>
      <w:r>
        <w:rPr>
          <w:b/>
        </w:rPr>
        <w:t xml:space="preserve">1. Provide the evidence encryption public key. BLOCKING. </w:t>
      </w:r>
      <w:r>
        <w:t>Generate an RSA key pair on the Nexus side; 2048-bit is sufficient, as we wrap a 32-byte key. Send us the public key only, in SPKI format (DER or PEM), plus a key identifier (kid). The private key stays in your infrastructure. Once we have it, enabling server-side decryption is a constant change on our side: the file format does not change and files already produced remain valid.</w:t>
      </w:r>
    </w:p>
    <w:p>
      <w:r>
        <w:rPr>
          <w:b/>
        </w:rPr>
        <w:t xml:space="preserve">2. Implement decryption using the reference implementation. </w:t>
      </w:r>
      <w:r>
        <w:t>tools/falcon_evidence_decrypt.py decrypts and verifies any .fev produced by either app. Unwrap the DEK from the "srv:&lt;kid&gt;" header entry using RSA-OAEP with SHA-256 for both the digest and MGF1. This must match exactly or decryption fails without a clear error.</w:t>
      </w:r>
    </w:p>
    <w:p>
      <w:r>
        <w:rPr>
          <w:b/>
        </w:rPr>
        <w:t xml:space="preserve">3. Accept .fev uploads. </w:t>
      </w:r>
      <w:r>
        <w:t>Until the key exists we are deliberately still uploading the plaintext MP4, because an encrypted file would be unreadable to you. Once the key is in place we switch the upload to the encrypted file. Please confirm the endpoint, content type and any size limits.</w:t>
      </w:r>
    </w:p>
    <w:p>
      <w:r>
        <w:rPr>
          <w:b/>
        </w:rPr>
        <w:t xml:space="preserve">4. Hash verification (EVD-005 / EVD-008). </w:t>
      </w:r>
      <w:r>
        <w:t>Each incident manifest carries sha256_plain, of the original video and the chain-of-custody hash, and sha256_cipher, of the encrypted file as it left the device. Verify sha256_cipher on arrival, before decrypting, which needs no key; and sha256_plain after decryption. Please confirm you will store both and expose the verification result (EVD-006).</w:t>
      </w:r>
    </w:p>
    <w:p>
      <w:r>
        <w:rPr>
          <w:b/>
        </w:rPr>
        <w:t xml:space="preserve">5. Upload authentication. </w:t>
      </w:r>
      <w:r>
        <w:t>The upload endpoint currently has no authentication at all. This is a separate finding from encryption, but it undermines it: encrypted evidence uploaded over an unauthenticated channel still allows anyone to inject or flood evidence. Recommended: device identity with a key generated in Android Keystore, registered at enrolment, signing each upload. Please confirm the intended authentication mechanism.</w:t>
      </w:r>
    </w:p>
    <w:p>
      <w:r>
        <w:rPr>
          <w:b/>
        </w:rPr>
        <w:t xml:space="preserve">6. Resumable uploads. </w:t>
      </w:r>
      <w:r>
        <w:t>Evidence files run to hundreds of megabytes over mobile links. Do you support chunked or resumable upload, for example tus, or should we implement retry against the current endpoint?</w:t>
      </w:r>
    </w:p>
    <w:p>
      <w:r>
        <w:rPr>
          <w:b/>
        </w:rPr>
        <w:t xml:space="preserve">Note on item 1. </w:t>
      </w:r>
      <w:r>
        <w:t>The same request appears in both sections deliberately: the security lead decides the custody policy, the backend lead performs the key generation. If only one of them is asked, the key pair risks being generated ad hoc outside a managed key store, which is precisely what this is meant to avoid.</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