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Trabajo histórico — Encuentro 2018 (documento de práctica)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Título:</w:t>
      </w:r>
      <w:r>
        <w:rPr>
          <w:rFonts w:ascii="Helvetica" w:hAnsi="Helvetica" w:cs="Helvetica"/>
          <w:sz w:val="24"/>
          <w:sz-cs w:val="24"/>
          <w:spacing w:val="0"/>
        </w:rPr>
        <w:t xml:space="preserve"> Implementación del programa 5S en una planta metalúrgica de Villa Constitución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Autores:</w:t>
      </w:r>
      <w:r>
        <w:rPr>
          <w:rFonts w:ascii="Helvetica" w:hAnsi="Helvetica" w:cs="Helvetica"/>
          <w:sz w:val="24"/>
          <w:sz-cs w:val="24"/>
          <w:spacing w:val="0"/>
        </w:rPr>
        <w:t xml:space="preserve"> J. Domínguez, R. Salas — Metalúrgica del Paraná S.A.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Presentado en:</w:t>
      </w:r>
      <w:r>
        <w:rPr>
          <w:rFonts w:ascii="Helvetica" w:hAnsi="Helvetica" w:cs="Helvetica"/>
          <w:sz w:val="24"/>
          <w:sz-cs w:val="24"/>
          <w:spacing w:val="0"/>
        </w:rPr>
        <w:t xml:space="preserve"> XXII Encuentro Nacional de Mejora Continua, 2018.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Resumen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Se describe la implementación del programa 5S en la planta de laminación durante 18 meses. El proyecto abarcó 12 sectores productivos y 180 operarios.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Desarrollo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La primera etapa (Seiri, clasificación) permitió retirar 14 toneladas de materiales en desuso. En la etapa de orden (Seiton) se demarcaron 320 posiciones de herramientas y se redujo el tiempo de búsqueda de herramental de 11 a 3 minutos promedio. La limpieza estandarizada (Seiso y Seiketsu) se sostuvo con auditorías quincenales cruzadas entre sectores, con un puntaje promedio que pasó de 42/100 al inicio a 87/100 al mes 18.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Resultados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Reducción del 23% en accidentes leves respecto del año anterior.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Ahorro estimado de USD 35.000 anuales por recuperación de espacio y herramental.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El 92% de los operarios encuestados valoró positivamente el programa.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Conclusión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El factor crítico de éxito fue el compromiso de la supervisión de primera línea y la auditoría cruzada entre sectores, que generó sana competencia interna.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Documento ficticio generado para práctica de indexación. No corresponde a un trabajo real.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