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Trabajo histórico — Encuentro 2021 (documento de práctica)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Título:</w:t>
      </w:r>
      <w:r>
        <w:rPr>
          <w:rFonts w:ascii="Helvetica" w:hAnsi="Helvetica" w:cs="Helvetica"/>
          <w:sz w:val="24"/>
          <w:sz-cs w:val="24"/>
          <w:spacing w:val="0"/>
        </w:rPr>
        <w:t xml:space="preserve"> Reducción de tiempos de cambio de formato (SMED) en una línea de envasado de alimentos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Autora:</w:t>
      </w:r>
      <w:r>
        <w:rPr>
          <w:rFonts w:ascii="Helvetica" w:hAnsi="Helvetica" w:cs="Helvetica"/>
          <w:sz w:val="24"/>
          <w:sz-cs w:val="24"/>
          <w:spacing w:val="0"/>
        </w:rPr>
        <w:t xml:space="preserve"> M. Benítez — Alimentos del Litoral S.R.L.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Presentado en:</w:t>
      </w:r>
      <w:r>
        <w:rPr>
          <w:rFonts w:ascii="Helvetica" w:hAnsi="Helvetica" w:cs="Helvetica"/>
          <w:sz w:val="24"/>
          <w:sz-cs w:val="24"/>
          <w:spacing w:val="0"/>
        </w:rPr>
        <w:t xml:space="preserve"> XXV Encuentro Nacional de Mejora Continua, 2021 (edición virtual).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Resumen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Aplicación de la metodología SMED (Single Minute Exchange of Die) en la línea de envasado N° 3 de una planta de alimentos secos en Paraná, Entre Ríos.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Desarrollo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El equipo filmó y analizó 8 cambios de formato completos. Se clasificaron 46 tareas: 19 resultaron externalizables (podían hacerse con la línea en marcha). Se fabricaron carros preparadores de cambio y se estandarizó la secuencia con instructivos visuales de un solo punto (OPL).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Resultados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El tiempo de cambio de formato se redujo de 94 minutos a 31 minutos (67% de mejora).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Se ganaron 2,1 horas productivas por día en promedio.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La inversión total fue de $ 180.000 (2021) con repago en menos de 4 meses.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Conclusión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La filmación de los cambios fue la herramienta más poderosa: los propios operarios identificaron la mayoría de los desperdicios al verse en video. El proyecto se replicó luego en las líneas 1 y 2.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Documento ficticio generado para práctica de indexación. No corresponde a un trabajo real.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