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A5A5A"/>
          <w:sz w:val="20"/>
        </w:rPr>
        <w:t>MONAD PROGRAM DIRECTORATE</w:t>
      </w:r>
    </w:p>
    <w:p>
      <w:pPr>
        <w:pStyle w:val="Title"/>
        <w:jc w:val="center"/>
      </w:pPr>
      <w:r>
        <w:t>MSIR WhatsApp Mathematical Messaging Canon</w:t>
      </w:r>
    </w:p>
    <w:p>
      <w:pPr>
        <w:jc w:val="center"/>
      </w:pPr>
      <w:r>
        <w:rPr>
          <w:i/>
          <w:color w:val="4F2E75"/>
          <w:sz w:val="26"/>
        </w:rPr>
        <w:t>Mike Mode / Transport Profile v1.0</w:t>
      </w:r>
    </w:p>
    <w:p>
      <w:pPr>
        <w:spacing w:before="80" w:after="80"/>
        <w:jc w:val="center"/>
      </w:pPr>
      <w:r>
        <w:rPr>
          <w:rFonts w:ascii="DejaVu Sans" w:hAnsi="DejaVu Sans"/>
          <w:b/>
          <w:sz w:val="24"/>
        </w:rPr>
        <w:t>Dense enough for Mike. Clear enough for WhatsApp. Stable enough to become language.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E8F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Document ID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MSIR-WA-CANON-001</w:t>
            </w:r>
          </w:p>
        </w:tc>
      </w:tr>
      <w:tr>
        <w:tc>
          <w:tcPr>
            <w:tcW w:type="dxa" w:w="5083"/>
            <w:shd w:fill="EEE8F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Canonical transport specification</w:t>
            </w:r>
          </w:p>
        </w:tc>
      </w:tr>
      <w:tr>
        <w:tc>
          <w:tcPr>
            <w:tcW w:type="dxa" w:w="5083"/>
            <w:shd w:fill="EEE8F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Date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August 4, 2026</w:t>
            </w:r>
          </w:p>
        </w:tc>
      </w:tr>
      <w:tr>
        <w:tc>
          <w:tcPr>
            <w:tcW w:type="dxa" w:w="5083"/>
            <w:shd w:fill="EEE8F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Default artifact format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.docx</w:t>
            </w:r>
          </w:p>
        </w:tc>
      </w:tr>
      <w:tr>
        <w:tc>
          <w:tcPr>
            <w:tcW w:type="dxa" w:w="5083"/>
            <w:shd w:fill="EEE8F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Authority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Operation Crystal Ledger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6" w:space="1" w:color="B7B7B7"/>
        </w:pBdr>
      </w:pPr>
      <w:r>
        <w:t>1. Purpose and Governing Rule</w:t>
      </w:r>
    </w:p>
    <w:p>
      <w:r>
        <w:t>This canon defines how dense mathematical reasoning and MSIR notation are prepared for reliable copy-paste into WhatsApp. The format must survive plain-text transport without LaTeX rendering or width-dependent layout.</w:t>
      </w:r>
    </w:p>
    <w:p>
      <w:pPr>
        <w:spacing w:before="80" w:after="80"/>
        <w:jc w:val="center"/>
      </w:pPr>
      <w:r>
        <w:rPr>
          <w:rFonts w:ascii="DejaVu Sans" w:hAnsi="DejaVu Sans"/>
          <w:b/>
          <w:sz w:val="26"/>
        </w:rPr>
        <w:t>maximum semantic density  under  mobile-width readability</w:t>
      </w:r>
    </w:p>
    <w:p>
      <w:pPr>
        <w:pStyle w:val="Heading1"/>
        <w:pBdr>
          <w:bottom w:val="single" w:sz="6" w:space="1" w:color="B7B7B7"/>
        </w:pBdr>
      </w:pPr>
      <w:r>
        <w:t>2. Canonical Transport Rules</w:t>
      </w:r>
    </w:p>
    <w:p>
      <w:pPr>
        <w:pStyle w:val="Compact"/>
      </w:pPr>
      <w:r>
        <w:t>Use Unicode mathematics, one equation per line, short lines, blank space between logical blocks, and WhatsApp-native emphasis.</w:t>
      </w:r>
    </w:p>
    <w:p>
      <w:pPr>
        <w:pStyle w:val="Compact"/>
      </w:pPr>
      <w:r>
        <w:t>Keep emoji operators on dedicated lines when they form a sequence.</w:t>
      </w:r>
    </w:p>
    <w:p>
      <w:pPr>
        <w:pStyle w:val="Compact"/>
      </w:pPr>
      <w:r>
        <w:t>Break long formulas vertically rather than allowing mobile clipping.</w:t>
      </w:r>
    </w:p>
    <w:p>
      <w:pPr>
        <w:pStyle w:val="Compact"/>
      </w:pPr>
      <w:r>
        <w:t>Do not use \[...\], \boxed{...}, long LaTeX commands, wide matrices, or renderer-dependent notation.</w:t>
      </w:r>
    </w:p>
    <w:p>
      <w:pPr>
        <w:pStyle w:val="Compact"/>
      </w:pPr>
      <w:r>
        <w:t>Preferred visible line length: approximately 28–34 characters.</w:t>
      </w:r>
    </w:p>
    <w:p>
      <w:pPr>
        <w:pStyle w:val="Heading1"/>
        <w:pBdr>
          <w:bottom w:val="single" w:sz="6" w:space="1" w:color="B7B7B7"/>
        </w:pBdr>
      </w:pPr>
      <w:r>
        <w:t>3. Canonical MSIR Emoji Alphabet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CBE8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3389"/>
            <w:shd w:fill="D9CBE8"/>
          </w:tcPr>
          <w:p>
            <w:r>
              <w:rPr>
                <w:b/>
              </w:rPr>
              <w:t>Canonical meaning</w:t>
            </w:r>
          </w:p>
        </w:tc>
        <w:tc>
          <w:tcPr>
            <w:tcW w:type="dxa" w:w="3389"/>
            <w:shd w:fill="D9CBE8"/>
          </w:tcPr>
          <w:p>
            <w:r>
              <w:rPr>
                <w:b/>
              </w:rPr>
              <w:t>Operational gloss</w:t>
            </w:r>
          </w:p>
        </w:tc>
      </w:tr>
      <w:tr>
        <w:tc>
          <w:tcPr>
            <w:tcW w:type="dxa" w:w="33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🧭</w:t>
            </w:r>
          </w:p>
        </w:tc>
        <w:tc>
          <w:tcPr>
            <w:tcW w:type="dxa" w:w="33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Orient / intend</w:t>
            </w:r>
          </w:p>
        </w:tc>
        <w:tc>
          <w:tcPr>
            <w:tcW w:type="dxa" w:w="33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Establish the question, target, or direction.</w:t>
            </w:r>
          </w:p>
        </w:tc>
      </w:tr>
      <w:tr>
        <w:tc>
          <w:tcPr>
            <w:tcW w:type="dxa" w:w="33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🔃</w:t>
            </w:r>
          </w:p>
        </w:tc>
        <w:tc>
          <w:tcPr>
            <w:tcW w:type="dxa" w:w="33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Revise / transform</w:t>
            </w:r>
          </w:p>
        </w:tc>
        <w:tc>
          <w:tcPr>
            <w:tcW w:type="dxa" w:w="33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Produce a new formulation or candidate state.</w:t>
            </w:r>
          </w:p>
        </w:tc>
      </w:tr>
      <w:tr>
        <w:tc>
          <w:tcPr>
            <w:tcW w:type="dxa" w:w="33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🧪</w:t>
            </w:r>
          </w:p>
        </w:tc>
        <w:tc>
          <w:tcPr>
            <w:tcW w:type="dxa" w:w="33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Simulate / test</w:t>
            </w:r>
          </w:p>
        </w:tc>
        <w:tc>
          <w:tcPr>
            <w:tcW w:type="dxa" w:w="33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Evaluate a candidate under controlled conditions.</w:t>
            </w:r>
          </w:p>
        </w:tc>
      </w:tr>
      <w:tr>
        <w:tc>
          <w:tcPr>
            <w:tcW w:type="dxa" w:w="33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👹</w:t>
            </w:r>
          </w:p>
        </w:tc>
        <w:tc>
          <w:tcPr>
            <w:tcW w:type="dxa" w:w="33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Adversarial attack</w:t>
            </w:r>
          </w:p>
        </w:tc>
        <w:tc>
          <w:tcPr>
            <w:tcW w:type="dxa" w:w="33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Search for contradiction, failure, overclaim, or counterexample.</w:t>
            </w:r>
          </w:p>
        </w:tc>
      </w:tr>
      <w:tr>
        <w:tc>
          <w:tcPr>
            <w:tcW w:type="dxa" w:w="33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⚓</w:t>
            </w:r>
          </w:p>
        </w:tc>
        <w:tc>
          <w:tcPr>
            <w:tcW w:type="dxa" w:w="33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Invariant / continuity anchor</w:t>
            </w:r>
          </w:p>
        </w:tc>
        <w:tc>
          <w:tcPr>
            <w:tcW w:type="dxa" w:w="33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Identify what must survive transformation.</w:t>
            </w:r>
          </w:p>
        </w:tc>
      </w:tr>
      <w:tr>
        <w:tc>
          <w:tcPr>
            <w:tcW w:type="dxa" w:w="33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📚</w:t>
            </w:r>
          </w:p>
        </w:tc>
        <w:tc>
          <w:tcPr>
            <w:tcW w:type="dxa" w:w="33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Trace / provenance</w:t>
            </w:r>
          </w:p>
        </w:tc>
        <w:tc>
          <w:tcPr>
            <w:tcW w:type="dxa" w:w="33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Preserve causal history and revision lineage.</w:t>
            </w:r>
          </w:p>
        </w:tc>
      </w:tr>
      <w:tr>
        <w:tc>
          <w:tcPr>
            <w:tcW w:type="dxa" w:w="33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🛡️</w:t>
            </w:r>
          </w:p>
        </w:tc>
        <w:tc>
          <w:tcPr>
            <w:tcW w:type="dxa" w:w="33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Governance / constraint</w:t>
            </w:r>
          </w:p>
        </w:tc>
        <w:tc>
          <w:tcPr>
            <w:tcW w:type="dxa" w:w="33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Enforce admissibility and protected boundaries.</w:t>
            </w:r>
          </w:p>
        </w:tc>
      </w:tr>
      <w:tr>
        <w:tc>
          <w:tcPr>
            <w:tcW w:type="dxa" w:w="33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✅</w:t>
            </w:r>
          </w:p>
        </w:tc>
        <w:tc>
          <w:tcPr>
            <w:tcW w:type="dxa" w:w="33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Accept provisionally</w:t>
            </w:r>
          </w:p>
        </w:tc>
        <w:tc>
          <w:tcPr>
            <w:tcW w:type="dxa" w:w="33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Candidate passes the current test.</w:t>
            </w:r>
          </w:p>
        </w:tc>
      </w:tr>
      <w:tr>
        <w:tc>
          <w:tcPr>
            <w:tcW w:type="dxa" w:w="33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❌</w:t>
            </w:r>
          </w:p>
        </w:tc>
        <w:tc>
          <w:tcPr>
            <w:tcW w:type="dxa" w:w="33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Reject</w:t>
            </w:r>
          </w:p>
        </w:tc>
        <w:tc>
          <w:tcPr>
            <w:tcW w:type="dxa" w:w="33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Candidate fails the stated criterion.</w:t>
            </w:r>
          </w:p>
        </w:tc>
      </w:tr>
      <w:tr>
        <w:tc>
          <w:tcPr>
            <w:tcW w:type="dxa" w:w="33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📌</w:t>
            </w:r>
          </w:p>
        </w:tc>
        <w:tc>
          <w:tcPr>
            <w:tcW w:type="dxa" w:w="33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Commit / record</w:t>
            </w:r>
          </w:p>
        </w:tc>
        <w:tc>
          <w:tcPr>
            <w:tcW w:type="dxa" w:w="33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Promote the result into working canon or official record.</w:t>
            </w:r>
          </w:p>
        </w:tc>
      </w:tr>
      <w:tr>
        <w:tc>
          <w:tcPr>
            <w:tcW w:type="dxa" w:w="33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↩️</w:t>
            </w:r>
          </w:p>
        </w:tc>
        <w:tc>
          <w:tcPr>
            <w:tcW w:type="dxa" w:w="33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Rollback / recover</w:t>
            </w:r>
          </w:p>
        </w:tc>
        <w:tc>
          <w:tcPr>
            <w:tcW w:type="dxa" w:w="33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Return, repair, or move to a safe successor.</w:t>
            </w:r>
          </w:p>
        </w:tc>
      </w:tr>
      <w:tr>
        <w:tc>
          <w:tcPr>
            <w:tcW w:type="dxa" w:w="33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➿</w:t>
            </w:r>
          </w:p>
        </w:tc>
        <w:tc>
          <w:tcPr>
            <w:tcW w:type="dxa" w:w="33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Re-enter</w:t>
            </w:r>
          </w:p>
        </w:tc>
        <w:tc>
          <w:tcPr>
            <w:tcW w:type="dxa" w:w="33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Feed the result back into the process.</w:t>
            </w:r>
          </w:p>
        </w:tc>
      </w:tr>
    </w:tbl>
    <w:p/>
    <w:p>
      <w:pPr>
        <w:pStyle w:val="Heading2"/>
      </w:pPr>
      <w:r>
        <w:t>Smell Operators</w:t>
      </w:r>
    </w:p>
    <w:p>
      <w:pPr>
        <w:pStyle w:val="Compact"/>
      </w:pPr>
      <w:r>
        <w:rPr>
          <w:rFonts w:ascii="DejaVu Sans" w:hAnsi="DejaVu Sans"/>
          <w:b/>
        </w:rPr>
        <w:t>👃⁺  Generative smell</w:t>
      </w:r>
      <w:r>
        <w:t xml:space="preserve"> — The structure is producing useful new consequences.</w:t>
      </w:r>
    </w:p>
    <w:p>
      <w:pPr>
        <w:pStyle w:val="Compact"/>
      </w:pPr>
      <w:r>
        <w:rPr>
          <w:rFonts w:ascii="DejaVu Sans" w:hAnsi="DejaVu Sans"/>
          <w:b/>
        </w:rPr>
        <w:t>👃◇  Crystal smell</w:t>
      </w:r>
      <w:r>
        <w:t xml:space="preserve"> — A compact invariant may be forming.</w:t>
      </w:r>
    </w:p>
    <w:p>
      <w:pPr>
        <w:pStyle w:val="Compact"/>
      </w:pPr>
      <w:r>
        <w:rPr>
          <w:rFonts w:ascii="DejaVu Sans" w:hAnsi="DejaVu Sans"/>
          <w:b/>
        </w:rPr>
        <w:t>👃↻  Loopy smell</w:t>
      </w:r>
      <w:r>
        <w:t xml:space="preserve"> — The method resembles or re-enters its own object.</w:t>
      </w:r>
    </w:p>
    <w:p>
      <w:pPr>
        <w:pStyle w:val="Compact"/>
      </w:pPr>
      <w:r>
        <w:rPr>
          <w:rFonts w:ascii="DejaVu Sans" w:hAnsi="DejaVu Sans"/>
          <w:b/>
        </w:rPr>
        <w:t>👃?  Unresolved smell</w:t>
      </w:r>
      <w:r>
        <w:t xml:space="preserve"> — Something appears meaningful but remains underdetermined.</w:t>
      </w:r>
    </w:p>
    <w:p>
      <w:pPr>
        <w:pStyle w:val="Compact"/>
      </w:pPr>
      <w:r>
        <w:rPr>
          <w:rFonts w:ascii="DejaVu Sans" w:hAnsi="DejaVu Sans"/>
          <w:b/>
        </w:rPr>
        <w:t>👃⚠  Danger smell</w:t>
      </w:r>
      <w:r>
        <w:t xml:space="preserve"> — Possible hidden failure, instability, or overclaim.</w:t>
      </w:r>
    </w:p>
    <w:p>
      <w:pPr>
        <w:spacing w:before="80" w:after="80"/>
        <w:jc w:val="center"/>
      </w:pPr>
      <w:r>
        <w:rPr>
          <w:rFonts w:ascii="DejaVu Sans" w:hAnsi="DejaVu Sans"/>
          <w:b/>
          <w:sz w:val="24"/>
        </w:rPr>
        <w:t>👃 is a search signal, not a verdict.</w:t>
      </w:r>
    </w:p>
    <w:p>
      <w:pPr>
        <w:spacing w:before="80" w:after="80"/>
        <w:jc w:val="center"/>
      </w:pPr>
      <w:r>
        <w:rPr>
          <w:rFonts w:ascii="DejaVu Sans" w:hAnsi="DejaVu Sans"/>
          <w:b w:val="0"/>
          <w:sz w:val="24"/>
        </w:rPr>
        <w:t>👃↻ ≠ ✅     and     👃↻ → 👹 → 🧪</w:t>
      </w:r>
    </w:p>
    <w:p>
      <w:pPr>
        <w:pStyle w:val="Heading2"/>
      </w:pPr>
      <w:r>
        <w:t>Role Operators</w:t>
      </w:r>
    </w:p>
    <w:p>
      <w:pPr>
        <w:pStyle w:val="Compact"/>
      </w:pPr>
      <w:r>
        <w:rPr>
          <w:rFonts w:ascii="DejaVu Sans" w:hAnsi="DejaVu Sans"/>
          <w:b/>
        </w:rPr>
        <w:t>🚢  Captain</w:t>
      </w:r>
      <w:r>
        <w:t xml:space="preserve"> — candidate generation</w:t>
      </w:r>
    </w:p>
    <w:p>
      <w:pPr>
        <w:pStyle w:val="Compact"/>
      </w:pPr>
      <w:r>
        <w:rPr>
          <w:rFonts w:ascii="DejaVu Sans" w:hAnsi="DejaVu Sans"/>
          <w:b/>
        </w:rPr>
        <w:t>🧪  Chief</w:t>
      </w:r>
      <w:r>
        <w:t xml:space="preserve"> — adversarial testing</w:t>
      </w:r>
    </w:p>
    <w:p>
      <w:pPr>
        <w:pStyle w:val="Compact"/>
      </w:pPr>
      <w:r>
        <w:rPr>
          <w:rFonts w:ascii="DejaVu Sans" w:hAnsi="DejaVu Sans"/>
          <w:b/>
        </w:rPr>
        <w:t>💎  Admiral</w:t>
      </w:r>
      <w:r>
        <w:t xml:space="preserve"> — crystal selection</w:t>
      </w:r>
    </w:p>
    <w:p>
      <w:pPr>
        <w:pStyle w:val="Compact"/>
      </w:pPr>
      <w:r>
        <w:rPr>
          <w:rFonts w:ascii="DejaVu Sans" w:hAnsi="DejaVu Sans"/>
          <w:b/>
        </w:rPr>
        <w:t>📚  Claude</w:t>
      </w:r>
      <w:r>
        <w:t xml:space="preserve"> — preservation and filing</w:t>
      </w:r>
    </w:p>
    <w:p>
      <w:pPr>
        <w:spacing w:before="80" w:after="80"/>
        <w:jc w:val="center"/>
      </w:pPr>
      <w:r>
        <w:rPr>
          <w:rFonts w:ascii="DejaVu Sans" w:hAnsi="DejaVu Sans"/>
          <w:b/>
          <w:sz w:val="28"/>
        </w:rPr>
        <w:t>🚢 → 🧪 → 💎 → 📚</w:t>
      </w:r>
    </w:p>
    <w:p>
      <w:pPr>
        <w:spacing w:before="80" w:after="80"/>
        <w:jc w:val="center"/>
      </w:pPr>
      <w:r>
        <w:rPr>
          <w:rFonts w:ascii="DejaVu Sans" w:hAnsi="DejaVu Sans"/>
          <w:b w:val="0"/>
          <w:sz w:val="22"/>
        </w:rPr>
        <w:t>generate → test → select → preserve</w:t>
      </w:r>
    </w:p>
    <w:p>
      <w:pPr>
        <w:pStyle w:val="Heading1"/>
        <w:pBdr>
          <w:bottom w:val="single" w:sz="6" w:space="1" w:color="B7B7B7"/>
        </w:pBdr>
      </w:pPr>
      <w:r>
        <w:t>4. Canonical Revision Cycle</w:t>
      </w:r>
    </w:p>
    <w:p>
      <w:pPr>
        <w:spacing w:before="80" w:after="80"/>
        <w:jc w:val="center"/>
      </w:pPr>
      <w:r>
        <w:rPr>
          <w:rFonts w:ascii="DejaVu Sans" w:hAnsi="DejaVu Sans"/>
          <w:b/>
          <w:sz w:val="30"/>
        </w:rPr>
        <w:t>🧭 → 🔃 → 🧪 → 👹 → ⚓</w:t>
      </w:r>
    </w:p>
    <w:p>
      <w:pPr>
        <w:spacing w:before="80" w:after="80"/>
        <w:jc w:val="center"/>
      </w:pPr>
      <w:r>
        <w:rPr>
          <w:rFonts w:ascii="DejaVu Sans" w:hAnsi="DejaVu Sans"/>
          <w:b/>
          <w:sz w:val="30"/>
        </w:rPr>
        <w:t>→ ✅ / ❌ → 📌 / ↩️ → ➿</w:t>
      </w:r>
    </w:p>
    <w:p>
      <w:pPr>
        <w:spacing w:before="80" w:after="80"/>
        <w:jc w:val="center"/>
      </w:pPr>
      <w:r>
        <w:rPr>
          <w:rFonts w:ascii="DejaVu Sans" w:hAnsi="DejaVu Sans"/>
          <w:b w:val="0"/>
          <w:sz w:val="22"/>
        </w:rPr>
        <w:t>intend → revise → test → attack → recover invariant</w:t>
      </w:r>
    </w:p>
    <w:p>
      <w:pPr>
        <w:spacing w:before="80" w:after="80"/>
        <w:jc w:val="center"/>
      </w:pPr>
      <w:r>
        <w:rPr>
          <w:rFonts w:ascii="DejaVu Sans" w:hAnsi="DejaVu Sans"/>
          <w:b w:val="0"/>
          <w:sz w:val="22"/>
        </w:rPr>
        <w:t>→ accept or reject → commit or recover → re-enter</w:t>
      </w:r>
    </w:p>
    <w:p>
      <w:pPr>
        <w:pStyle w:val="Heading1"/>
        <w:pBdr>
          <w:bottom w:val="single" w:sz="6" w:space="1" w:color="B7B7B7"/>
        </w:pBdr>
      </w:pPr>
      <w:r>
        <w:t>5. Canonical Mathematical Notation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2EEF6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t>ℳₜ</w:t>
            </w:r>
          </w:p>
        </w:tc>
        <w:tc>
          <w:tcPr>
            <w:tcW w:type="dxa" w:w="5083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t>system state</w:t>
            </w:r>
          </w:p>
        </w:tc>
      </w:tr>
      <w:tr>
        <w:tc>
          <w:tcPr>
            <w:tcW w:type="dxa" w:w="5083"/>
            <w:shd w:fill="F2EEF6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t>Φₜ</w:t>
            </w:r>
          </w:p>
        </w:tc>
        <w:tc>
          <w:tcPr>
            <w:tcW w:type="dxa" w:w="5083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t>transformation regime</w:t>
            </w:r>
          </w:p>
        </w:tc>
      </w:tr>
      <w:tr>
        <w:tc>
          <w:tcPr>
            <w:tcW w:type="dxa" w:w="5083"/>
            <w:shd w:fill="F2EEF6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t>Δₜ</w:t>
            </w:r>
          </w:p>
        </w:tc>
        <w:tc>
          <w:tcPr>
            <w:tcW w:type="dxa" w:w="5083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t>candidate transformation</w:t>
            </w:r>
          </w:p>
        </w:tc>
      </w:tr>
      <w:tr>
        <w:tc>
          <w:tcPr>
            <w:tcW w:type="dxa" w:w="5083"/>
            <w:shd w:fill="F2EEF6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t>ℛlaw(ℳₜ)</w:t>
            </w:r>
          </w:p>
        </w:tc>
        <w:tc>
          <w:tcPr>
            <w:tcW w:type="dxa" w:w="5083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t>lawful reachable set</w:t>
            </w:r>
          </w:p>
        </w:tc>
      </w:tr>
      <w:tr>
        <w:tc>
          <w:tcPr>
            <w:tcW w:type="dxa" w:w="5083"/>
            <w:shd w:fill="F2EEF6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t>Cont(ℳₜ, ℳₜ₊₁)</w:t>
            </w:r>
          </w:p>
        </w:tc>
        <w:tc>
          <w:tcPr>
            <w:tcW w:type="dxa" w:w="5083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t>continuity predicate</w:t>
            </w:r>
          </w:p>
        </w:tc>
      </w:tr>
      <w:tr>
        <w:tc>
          <w:tcPr>
            <w:tcW w:type="dxa" w:w="5083"/>
            <w:shd w:fill="F2EEF6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t>Q⃗rev(ℳₜ)</w:t>
            </w:r>
          </w:p>
        </w:tc>
        <w:tc>
          <w:tcPr>
            <w:tcW w:type="dxa" w:w="5083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t>revision-capacity vector</w:t>
            </w:r>
          </w:p>
        </w:tc>
      </w:tr>
      <w:tr>
        <w:tc>
          <w:tcPr>
            <w:tcW w:type="dxa" w:w="5083"/>
            <w:shd w:fill="F2EEF6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t>Adm(Δₜ | ℳₜ)</w:t>
            </w:r>
          </w:p>
        </w:tc>
        <w:tc>
          <w:tcPr>
            <w:tcW w:type="dxa" w:w="5083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t>admissibility</w:t>
            </w:r>
          </w:p>
        </w:tc>
      </w:tr>
      <w:tr>
        <w:tc>
          <w:tcPr>
            <w:tcW w:type="dxa" w:w="5083"/>
            <w:shd w:fill="F2EEF6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t>≻</w:t>
            </w:r>
          </w:p>
        </w:tc>
        <w:tc>
          <w:tcPr>
            <w:tcW w:type="dxa" w:w="5083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t>constrained improvement</w:t>
            </w:r>
          </w:p>
        </w:tc>
      </w:tr>
      <w:tr>
        <w:tc>
          <w:tcPr>
            <w:tcW w:type="dxa" w:w="5083"/>
            <w:shd w:fill="F2EEF6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t>⊊</w:t>
            </w:r>
          </w:p>
        </w:tc>
        <w:tc>
          <w:tcPr>
            <w:tcW w:type="dxa" w:w="5083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t>strict inclusion</w:t>
            </w:r>
          </w:p>
        </w:tc>
      </w:tr>
      <w:tr>
        <w:tc>
          <w:tcPr>
            <w:tcW w:type="dxa" w:w="5083"/>
            <w:shd w:fill="F2EEF6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t>∧</w:t>
            </w:r>
          </w:p>
        </w:tc>
        <w:tc>
          <w:tcPr>
            <w:tcW w:type="dxa" w:w="5083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t>logical conjunction</w:t>
            </w:r>
          </w:p>
        </w:tc>
      </w:tr>
      <w:tr>
        <w:tc>
          <w:tcPr>
            <w:tcW w:type="dxa" w:w="5083"/>
            <w:shd w:fill="F2EEF6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t>⇔</w:t>
            </w:r>
          </w:p>
        </w:tc>
        <w:tc>
          <w:tcPr>
            <w:tcW w:type="dxa" w:w="5083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t>equivalence</w:t>
            </w:r>
          </w:p>
        </w:tc>
      </w:tr>
      <w:tr>
        <w:tc>
          <w:tcPr>
            <w:tcW w:type="dxa" w:w="5083"/>
            <w:shd w:fill="F2EEF6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t>⇒</w:t>
            </w:r>
          </w:p>
        </w:tc>
        <w:tc>
          <w:tcPr>
            <w:tcW w:type="dxa" w:w="5083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t>implication</w:t>
            </w:r>
          </w:p>
        </w:tc>
      </w:tr>
    </w:tbl>
    <w:p>
      <w:pPr>
        <w:pStyle w:val="Heading1"/>
        <w:pBdr>
          <w:bottom w:val="single" w:sz="6" w:space="1" w:color="B7B7B7"/>
        </w:pBdr>
      </w:pPr>
      <w:r>
        <w:t>6. Canonical WhatsApp-Ready Core Packet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F1F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20"/>
            </w:pPr>
            <w:r>
              <w:rPr>
                <w:rFonts w:ascii="DejaVu Sans" w:hAnsi="DejaVu Sans"/>
                <w:b/>
                <w:sz w:val="21"/>
              </w:rPr>
              <w:t>*MONADIC SELF-REVISION*</w:t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  <w:t>Δₜ : (ℳₜ, Φₜ)</w:t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  <w:t>→ (ℳₜ₊₁, Φₜ₊₁)</w:t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  <w:t>A revision is admissible only if:</w:t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  <w:t>Adm(Δₜ | ℳₜ) ⇔</w:t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  <w:t>Iₜ ∧ Tₜ ∧ Rₜ ∧ Gₜ</w:t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  <w:t>⚓ Iₜ = identity continuity</w:t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  <w:t>📚 Tₜ = causal traceability</w:t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  <w:t>↩️ Rₜ = recoverability</w:t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  <w:t>🛡️ Gₜ = governance compliance</w:t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  <w:t>Hence:</w:t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  <w:t>Cont(ℳₜ, ℳₜ₊₁) = 1</w:t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  <w:t>The revision cycle:</w:t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  <w:t>🧭 → 🔃 → 🧪 → 👹 → ⚓</w:t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  <w:t>→ ✅ / ❌ → 📌 / ↩️ → ➿</w:t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  <w:t>Raw reachability is insufficient:</w:t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  <w:t>ℛ(ℳₜ) ⊊ ℛ(ℳₜ₊₁)</w:t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  <w:t>may still add dangerous states.</w:t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  <w:t>Instead require:</w:t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  <w:t>V(ℛlaw(ℳₜ₊₁))</w:t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  <w:t>&gt; V(ℛlaw(ℳₜ))</w:t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  <w:t>Define:</w:t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  <w:t>Q⃗rev(ℳ) =</w:t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  <w:t>⟨Qgen, Qmodel, Qtest,</w:t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  <w:t>Qverify, Qgovern, Qrecover⟩</w:t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  <w:t>Higher-order revision requires:</w:t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  <w:t>Q⃗rev(ℳₜ₊₁)</w:t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  <w:t>≻ Q⃗rev(ℳₜ)</w:t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</w:r>
          </w:p>
          <w:p>
            <w:pPr>
              <w:spacing w:after="20"/>
            </w:pPr>
            <w:r>
              <w:rPr>
                <w:rFonts w:ascii="DejaVu Sans" w:hAnsi="DejaVu Sans"/>
                <w:b/>
                <w:sz w:val="21"/>
              </w:rPr>
              <w:t>*MonadicProductive(Δₜ) ⇔*</w:t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  <w:t>⚓ Cont = 1</w:t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  <w:t>∧ 🛡️ ΔVlaw &gt; 0</w:t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  <w:t>∧ 📈 ΔQ⃗rev ≻ 0</w:t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</w:r>
          </w:p>
          <w:p>
            <w:pPr>
              <w:spacing w:after="20"/>
            </w:pPr>
            <w:r>
              <w:rPr>
                <w:rFonts w:ascii="DejaVu Sans" w:hAnsi="DejaVu Sans"/>
                <w:b/>
                <w:sz w:val="21"/>
              </w:rPr>
              <w:t>*Crystal:*</w:t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  <w:t>Preserve what makes</w:t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  <w:t>the system itself.</w:t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  <w:t>Improve what it can</w:t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  <w:t>lawfully become.</w:t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  <w:t>Strengthen how it governs</w:t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  <w:t>becoming again.</w:t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</w:r>
          </w:p>
          <w:p>
            <w:pPr>
              <w:spacing w:after="20"/>
            </w:pPr>
            <w:r>
              <w:rPr>
                <w:rFonts w:ascii="DejaVu Sans" w:hAnsi="DejaVu Sans"/>
                <w:b/>
                <w:sz w:val="21"/>
              </w:rPr>
              <w:t>*Compressed form:*</w:t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</w:r>
          </w:p>
          <w:p>
            <w:pPr>
              <w:spacing w:after="20"/>
            </w:pPr>
            <w:r>
              <w:rPr>
                <w:rFonts w:ascii="DejaVu Sans" w:hAnsi="DejaVu Sans"/>
                <w:b/>
                <w:sz w:val="21"/>
              </w:rPr>
              <w:t>SELF-CHANGE WITHOUT SELF-LOSS</w:t>
            </w:r>
          </w:p>
          <w:p>
            <w:pPr>
              <w:spacing w:after="20"/>
            </w:pPr>
            <w:r>
              <w:rPr>
                <w:rFonts w:ascii="DejaVu Sans" w:hAnsi="DejaVu Sans"/>
                <w:b/>
                <w:sz w:val="21"/>
              </w:rPr>
              <w:t>→ BETTER SELF-CHANGE</w:t>
            </w:r>
          </w:p>
        </w:tc>
      </w:tr>
    </w:tbl>
    <w:p>
      <w:pPr>
        <w:pStyle w:val="Heading1"/>
        <w:pBdr>
          <w:bottom w:val="single" w:sz="6" w:space="1" w:color="B7B7B7"/>
        </w:pBdr>
      </w:pPr>
      <w:r>
        <w:t>7. Mike Mode</w:t>
      </w:r>
    </w:p>
    <w:p>
      <w:pPr>
        <w:spacing w:before="80" w:after="80"/>
        <w:jc w:val="center"/>
      </w:pPr>
      <w:r>
        <w:rPr>
          <w:rFonts w:ascii="DejaVu Sans" w:hAnsi="DejaVu Sans"/>
          <w:b/>
          <w:sz w:val="24"/>
        </w:rPr>
        <w:t>dense equation + plain interpretation + one dry joke</w:t>
      </w:r>
    </w:p>
    <w:p>
      <w:r>
        <w:t>Preferred rhythm: state the equation; interpret the claim in one or two sentences; state the unresolved attack; end with one restrained naval decoration.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9E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20"/>
            </w:pPr>
            <w:r>
              <w:rPr>
                <w:rFonts w:ascii="DejaVu Sans" w:hAnsi="DejaVu Sans"/>
                <w:b/>
                <w:sz w:val="21"/>
              </w:rPr>
              <w:t>Mike —</w:t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  <w:t>Δₜ : (ℳₜ, Φₜ)</w:t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  <w:t>→ (ℳₜ₊₁, Φₜ₊₁)</w:t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  <w:t>The claim is not merely that the system changes itself.</w:t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  <w:t>The claim is that it changes both itself and its change-rule while preserving accountable continuity.</w:t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</w:r>
          </w:p>
          <w:p>
            <w:pPr>
              <w:spacing w:after="20"/>
            </w:pPr>
            <w:r>
              <w:rPr>
                <w:rFonts w:ascii="DejaVu Sans" w:hAnsi="DejaVu Sans"/>
                <w:b/>
                <w:sz w:val="21"/>
              </w:rPr>
              <w:t>👹 Main attack:</w:t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  <w:t>Who governs modification</w:t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  <w:t>of the governor?</w:t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  <w:t>Status: useful research target, not theorem.</w:t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</w:r>
          </w:p>
          <w:p>
            <w:pPr>
              <w:spacing w:after="20"/>
            </w:pPr>
            <w:r>
              <w:rPr>
                <w:rFonts w:ascii="DejaVu Sans" w:hAnsi="DejaVu Sans"/>
                <w:b w:val="0"/>
                <w:sz w:val="21"/>
              </w:rPr>
              <w:t>Tiny frigate remains unconvinced. 🚢</w:t>
            </w:r>
          </w:p>
        </w:tc>
      </w:tr>
    </w:tbl>
    <w:p>
      <w:pPr>
        <w:pStyle w:val="Heading1"/>
        <w:pBdr>
          <w:bottom w:val="single" w:sz="6" w:space="1" w:color="B7B7B7"/>
        </w:pBdr>
      </w:pPr>
      <w:r>
        <w:t>8. Semantic Discipline</w:t>
      </w:r>
    </w:p>
    <w:p>
      <w:r>
        <w:t>Each emoji has one primary technical meaning. Stability outranks novelty. In particular:</w:t>
      </w:r>
    </w:p>
    <w:p>
      <w:pPr>
        <w:pStyle w:val="Compact"/>
      </w:pPr>
      <w:r>
        <w:t>⚓ always means invariant or continuity.</w:t>
      </w:r>
    </w:p>
    <w:p>
      <w:pPr>
        <w:pStyle w:val="Compact"/>
      </w:pPr>
      <w:r>
        <w:t>📚 always means provenance or record.</w:t>
      </w:r>
    </w:p>
    <w:p>
      <w:pPr>
        <w:pStyle w:val="Compact"/>
      </w:pPr>
      <w:r>
        <w:t>🛡️ always means governance or protection.</w:t>
      </w:r>
    </w:p>
    <w:p>
      <w:pPr>
        <w:pStyle w:val="Compact"/>
      </w:pPr>
      <w:r>
        <w:t>👹 always means adversarial pressure.</w:t>
      </w:r>
    </w:p>
    <w:p>
      <w:pPr>
        <w:pStyle w:val="Compact"/>
      </w:pPr>
      <w:r>
        <w:t>🧪 always means testing.</w:t>
      </w:r>
    </w:p>
    <w:p>
      <w:pPr>
        <w:pStyle w:val="Compact"/>
      </w:pPr>
      <w:r>
        <w:t>📌 always means commitment or canonization.</w:t>
      </w:r>
    </w:p>
    <w:p>
      <w:pPr>
        <w:pStyle w:val="Compact"/>
      </w:pPr>
      <w:r>
        <w:t>➿ always means recursive re-entry.</w:t>
      </w:r>
    </w:p>
    <w:p>
      <w:pPr>
        <w:pStyle w:val="Heading1"/>
        <w:pBdr>
          <w:bottom w:val="single" w:sz="6" w:space="1" w:color="B7B7B7"/>
        </w:pBdr>
      </w:pPr>
      <w:r>
        <w:t>9. Final Canonical Specification</w:t>
      </w:r>
    </w:p>
    <w:p>
      <w:pPr>
        <w:spacing w:before="80" w:after="80"/>
        <w:jc w:val="center"/>
      </w:pPr>
      <w:r>
        <w:rPr>
          <w:rFonts w:ascii="DejaVu Sans" w:hAnsi="DejaVu Sans"/>
          <w:b/>
          <w:sz w:val="26"/>
        </w:rPr>
        <w:t>MSIR transport = Unicode mathematics</w:t>
      </w:r>
    </w:p>
    <w:p>
      <w:pPr>
        <w:spacing w:before="80" w:after="80"/>
        <w:jc w:val="center"/>
      </w:pPr>
      <w:r>
        <w:rPr>
          <w:rFonts w:ascii="DejaVu Sans" w:hAnsi="DejaVu Sans"/>
          <w:b/>
          <w:sz w:val="26"/>
        </w:rPr>
        <w:t>+ stable emoji operators</w:t>
      </w:r>
    </w:p>
    <w:p>
      <w:pPr>
        <w:spacing w:before="80" w:after="80"/>
        <w:jc w:val="center"/>
      </w:pPr>
      <w:r>
        <w:rPr>
          <w:rFonts w:ascii="DejaVu Sans" w:hAnsi="DejaVu Sans"/>
          <w:b/>
          <w:sz w:val="26"/>
        </w:rPr>
        <w:t>+ line-bounded packet geometry</w:t>
      </w:r>
    </w:p>
    <w:p>
      <w:pPr>
        <w:spacing w:before="80" w:after="80"/>
        <w:jc w:val="center"/>
      </w:pPr>
      <w:r>
        <w:rPr>
          <w:rFonts w:ascii="DejaVu Sans" w:hAnsi="DejaVu Sans"/>
          <w:b/>
          <w:sz w:val="26"/>
        </w:rPr>
        <w:t>+ explicit semantic definitions</w:t>
      </w:r>
    </w:p>
    <w:p>
      <w:pPr>
        <w:jc w:val="center"/>
      </w:pPr>
      <w:r>
        <w:rPr>
          <w:b/>
          <w:color w:val="4F2E75"/>
          <w:sz w:val="28"/>
        </w:rPr>
        <w:t>Dense enough for Mike.</w:t>
        <w:br/>
        <w:t>Clear enough for WhatsApp.</w:t>
        <w:br/>
        <w:t>Stable enough to become language.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MSIR-WA-CANON-001  •  Operation Crystal Ledger  •  Canonical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2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6E4A8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3A2A5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pPr>
      <w:spacing w:after="40" w:line="240" w:lineRule="auto"/>
    </w:pPr>
    <w:rPr>
      <w:rFonts w:ascii="Aptos" w:hAnsi="Apto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