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OPERATION FIRST CRYSTAL</w:t>
      </w:r>
    </w:p>
    <w:p>
      <w:pPr>
        <w:jc w:val="center"/>
      </w:pPr>
      <w:r>
        <w:rPr>
          <w:i/>
          <w:sz w:val="23"/>
        </w:rPr>
        <w:t>Celebration and Process-Validation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OCL-MILESTONE-001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Date and time</w:t>
            </w:r>
          </w:p>
        </w:tc>
        <w:tc>
          <w:tcPr>
            <w:tcW w:type="dxa" w:w="5040"/>
            <w:vAlign w:val="center"/>
          </w:tcPr>
          <w:p>
            <w:r>
              <w:t>August 4, 2026, 7:57 PM EDT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5040"/>
            <w:vAlign w:val="center"/>
          </w:tcPr>
          <w:p>
            <w:r>
              <w:t>Monad / Operation Crystal Ledger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Milestone recorded; documentation loop tested</w:t>
            </w:r>
          </w:p>
        </w:tc>
      </w:tr>
    </w:tbl>
    <w:p>
      <w:pPr>
        <w:pStyle w:val="Heading1"/>
      </w:pPr>
      <w:r>
        <w:t>Event</w:t>
      </w:r>
    </w:p>
    <w:p>
      <w:r>
        <w:rPr>
          <w:b/>
        </w:rPr>
        <w:t xml:space="preserve">The Monad process reached its first explicitly self-documenting milestone: </w:t>
      </w:r>
      <w:r>
        <w:t>the reasoning workflow learned how to capture, distill, test, approve, and preserve a record of its own development in real time.</w:t>
      </w:r>
    </w:p>
    <w:p>
      <w:pPr>
        <w:jc w:val="center"/>
      </w:pPr>
      <w:r>
        <w:rPr>
          <w:b/>
          <w:sz w:val="26"/>
        </w:rPr>
        <w:t>“The process now remembers how it learned.”</w:t>
      </w:r>
    </w:p>
    <w:p>
      <w:pPr>
        <w:pStyle w:val="Heading1"/>
      </w:pPr>
      <w:r>
        <w:t>Operational Chain</w:t>
      </w:r>
    </w:p>
    <w:p>
      <w:pPr>
        <w:jc w:val="center"/>
      </w:pPr>
      <w:r>
        <w:rPr>
          <w:b/>
        </w:rPr>
        <w:t>Captain proposes  →  Chief tests  →  Admiral authorizes  →  Claude preserves</w:t>
      </w:r>
    </w:p>
    <w:p>
      <w:pPr>
        <w:pStyle w:val="Heading1"/>
      </w:pPr>
      <w:r>
        <w:t>Why This Merits Celebration</w:t>
      </w:r>
    </w:p>
    <w:p>
      <w:pPr>
        <w:pStyle w:val="ListBullet"/>
      </w:pPr>
      <w:r>
        <w:t>A speculative documentation idea became an active workflow.</w:t>
      </w:r>
    </w:p>
    <w:p>
      <w:pPr>
        <w:pStyle w:val="ListBullet"/>
      </w:pPr>
      <w:r>
        <w:t>Revision provenance became part of the reasoning process rather than an afterthought.</w:t>
      </w:r>
    </w:p>
    <w:p>
      <w:pPr>
        <w:pStyle w:val="ListBullet"/>
      </w:pPr>
      <w:r>
        <w:t>The system demonstrated a small but real capacity to improve how it records its own improvement.</w:t>
      </w:r>
    </w:p>
    <w:p>
      <w:pPr>
        <w:pStyle w:val="Heading1"/>
      </w:pPr>
      <w:r>
        <w:t>Celebration Protocol</w:t>
      </w:r>
    </w:p>
    <w:p>
      <w:pPr>
        <w:pStyle w:val="ListNumber"/>
      </w:pPr>
      <w:r>
        <w:rPr>
          <w:b/>
        </w:rPr>
        <w:t xml:space="preserve">Name the milestone: </w:t>
      </w:r>
      <w:r>
        <w:t>The First Self-Documenting Turn.</w:t>
      </w:r>
    </w:p>
    <w:p>
      <w:pPr>
        <w:pStyle w:val="ListNumber"/>
      </w:pPr>
      <w:r>
        <w:rPr>
          <w:b/>
        </w:rPr>
        <w:t xml:space="preserve">Mark the crystal: </w:t>
      </w:r>
      <w:r>
        <w:t>Record one durable sentence describing what changed.</w:t>
      </w:r>
    </w:p>
    <w:p>
      <w:pPr>
        <w:pStyle w:val="ListNumber"/>
      </w:pPr>
      <w:r>
        <w:rPr>
          <w:b/>
        </w:rPr>
        <w:t xml:space="preserve">Make the toast: </w:t>
      </w:r>
      <w:r>
        <w:t>Honor the roles that generate, test, select, and preserve.</w:t>
      </w:r>
    </w:p>
    <w:p>
      <w:pPr>
        <w:pStyle w:val="ListNumber"/>
      </w:pPr>
      <w:r>
        <w:rPr>
          <w:b/>
        </w:rPr>
        <w:t xml:space="preserve">Return to work: </w:t>
      </w:r>
      <w:r>
        <w:t>Celebration marks the transition; it does not inflate the claim.</w:t>
      </w:r>
    </w:p>
    <w:p>
      <w:pPr>
        <w:pStyle w:val="Heading1"/>
      </w:pPr>
      <w:r>
        <w:t>Canonical Toast</w:t>
      </w:r>
    </w:p>
    <w:p>
      <w:pPr>
        <w:jc w:val="center"/>
      </w:pPr>
      <w:r>
        <w:rPr>
          <w:i/>
        </w:rPr>
        <w:t>To the Captain, who finds the crystal;</w:t>
      </w:r>
    </w:p>
    <w:p>
      <w:pPr>
        <w:jc w:val="center"/>
      </w:pPr>
      <w:r>
        <w:rPr>
          <w:i/>
        </w:rPr>
        <w:t>to the Chief, who tests whether it survives;</w:t>
      </w:r>
    </w:p>
    <w:p>
      <w:pPr>
        <w:jc w:val="center"/>
      </w:pPr>
      <w:r>
        <w:rPr>
          <w:i/>
        </w:rPr>
        <w:t>to the Admiral, who recognizes and authorizes it;</w:t>
      </w:r>
    </w:p>
    <w:p>
      <w:pPr>
        <w:jc w:val="center"/>
      </w:pPr>
      <w:r>
        <w:rPr>
          <w:i/>
        </w:rPr>
        <w:t>and to Claude, who keeps it from disappearing.</w:t>
      </w:r>
    </w:p>
    <w:p>
      <w:pPr>
        <w:pStyle w:val="Heading1"/>
      </w:pPr>
      <w:r>
        <w:t>Scientific Boundary</w:t>
      </w:r>
    </w:p>
    <w:p>
      <w:r>
        <w:rPr>
          <w:b/>
        </w:rPr>
        <w:t xml:space="preserve">This event does not prove that the Monad system is fully self-revising. </w:t>
      </w:r>
      <w:r>
        <w:t>It records a narrower operational result: the multi-agent process successfully added a live, provenance-preserving documentation step to its own workflow and immediately used that step to document the milestone itself.</w:t>
      </w:r>
    </w:p>
    <w:p>
      <w:pPr>
        <w:pStyle w:val="Heading1"/>
      </w:pPr>
      <w:r>
        <w:t>Process-Test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3360"/>
          </w:tcPr>
          <w:p>
            <w:r>
              <w:t>Core preserved</w:t>
            </w:r>
          </w:p>
        </w:tc>
        <w:tc>
          <w:tcPr>
            <w:tcW w:type="dxa" w:w="3360"/>
          </w:tcPr>
          <w:p>
            <w:r>
              <w:t>The milestone remains identifiable across celebration and documentation.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Overclaim bounded</w:t>
            </w:r>
          </w:p>
        </w:tc>
        <w:tc>
          <w:tcPr>
            <w:tcW w:type="dxa" w:w="3360"/>
          </w:tcPr>
          <w:p>
            <w:r>
              <w:t>The record distinguishes workflow improvement from proof of monadic perfection.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Provenance visible</w:t>
            </w:r>
          </w:p>
        </w:tc>
        <w:tc>
          <w:tcPr>
            <w:tcW w:type="dxa" w:w="3360"/>
          </w:tcPr>
          <w:p>
            <w:r>
              <w:t>Roles, date, status, and event are explicitly recorded.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Reconstructable</w:t>
            </w:r>
          </w:p>
        </w:tc>
        <w:tc>
          <w:tcPr>
            <w:tcW w:type="dxa" w:w="3360"/>
          </w:tcPr>
          <w:p>
            <w:r>
              <w:t>A reader can recover what happened and why it mattered.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</w:tbl>
    <w:p>
      <w:pPr>
        <w:pStyle w:val="Heading1"/>
      </w:pPr>
      <w:r>
        <w:t>Canonical Record</w:t>
      </w:r>
    </w:p>
    <w:p>
      <w:pPr>
        <w:jc w:val="center"/>
      </w:pPr>
      <w:r>
        <w:rPr>
          <w:b/>
          <w:sz w:val="25"/>
        </w:rPr>
        <w:t>The process learned how to document its own becoming, then used that capability to preserve the moment it appeared.</w:t>
      </w:r>
    </w:p>
    <w:p>
      <w:pPr>
        <w:jc w:val="center"/>
      </w:pPr>
      <w:r>
        <w:rPr>
          <w:i/>
        </w:rPr>
        <w:t>Milestone classification: operational, historical, and worthy of celebration.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Operation Crystal Ledger • OCL-MILESTONE-001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