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20"/>
      </w:pPr>
      <w:r>
        <w:rPr>
          <w:rFonts w:ascii="Arial" w:cs="Arial" w:eastAsia="Arial" w:hAnsi="Arial"/>
          <w:b/>
          <w:bCs/>
          <w:color w:val="1A1A1A"/>
          <w:sz w:val="60"/>
          <w:szCs w:val="60"/>
        </w:rPr>
        <w:t xml:space="preserve">Influencer Intel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34558B"/>
          <w:sz w:val="24"/>
          <w:szCs w:val="24"/>
        </w:rPr>
        <w:t xml:space="preserve">India-first influencer discovery, built AI-native. Type a campaign brief — or just an everyday plain-English prompt — and get ranked, real creators with live profile data, ready to reach out to.</w:t>
      </w:r>
    </w:p>
    <w:p>
      <w:pPr>
        <w:pBdr>
          <w:bottom w:val="single" w:color="333333" w:sz="12"/>
        </w:pBdr>
        <w:spacing w:after="6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pPr>
        <w:spacing w:after="60" w:line="264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Alevia Bandyopadhyay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1. Executive Summary</w:t>
      </w:r>
    </w:p>
    <w:p>
      <w:pPr>
        <w:spacing w:after="130" w:line="264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The one-line.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A search engine for creators. You type in plain English — a full campaign brief (“beauty creators in Mumbai under 100k for a Durga Puja shoot”) or just a quick everyday prompt (“food vloggers in Kolkata”) — and the platform returns ranked, real influencers with live profile data, ready to reach out to. No filters to fight, no lists to buy.</w:t>
      </w:r>
    </w:p>
    <w:p>
      <w:pPr>
        <w:spacing w:after="130" w:line="264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Why it exists.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Influencer marketing in India runs on gut feel, WhatsApp forwards and agency spreadsheets. Influencer Intel replaces that with an AI-native discovery engine tuned for India — regional languages, festival campaigns, and the long tail of creators that global tools simply don’t index.</w:t>
      </w:r>
    </w:p>
    <w:p>
      <w:pPr>
        <w:spacing w:after="130" w:line="264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Why it compounds.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Every search is stored and re-ranked, so the underlying database grows on its own with each brief a user runs. The more it’s used, the more defensible it becomes.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4558B"/>
          <w:sz w:val="22"/>
          <w:szCs w:val="22"/>
        </w:rPr>
        <w:t xml:space="preserve">Headline numbers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256"/>
        <w:gridCol w:w="2256"/>
        <w:gridCol w:w="2257"/>
        <w:gridCol w:w="2257"/>
      </w:tblGrid>
      <w:tr>
        <w:tc>
          <w:tcPr>
            <w:tcW w:type="dxa" w:w="2256"/>
            <w:tcBorders>
              <w:top w:val="single" w:color="2E5AAC" w:sz="26"/>
              <w:left w:val="single" w:color="B8B8B8" w:sz="4"/>
              <w:bottom w:val="single" w:color="B8B8B8" w:sz="4"/>
              <w:right w:val="single" w:color="B8B8B8" w:sz="4"/>
            </w:tcBorders>
            <w:shd w:fill="F7F8FA" w:color="auto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5AAC"/>
                <w:sz w:val="40"/>
                <w:szCs w:val="40"/>
              </w:rPr>
              <w:t xml:space="preserve">Seconds</w:t>
            </w:r>
          </w:p>
          <w:p>
            <w:pPr>
              <w:spacing w:after="0" w:line="230"/>
            </w:pPr>
            <w:r>
              <w:rPr>
                <w:rFonts w:ascii="Arial" w:cs="Arial" w:eastAsia="Arial" w:hAnsi="Arial"/>
                <w:color w:val="8A8A8A"/>
                <w:sz w:val="16"/>
                <w:szCs w:val="16"/>
              </w:rPr>
              <w:t xml:space="preserve">Plain-English brief to ranked creators</w:t>
            </w:r>
          </w:p>
        </w:tc>
        <w:tc>
          <w:tcPr>
            <w:tcW w:type="dxa" w:w="2256"/>
            <w:tcBorders>
              <w:top w:val="single" w:color="3E7B3E" w:sz="26"/>
              <w:left w:val="single" w:color="B8B8B8" w:sz="4"/>
              <w:bottom w:val="single" w:color="B8B8B8" w:sz="4"/>
              <w:right w:val="single" w:color="B8B8B8" w:sz="4"/>
            </w:tcBorders>
            <w:shd w:fill="F7F8FA" w:color="auto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E7B3E"/>
                <w:sz w:val="40"/>
                <w:szCs w:val="40"/>
              </w:rPr>
              <w:t xml:space="preserve">3 engines</w:t>
            </w:r>
          </w:p>
          <w:p>
            <w:pPr>
              <w:spacing w:after="0" w:line="230"/>
            </w:pPr>
            <w:r>
              <w:rPr>
                <w:rFonts w:ascii="Arial" w:cs="Arial" w:eastAsia="Arial" w:hAnsi="Arial"/>
                <w:color w:val="8A8A8A"/>
                <w:sz w:val="16"/>
                <w:szCs w:val="16"/>
              </w:rPr>
              <w:t xml:space="preserve">AI search + live crawl + database, in parallel</w:t>
            </w:r>
          </w:p>
        </w:tc>
        <w:tc>
          <w:tcPr>
            <w:tcW w:type="dxa" w:w="2257"/>
            <w:tcBorders>
              <w:top w:val="single" w:color="6A4C9C" w:sz="26"/>
              <w:left w:val="single" w:color="B8B8B8" w:sz="4"/>
              <w:bottom w:val="single" w:color="B8B8B8" w:sz="4"/>
              <w:right w:val="single" w:color="B8B8B8" w:sz="4"/>
            </w:tcBorders>
            <w:shd w:fill="F7F8FA" w:color="auto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A4C9C"/>
                <w:sz w:val="40"/>
                <w:szCs w:val="40"/>
              </w:rPr>
              <w:t xml:space="preserve">India-first</w:t>
            </w:r>
          </w:p>
          <w:p>
            <w:pPr>
              <w:spacing w:after="0" w:line="230"/>
            </w:pPr>
            <w:r>
              <w:rPr>
                <w:rFonts w:ascii="Arial" w:cs="Arial" w:eastAsia="Arial" w:hAnsi="Arial"/>
                <w:color w:val="8A8A8A"/>
                <w:sz w:val="16"/>
                <w:szCs w:val="16"/>
              </w:rPr>
              <w:t xml:space="preserve">Vernacular, regional and festival-aware</w:t>
            </w:r>
          </w:p>
        </w:tc>
        <w:tc>
          <w:tcPr>
            <w:tcW w:type="dxa" w:w="2257"/>
            <w:tcBorders>
              <w:top w:val="single" w:color="C87F2C" w:sz="26"/>
              <w:left w:val="single" w:color="B8B8B8" w:sz="4"/>
              <w:bottom w:val="single" w:color="B8B8B8" w:sz="4"/>
              <w:right w:val="single" w:color="B8B8B8" w:sz="4"/>
            </w:tcBorders>
            <w:shd w:fill="F7F8FA" w:color="auto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87F2C"/>
                <w:sz w:val="40"/>
                <w:szCs w:val="40"/>
              </w:rPr>
              <w:t xml:space="preserve">Self-grows</w:t>
            </w:r>
          </w:p>
          <w:p>
            <w:pPr>
              <w:spacing w:after="0" w:line="230"/>
            </w:pPr>
            <w:r>
              <w:rPr>
                <w:rFonts w:ascii="Arial" w:cs="Arial" w:eastAsia="Arial" w:hAnsi="Arial"/>
                <w:color w:val="8A8A8A"/>
                <w:sz w:val="16"/>
                <w:szCs w:val="16"/>
              </w:rPr>
              <w:t xml:space="preserve">Every search enriches the database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2. Why It Matters</w:t>
      </w:r>
    </w:p>
    <w:p>
      <w:pPr>
        <w:spacing w:after="130" w:line="264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A booming market.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Creator spend in India is scaling fast — but discovery is still manual, slow, and biased toward whoever an agency already knows.</w:t>
      </w:r>
    </w:p>
    <w:p>
      <w:pPr>
        <w:spacing w:after="130" w:line="264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Global tools miss India.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They are built US-first. Vernacular creators, regional stars and festival-driven campaigns — exactly where Indian brand spend is going — fall through the cracks.</w:t>
      </w:r>
    </w:p>
    <w:p>
      <w:pPr>
        <w:spacing w:after="130" w:line="264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Brands overpay for stale data.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Bought lists and spreadsheets still can’t answer the one question that matters: who actually fits this campaign, right now?</w:t>
      </w:r>
    </w:p>
    <w:p>
      <w:pPr>
        <w:spacing w:after="130" w:line="264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We answer in seconds.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Live data, ranked for India, getting sharper every time someone searches.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3. What the Platform Does</w:t>
      </w:r>
    </w:p>
    <w:p>
      <w:pPr>
        <w:spacing w:after="140" w:line="264"/>
      </w:pPr>
      <w:r>
        <w:rPr>
          <w:rFonts w:ascii="Arial" w:cs="Arial" w:eastAsia="Arial" w:hAnsi="Arial"/>
          <w:b/>
          <w:bCs/>
          <w:color w:val="34558B"/>
          <w:sz w:val="21"/>
          <w:szCs w:val="21"/>
        </w:rPr>
        <w:t xml:space="preserve">Everything below is live today — the working feature set, not a roadmap.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4558B"/>
          <w:sz w:val="22"/>
          <w:szCs w:val="22"/>
        </w:rPr>
        <w:t xml:space="preserve">Find &amp; vet creators</w:t>
      </w:r>
    </w:p>
    <w:tbl>
      <w:tblPr>
        <w:tblW w:type="dxa" w:w="9026"/>
        <w:tblBorders>
          <w:top w:val="single" w:color="B8B8B8" w:sz="4"/>
          <w:left w:val="single" w:color="B8B8B8" w:sz="4"/>
          <w:bottom w:val="single" w:color="B8B8B8" w:sz="4"/>
          <w:right w:val="single" w:color="B8B8B8" w:sz="4"/>
          <w:insideH w:val="single" w:color="B8B8B8" w:sz="4"/>
          <w:insideV w:val="single" w:color="B8B8B8" w:sz="4"/>
        </w:tblBorders>
      </w:tblPr>
      <w:tblGrid>
        <w:gridCol w:w="2900"/>
        <w:gridCol w:w="6126"/>
      </w:tblGrid>
      <w:tr>
        <w:trPr>
          <w:tblHeader/>
        </w:trPr>
        <w:tc>
          <w:tcPr>
            <w:tcW w:type="dxa" w:w="2900"/>
            <w:shd w:fill="DCE6F2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2A4E7A"/>
                <w:sz w:val="20"/>
                <w:szCs w:val="20"/>
              </w:rPr>
              <w:t xml:space="preserve">Feature</w:t>
            </w:r>
          </w:p>
        </w:tc>
        <w:tc>
          <w:tcPr>
            <w:tcW w:type="dxa" w:w="6126"/>
            <w:shd w:fill="DCE6F2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2A4E7A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Influencer search</w:t>
            </w:r>
          </w:p>
        </w:tc>
        <w:tc>
          <w:tcPr>
            <w:tcW w:type="dxa" w:w="6126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Type a brief or a quick prompt in plain English. The AI reads intent — niche, city, follower range, platform — and returns matching creators. No filter grids.</w:t>
            </w:r>
          </w:p>
        </w:tc>
      </w:tr>
      <w:tr>
        <w:tc>
          <w:tcPr>
            <w:tcW w:type="dxa" w:w="2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@handle lookup</w:t>
            </w:r>
          </w:p>
        </w:tc>
        <w:tc>
          <w:tcPr>
            <w:tcW w:type="dxa" w:w="6126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Paste any Instagram handle and pull a full, live profile snapshot on demand — vet a specific creator instantly.</w:t>
            </w:r>
          </w:p>
        </w:tc>
      </w:tr>
      <w:tr>
        <w:tc>
          <w:tcPr>
            <w:tcW w:type="dxa" w:w="2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Influencer database</w:t>
            </w:r>
          </w:p>
        </w:tc>
        <w:tc>
          <w:tcPr>
            <w:tcW w:type="dxa" w:w="6126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 private, self-growing library of every creator the platform has seen — searchable, filterable, and yours.</w:t>
            </w:r>
          </w:p>
        </w:tc>
      </w:tr>
      <w:tr>
        <w:tc>
          <w:tcPr>
            <w:tcW w:type="dxa" w:w="2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Authenticity score</w:t>
            </w:r>
          </w:p>
        </w:tc>
        <w:tc>
          <w:tcPr>
            <w:tcW w:type="dxa" w:w="6126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 fake-follower check that flags bought audiences before you spend on them.</w:t>
            </w:r>
          </w:p>
        </w:tc>
      </w:tr>
      <w:tr>
        <w:tc>
          <w:tcPr>
            <w:tcW w:type="dxa" w:w="2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Engagement-rate calculator</w:t>
            </w:r>
          </w:p>
        </w:tc>
        <w:tc>
          <w:tcPr>
            <w:tcW w:type="dxa" w:w="6126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Instant ER for any creator, so shortlists are ranked on real reach, not follower vanity.</w:t>
            </w:r>
          </w:p>
        </w:tc>
      </w:tr>
      <w:tr>
        <w:tc>
          <w:tcPr>
            <w:tcW w:type="dxa" w:w="2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Competitor / brand collaborations</w:t>
            </w:r>
          </w:p>
        </w:tc>
        <w:tc>
          <w:tcPr>
            <w:tcW w:type="dxa" w:w="6126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See which creators competitor brands are already working with — mine rivals’ rosters for talent.</w:t>
            </w:r>
          </w:p>
        </w:tc>
      </w:tr>
      <w:tr>
        <w:tc>
          <w:tcPr>
            <w:tcW w:type="dxa" w:w="2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Saved creators</w:t>
            </w:r>
          </w:p>
        </w:tc>
        <w:tc>
          <w:tcPr>
            <w:tcW w:type="dxa" w:w="6126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Shortlist and organise creators into lists for a team, a client or a campaign.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4558B"/>
          <w:sz w:val="22"/>
          <w:szCs w:val="22"/>
        </w:rPr>
        <w:t xml:space="preserve">Create &amp; reach out</w:t>
      </w:r>
    </w:p>
    <w:tbl>
      <w:tblPr>
        <w:tblW w:type="dxa" w:w="9026"/>
        <w:tblBorders>
          <w:top w:val="single" w:color="B8B8B8" w:sz="4"/>
          <w:left w:val="single" w:color="B8B8B8" w:sz="4"/>
          <w:bottom w:val="single" w:color="B8B8B8" w:sz="4"/>
          <w:right w:val="single" w:color="B8B8B8" w:sz="4"/>
          <w:insideH w:val="single" w:color="B8B8B8" w:sz="4"/>
          <w:insideV w:val="single" w:color="B8B8B8" w:sz="4"/>
        </w:tblBorders>
      </w:tblPr>
      <w:tblGrid>
        <w:gridCol w:w="2900"/>
        <w:gridCol w:w="6126"/>
      </w:tblGrid>
      <w:tr>
        <w:trPr>
          <w:tblHeader/>
        </w:trPr>
        <w:tc>
          <w:tcPr>
            <w:tcW w:type="dxa" w:w="2900"/>
            <w:shd w:fill="DCE6F2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2A4E7A"/>
                <w:sz w:val="20"/>
                <w:szCs w:val="20"/>
              </w:rPr>
              <w:t xml:space="preserve">Feature</w:t>
            </w:r>
          </w:p>
        </w:tc>
        <w:tc>
          <w:tcPr>
            <w:tcW w:type="dxa" w:w="6126"/>
            <w:shd w:fill="DCE6F2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2A4E7A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AI content generator</w:t>
            </w:r>
          </w:p>
        </w:tc>
        <w:tc>
          <w:tcPr>
            <w:tcW w:type="dxa" w:w="6126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Generates campaign content ideas, hooks and post concepts tailored to the brand and creator — from brief to a running content plan.</w:t>
            </w:r>
          </w:p>
        </w:tc>
      </w:tr>
      <w:tr>
        <w:tc>
          <w:tcPr>
            <w:tcW w:type="dxa" w:w="2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Reply assistant</w:t>
            </w:r>
          </w:p>
        </w:tc>
        <w:tc>
          <w:tcPr>
            <w:tcW w:type="dxa" w:w="6126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Drafts and suggests replies to creator conversations, so outreach and negotiation stay fast and on-brand.</w:t>
            </w:r>
          </w:p>
        </w:tc>
      </w:tr>
      <w:tr>
        <w:tc>
          <w:tcPr>
            <w:tcW w:type="dxa" w:w="2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Comment-to-DM</w:t>
            </w:r>
          </w:p>
        </w:tc>
        <w:tc>
          <w:tcPr>
            <w:tcW w:type="dxa" w:w="6126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Turns comments on a post into direct-message conversations automatically — capture interested creators and fans at scale.</w:t>
            </w:r>
          </w:p>
        </w:tc>
      </w:tr>
      <w:tr>
        <w:tc>
          <w:tcPr>
            <w:tcW w:type="dxa" w:w="2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Outreach drafts</w:t>
            </w:r>
          </w:p>
        </w:tc>
        <w:tc>
          <w:tcPr>
            <w:tcW w:type="dxa" w:w="6126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 first-pass outreach message per creator, so you go from shortlist to first contact without leaving the tool.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4558B"/>
          <w:sz w:val="22"/>
          <w:szCs w:val="22"/>
        </w:rPr>
        <w:t xml:space="preserve">Run the campaign</w:t>
      </w:r>
    </w:p>
    <w:tbl>
      <w:tblPr>
        <w:tblW w:type="dxa" w:w="9026"/>
        <w:tblBorders>
          <w:top w:val="single" w:color="B8B8B8" w:sz="4"/>
          <w:left w:val="single" w:color="B8B8B8" w:sz="4"/>
          <w:bottom w:val="single" w:color="B8B8B8" w:sz="4"/>
          <w:right w:val="single" w:color="B8B8B8" w:sz="4"/>
          <w:insideH w:val="single" w:color="B8B8B8" w:sz="4"/>
          <w:insideV w:val="single" w:color="B8B8B8" w:sz="4"/>
        </w:tblBorders>
      </w:tblPr>
      <w:tblGrid>
        <w:gridCol w:w="2900"/>
        <w:gridCol w:w="6126"/>
      </w:tblGrid>
      <w:tr>
        <w:trPr>
          <w:tblHeader/>
        </w:trPr>
        <w:tc>
          <w:tcPr>
            <w:tcW w:type="dxa" w:w="2900"/>
            <w:shd w:fill="DCE6F2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2A4E7A"/>
                <w:sz w:val="20"/>
                <w:szCs w:val="20"/>
              </w:rPr>
              <w:t xml:space="preserve">Feature</w:t>
            </w:r>
          </w:p>
        </w:tc>
        <w:tc>
          <w:tcPr>
            <w:tcW w:type="dxa" w:w="6126"/>
            <w:shd w:fill="DCE6F2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2A4E7A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Campaign management</w:t>
            </w:r>
          </w:p>
        </w:tc>
        <w:tc>
          <w:tcPr>
            <w:tcW w:type="dxa" w:w="6126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Plan and run campaigns end to end — recruits, briefs, deliverables and status in one place.</w:t>
            </w:r>
          </w:p>
        </w:tc>
      </w:tr>
      <w:tr>
        <w:tc>
          <w:tcPr>
            <w:tcW w:type="dxa" w:w="2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Campaign analytics</w:t>
            </w:r>
          </w:p>
        </w:tc>
        <w:tc>
          <w:tcPr>
            <w:tcW w:type="dxa" w:w="6126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Track performance across creators and campaigns — reach, engagement and outcomes, not guesswork.</w:t>
            </w:r>
          </w:p>
        </w:tc>
      </w:tr>
      <w:tr>
        <w:tc>
          <w:tcPr>
            <w:tcW w:type="dxa" w:w="2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Media management</w:t>
            </w:r>
          </w:p>
        </w:tc>
        <w:tc>
          <w:tcPr>
            <w:tcW w:type="dxa" w:w="6126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Collect, review and organise the content creators deliver against each campaign.</w:t>
            </w:r>
          </w:p>
        </w:tc>
      </w:tr>
      <w:tr>
        <w:tc>
          <w:tcPr>
            <w:tcW w:type="dxa" w:w="2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Influencer payouts</w:t>
            </w:r>
          </w:p>
        </w:tc>
        <w:tc>
          <w:tcPr>
            <w:tcW w:type="dxa" w:w="6126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Track budgets, spend and creator payments per campaign, so finance and marketing stay in sync.</w:t>
            </w:r>
          </w:p>
        </w:tc>
      </w:tr>
    </w:tbl>
    <w:p>
      <w:pPr>
        <w:spacing w:after="160" w:line="264"/>
      </w:pPr>
      <w:r>
        <w:rPr>
          <w:rFonts w:ascii="Arial" w:cs="Arial" w:eastAsia="Arial" w:hAnsi="Arial"/>
          <w:i/>
          <w:iCs/>
          <w:color w:val="8A8A8A"/>
          <w:sz w:val="19"/>
          <w:szCs w:val="19"/>
        </w:rPr>
        <w:t xml:space="preserve">Three discovery engines — an AI web-search pass, a live public-profile crawl, and the growing internal database — run in parallel on every brief, then results are merged, de-duplicated and ranked. The user just sees a clean, ranked list.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4558B"/>
          <w:sz w:val="22"/>
          <w:szCs w:val="22"/>
        </w:rPr>
        <w:t xml:space="preserve">How the data is sourced</w:t>
      </w:r>
    </w:p>
    <w:p>
      <w:pPr>
        <w:spacing w:after="130" w:line="264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Free path first.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Live profile data is pulled through the platform’s own crawler — a relay with a rotating pool of accounts and cookies. When it works, it works at zero marginal cost.</w:t>
      </w:r>
    </w:p>
    <w:p>
      <w:pPr>
        <w:spacing w:after="130" w:line="264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Apify as a pay-per-use fallback.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When Instagram blocks a request (a 401, 403 or rate-limit), that specific profile automatically re-routes through Apify, a paid scraping service billed per profile — roughly a few cents each. No block means no bill, so cost scales with how often we’re blocked, not with how much we search.</w:t>
      </w:r>
    </w:p>
    <w:p>
      <w:pPr>
        <w:spacing w:after="130" w:line="264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Same answer either way.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The engagement and ranking math is identical whichever path returns the data — the fallback is invisible to the user and only ever makes coverage more reliable.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4. Three Logins, One Platform</w:t>
      </w:r>
    </w:p>
    <w:p>
      <w:pPr>
        <w:spacing w:after="130" w:line="264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One platform, three doors.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The same system serves three kinds of users, each with its own login and its own view — brands, creators, and the operator.</w:t>
      </w:r>
    </w:p>
    <w:tbl>
      <w:tblPr>
        <w:tblW w:type="dxa" w:w="9026"/>
        <w:tblBorders>
          <w:top w:val="single" w:color="B8B8B8" w:sz="4"/>
          <w:left w:val="single" w:color="B8B8B8" w:sz="4"/>
          <w:bottom w:val="single" w:color="B8B8B8" w:sz="4"/>
          <w:right w:val="single" w:color="B8B8B8" w:sz="4"/>
          <w:insideH w:val="single" w:color="B8B8B8" w:sz="4"/>
          <w:insideV w:val="single" w:color="B8B8B8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shd w:fill="D5E8E3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2E7D6E"/>
                <w:sz w:val="20"/>
                <w:szCs w:val="20"/>
              </w:rPr>
              <w:t xml:space="preserve">Login</w:t>
            </w:r>
          </w:p>
        </w:tc>
        <w:tc>
          <w:tcPr>
            <w:tcW w:type="dxa" w:w="6626"/>
            <w:shd w:fill="D5E8E3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2E7D6E"/>
                <w:sz w:val="20"/>
                <w:szCs w:val="20"/>
              </w:rPr>
              <w:t xml:space="preserve">Who it’s for and what they get</w:t>
            </w:r>
          </w:p>
        </w:tc>
      </w:tr>
      <w:tr>
        <w:tc>
          <w:tcPr>
            <w:tcW w:type="dxa" w:w="2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Brand / agency</w:t>
            </w:r>
          </w:p>
        </w:tc>
        <w:tc>
          <w:tcPr>
            <w:tcW w:type="dxa" w:w="6626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The marketing team. Email-and-password login into the full discovery, outreach and campaign toolset described above.</w:t>
            </w:r>
          </w:p>
        </w:tc>
      </w:tr>
      <w:tr>
        <w:tc>
          <w:tcPr>
            <w:tcW w:type="dxa" w:w="2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Influencer / creator</w:t>
            </w:r>
          </w:p>
        </w:tc>
        <w:tc>
          <w:tcPr>
            <w:tcW w:type="dxa" w:w="6626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The creators themselves. A passwordless login (connect Instagram) into their own portal — the side we’re about to build out with performance prediction.</w:t>
            </w:r>
          </w:p>
        </w:tc>
      </w:tr>
      <w:tr>
        <w:tc>
          <w:tcPr>
            <w:tcW w:type="dxa" w:w="2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6626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The operator. A private control panel that runs the whole platform — data pipelines, accounts, coverage and analytics (next section).</w:t>
            </w:r>
          </w:p>
        </w:tc>
      </w:tr>
    </w:tbl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5. The Super Admin Control Panel</w:t>
      </w:r>
    </w:p>
    <w:p>
      <w:pPr>
        <w:spacing w:after="130" w:line="264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The cockpit behind the product.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A private, admin-only panel gives the operator full visibility and control over the engine that powers every search. Seven screens:</w:t>
      </w:r>
    </w:p>
    <w:tbl>
      <w:tblPr>
        <w:tblW w:type="dxa" w:w="9026"/>
        <w:tblBorders>
          <w:top w:val="single" w:color="B8B8B8" w:sz="4"/>
          <w:left w:val="single" w:color="B8B8B8" w:sz="4"/>
          <w:bottom w:val="single" w:color="B8B8B8" w:sz="4"/>
          <w:right w:val="single" w:color="B8B8B8" w:sz="4"/>
          <w:insideH w:val="single" w:color="B8B8B8" w:sz="4"/>
          <w:insideV w:val="single" w:color="B8B8B8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shd w:fill="E9DCE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7A4A82"/>
                <w:sz w:val="20"/>
                <w:szCs w:val="20"/>
              </w:rPr>
              <w:t xml:space="preserve">Screen</w:t>
            </w:r>
          </w:p>
        </w:tc>
        <w:tc>
          <w:tcPr>
            <w:tcW w:type="dxa" w:w="6826"/>
            <w:shd w:fill="E9DCE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7A4A82"/>
                <w:sz w:val="20"/>
                <w:szCs w:val="20"/>
              </w:rPr>
              <w:t xml:space="preserve">What it shows and controls</w:t>
            </w:r>
          </w:p>
        </w:tc>
      </w:tr>
      <w:tr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Dashboard</w:t>
            </w:r>
          </w:p>
        </w:tc>
        <w:tc>
          <w:tcPr>
            <w:tcW w:type="dxa" w:w="6826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The at-a-glance state of the platform — database size, scrapes in the last 24h, agency searches, accounts in rotation and job-queue depth.</w:t>
            </w:r>
          </w:p>
        </w:tc>
      </w:tr>
      <w:tr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Scraper</w:t>
            </w:r>
          </w:p>
        </w:tc>
        <w:tc>
          <w:tcPr>
            <w:tcW w:type="dxa" w:w="6826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The live crawl — recent scrapes, health and cooling of each account, and pipeline status (healthy, rate-limited, cookie-dead or relay-down), so issues are caught before they hit users.</w:t>
            </w:r>
          </w:p>
        </w:tc>
      </w:tr>
      <w:tr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Metrics</w:t>
            </w:r>
          </w:p>
        </w:tc>
        <w:tc>
          <w:tcPr>
            <w:tcW w:type="dxa" w:w="6826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Deep operational telemetry — worker heartbeat, crawl-queue detail, hourly throughput, 7-day search trends, daily active users and logins, creator growth, and job success/fail rates.</w:t>
            </w:r>
          </w:p>
        </w:tc>
      </w:tr>
      <w:tr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Coverage</w:t>
            </w:r>
          </w:p>
        </w:tc>
        <w:tc>
          <w:tcPr>
            <w:tcW w:type="dxa" w:w="6826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 niche × city heat-map of where the database is strong and where it’s thin — so seeding effort goes exactly where the gaps are.</w:t>
            </w:r>
          </w:p>
        </w:tc>
      </w:tr>
      <w:tr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Campaigns</w:t>
            </w:r>
          </w:p>
        </w:tc>
        <w:tc>
          <w:tcPr>
            <w:tcW w:type="dxa" w:w="6826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Per-brand campaign oversight — recruits, budget, spend and performance across the platform.</w:t>
            </w:r>
          </w:p>
        </w:tc>
      </w:tr>
      <w:tr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Analytics</w:t>
            </w:r>
          </w:p>
        </w:tc>
        <w:tc>
          <w:tcPr>
            <w:tcW w:type="dxa" w:w="6826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System-wide KPIs, including prediction accuracy as the creator portal comes online.</w:t>
            </w:r>
          </w:p>
        </w:tc>
      </w:tr>
      <w:tr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Agency</w:t>
            </w:r>
          </w:p>
        </w:tc>
        <w:tc>
          <w:tcPr>
            <w:tcW w:type="dxa" w:w="6826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The brand-side audit — signups, logins and account activity.</w:t>
            </w:r>
          </w:p>
        </w:tc>
      </w:tr>
    </w:tbl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6. Influencer Intel vs. Impact.com</w:t>
      </w:r>
    </w:p>
    <w:p>
      <w:pPr>
        <w:spacing w:after="130" w:line="264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The opening.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Impact.com is a strong, mature global platform — built around partner networks, contracts and sales-conversion tracking for US and international brands. It is not built for how India discovers creators. That gap is our opening.</w:t>
      </w:r>
    </w:p>
    <w:tbl>
      <w:tblPr>
        <w:tblW w:type="dxa" w:w="9026"/>
        <w:tblBorders>
          <w:top w:val="single" w:color="B8B8B8" w:sz="4"/>
          <w:left w:val="single" w:color="B8B8B8" w:sz="4"/>
          <w:bottom w:val="single" w:color="B8B8B8" w:sz="4"/>
          <w:right w:val="single" w:color="B8B8B8" w:sz="4"/>
          <w:insideH w:val="single" w:color="B8B8B8" w:sz="4"/>
          <w:insideV w:val="single" w:color="B8B8B8" w:sz="4"/>
        </w:tblBorders>
      </w:tblPr>
      <w:tblGrid>
        <w:gridCol w:w="2400"/>
        <w:gridCol w:w="3313"/>
        <w:gridCol w:w="3313"/>
      </w:tblGrid>
      <w:tr>
        <w:trPr>
          <w:tblHeader/>
        </w:trPr>
        <w:tc>
          <w:tcPr>
            <w:tcW w:type="dxa" w:w="2400"/>
            <w:shd w:fill="DCE6F2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2A4E7A"/>
                <w:sz w:val="20"/>
                <w:szCs w:val="20"/>
              </w:rPr>
              <w:t xml:space="preserve">Capability</w:t>
            </w:r>
          </w:p>
        </w:tc>
        <w:tc>
          <w:tcPr>
            <w:tcW w:type="dxa" w:w="3313"/>
            <w:shd w:fill="DCE6F2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2A4E7A"/>
                <w:sz w:val="20"/>
                <w:szCs w:val="20"/>
              </w:rPr>
              <w:t xml:space="preserve">Impact.com</w:t>
            </w:r>
          </w:p>
        </w:tc>
        <w:tc>
          <w:tcPr>
            <w:tcW w:type="dxa" w:w="3313"/>
            <w:shd w:fill="DCE6F2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2A4E7A"/>
                <w:sz w:val="20"/>
                <w:szCs w:val="20"/>
              </w:rPr>
              <w:t xml:space="preserve">Influencer Intel</w:t>
            </w:r>
          </w:p>
        </w:tc>
      </w:tr>
      <w:tr>
        <w:tc>
          <w:tcPr>
            <w:tcW w:type="dxa" w:w="2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India creator depth</w:t>
            </w:r>
          </w:p>
        </w:tc>
        <w:tc>
          <w:tcPr>
            <w:tcW w:type="dxa" w:w="3313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 / global-first; thin India coverage</w:t>
            </w:r>
          </w:p>
        </w:tc>
        <w:tc>
          <w:tcPr>
            <w:tcW w:type="dxa" w:w="3313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India-first; vernacular, regional and festival creators</w:t>
            </w:r>
          </w:p>
        </w:tc>
      </w:tr>
      <w:tr>
        <w:tc>
          <w:tcPr>
            <w:tcW w:type="dxa" w:w="2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How you search</w:t>
            </w:r>
          </w:p>
        </w:tc>
        <w:tc>
          <w:tcPr>
            <w:tcW w:type="dxa" w:w="3313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Filters, forms and vetted marketplace lists</w:t>
            </w:r>
          </w:p>
        </w:tc>
        <w:tc>
          <w:tcPr>
            <w:tcW w:type="dxa" w:w="3313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Plain-English brief — AI reads intent</w:t>
            </w:r>
          </w:p>
        </w:tc>
      </w:tr>
      <w:tr>
        <w:tc>
          <w:tcPr>
            <w:tcW w:type="dxa" w:w="2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Data freshness</w:t>
            </w:r>
          </w:p>
        </w:tc>
        <w:tc>
          <w:tcPr>
            <w:tcW w:type="dxa" w:w="3313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Marketplace + partner-reported metrics</w:t>
            </w:r>
          </w:p>
        </w:tc>
        <w:tc>
          <w:tcPr>
            <w:tcW w:type="dxa" w:w="3313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Live public-profile snapshots on demand</w:t>
            </w:r>
          </w:p>
        </w:tc>
      </w:tr>
      <w:tr>
        <w:tc>
          <w:tcPr>
            <w:tcW w:type="dxa" w:w="2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Campaign fit</w:t>
            </w:r>
          </w:p>
        </w:tc>
        <w:tc>
          <w:tcPr>
            <w:tcW w:type="dxa" w:w="3313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Generic tags and categories</w:t>
            </w:r>
          </w:p>
        </w:tc>
        <w:tc>
          <w:tcPr>
            <w:tcW w:type="dxa" w:w="3313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Campaign mode: proven-collaborator ranking, festival-aware</w:t>
            </w:r>
          </w:p>
        </w:tc>
      </w:tr>
      <w:tr>
        <w:tc>
          <w:tcPr>
            <w:tcW w:type="dxa" w:w="2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Name collisions</w:t>
            </w:r>
          </w:p>
        </w:tc>
        <w:tc>
          <w:tcPr>
            <w:tcW w:type="dxa" w:w="3313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 addressed</w:t>
            </w:r>
          </w:p>
        </w:tc>
        <w:tc>
          <w:tcPr>
            <w:tcW w:type="dxa" w:w="3313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Guarded (a festival vs. a person of the same name)</w:t>
            </w:r>
          </w:p>
        </w:tc>
      </w:tr>
      <w:tr>
        <w:tc>
          <w:tcPr>
            <w:tcW w:type="dxa" w:w="2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Data asset</w:t>
            </w:r>
          </w:p>
        </w:tc>
        <w:tc>
          <w:tcPr>
            <w:tcW w:type="dxa" w:w="3313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Static partner network</w:t>
            </w:r>
          </w:p>
        </w:tc>
        <w:tc>
          <w:tcPr>
            <w:tcW w:type="dxa" w:w="3313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Self-growing database — every search enriches it</w:t>
            </w:r>
          </w:p>
        </w:tc>
      </w:tr>
      <w:tr>
        <w:tc>
          <w:tcPr>
            <w:tcW w:type="dxa" w:w="2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Setup</w:t>
            </w:r>
          </w:p>
        </w:tc>
        <w:tc>
          <w:tcPr>
            <w:tcW w:type="dxa" w:w="3313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Contracts, enrolment, integration</w:t>
            </w:r>
          </w:p>
        </w:tc>
        <w:tc>
          <w:tcPr>
            <w:tcW w:type="dxa" w:w="3313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Type a brief, get creators in seconds</w:t>
            </w:r>
          </w:p>
        </w:tc>
      </w:tr>
    </w:tbl>
    <w:p>
      <w:pPr>
        <w:spacing w:after="160" w:line="264"/>
      </w:pPr>
      <w:r>
        <w:rPr>
          <w:rFonts w:ascii="Arial" w:cs="Arial" w:eastAsia="Arial" w:hAnsi="Arial"/>
          <w:i/>
          <w:iCs/>
          <w:color w:val="8A8A8A"/>
          <w:sz w:val="19"/>
          <w:szCs w:val="19"/>
        </w:rPr>
        <w:t xml:space="preserve">The short version: Impact.com is where a global brand runs a formal partner program. Influencer Intel is where an Indian brand finds the right creator for a specific campaign — faster, live, and deep in exactly the market Impact under-serves.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7. About to Build: The Influencer Portal</w:t>
      </w:r>
    </w:p>
    <w:p>
      <w:pPr>
        <w:spacing w:after="130" w:line="264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The next build opens the other side of the market.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Today the platform serves brands. Next, it opens to the creators themselves.</w:t>
      </w:r>
    </w:p>
    <w:p>
      <w:pPr>
        <w:spacing w:after="130" w:line="264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Creators log in — and see their future.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An influencer connects their account and the platform predicts how their next reel or post will perform before they publish it — expected reach, likes and engagement, based on their own history and what’s working in their niche right now.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D6E"/>
          <w:sz w:val="22"/>
          <w:szCs w:val="22"/>
        </w:rPr>
        <w:t xml:space="preserve">What a creator gets</w:t>
      </w:r>
    </w:p>
    <w:tbl>
      <w:tblPr>
        <w:tblW w:type="dxa" w:w="9026"/>
        <w:tblBorders>
          <w:top w:val="single" w:color="B8B8B8" w:sz="4"/>
          <w:left w:val="single" w:color="B8B8B8" w:sz="4"/>
          <w:bottom w:val="single" w:color="B8B8B8" w:sz="4"/>
          <w:right w:val="single" w:color="B8B8B8" w:sz="4"/>
          <w:insideH w:val="single" w:color="B8B8B8" w:sz="4"/>
          <w:insideV w:val="single" w:color="B8B8B8" w:sz="4"/>
        </w:tblBorders>
      </w:tblPr>
      <w:tblGrid>
        <w:gridCol w:w="2900"/>
        <w:gridCol w:w="6126"/>
      </w:tblGrid>
      <w:tr>
        <w:trPr>
          <w:tblHeader/>
        </w:trPr>
        <w:tc>
          <w:tcPr>
            <w:tcW w:type="dxa" w:w="2900"/>
            <w:shd w:fill="D5E8E3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2E7D6E"/>
                <w:sz w:val="20"/>
                <w:szCs w:val="20"/>
              </w:rPr>
              <w:t xml:space="preserve">Feature</w:t>
            </w:r>
          </w:p>
        </w:tc>
        <w:tc>
          <w:tcPr>
            <w:tcW w:type="dxa" w:w="6126"/>
            <w:shd w:fill="D5E8E3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2E7D6E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Performance prediction</w:t>
            </w:r>
          </w:p>
        </w:tc>
        <w:tc>
          <w:tcPr>
            <w:tcW w:type="dxa" w:w="6126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Forecast reach and engagement for a planned reel or post — so creators post what will land, not what they hope will.</w:t>
            </w:r>
          </w:p>
        </w:tc>
      </w:tr>
      <w:tr>
        <w:tc>
          <w:tcPr>
            <w:tcW w:type="dxa" w:w="2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Best-time &amp; format guidance</w:t>
            </w:r>
          </w:p>
        </w:tc>
        <w:tc>
          <w:tcPr>
            <w:tcW w:type="dxa" w:w="6126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When to post and which format (reel, carousel, static) is likely to perform for their specific audience.</w:t>
            </w:r>
          </w:p>
        </w:tc>
      </w:tr>
      <w:tr>
        <w:tc>
          <w:tcPr>
            <w:tcW w:type="dxa" w:w="2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Brand-fit signals</w:t>
            </w:r>
          </w:p>
        </w:tc>
        <w:tc>
          <w:tcPr>
            <w:tcW w:type="dxa" w:w="6126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Which brands and campaigns they’re a strong match for — feeding directly back into brand-side discovery.</w:t>
            </w:r>
          </w:p>
        </w:tc>
      </w:tr>
      <w:tr>
        <w:tc>
          <w:tcPr>
            <w:tcW w:type="dxa" w:w="2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Growth tracking</w:t>
            </w:r>
          </w:p>
        </w:tc>
        <w:tc>
          <w:tcPr>
            <w:tcW w:type="dxa" w:w="6126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 running view of what’s working, so creators see the effect of following the guidance.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pPr>
        <w:spacing w:after="130" w:line="264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Why this is the real unlock.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The moment creators log in for predictions, they hand us first-party performance data no scraper can get. That sharpens the brand-side predictions, pulls both sides of the market onto one platform, and turns a discovery tool into a two-sided network — the flywheel that compounds.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8. Where This Goes</w:t>
      </w:r>
    </w:p>
    <w:tbl>
      <w:tblPr>
        <w:tblW w:type="dxa" w:w="9026"/>
        <w:tblBorders>
          <w:top w:val="single" w:color="B8B8B8" w:sz="4"/>
          <w:left w:val="single" w:color="B8B8B8" w:sz="4"/>
          <w:bottom w:val="single" w:color="B8B8B8" w:sz="4"/>
          <w:right w:val="single" w:color="B8B8B8" w:sz="4"/>
          <w:insideH w:val="single" w:color="B8B8B8" w:sz="4"/>
          <w:insideV w:val="single" w:color="B8B8B8" w:sz="4"/>
        </w:tblBorders>
      </w:tblPr>
      <w:tblGrid>
        <w:gridCol w:w="2100"/>
        <w:gridCol w:w="6926"/>
      </w:tblGrid>
      <w:tr>
        <w:trPr>
          <w:tblHeader/>
        </w:trPr>
        <w:tc>
          <w:tcPr>
            <w:tcW w:type="dxa" w:w="2100"/>
            <w:shd w:fill="E9DCE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7A4A82"/>
                <w:sz w:val="20"/>
                <w:szCs w:val="20"/>
              </w:rPr>
              <w:t xml:space="preserve">Horizon</w:t>
            </w:r>
          </w:p>
        </w:tc>
        <w:tc>
          <w:tcPr>
            <w:tcW w:type="dxa" w:w="6926"/>
            <w:shd w:fill="E9DCE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7A4A82"/>
                <w:sz w:val="20"/>
                <w:szCs w:val="20"/>
              </w:rPr>
              <w:t xml:space="preserve">What it is</w:t>
            </w:r>
          </w:p>
        </w:tc>
      </w:tr>
      <w:tr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Today</w:t>
            </w:r>
          </w:p>
        </w:tc>
        <w:tc>
          <w:tcPr>
            <w:tcW w:type="dxa" w:w="6926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 working, India-first discovery engine brands can use now.</w:t>
            </w:r>
          </w:p>
        </w:tc>
      </w:tr>
      <w:tr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Next</w:t>
            </w:r>
          </w:p>
        </w:tc>
        <w:tc>
          <w:tcPr>
            <w:tcW w:type="dxa" w:w="6926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The creator portal with performance prediction — a two-sided network with a proprietary data flywheel.</w:t>
            </w:r>
          </w:p>
        </w:tc>
      </w:tr>
      <w:tr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The moat</w:t>
            </w:r>
          </w:p>
        </w:tc>
        <w:tc>
          <w:tcPr>
            <w:tcW w:type="dxa" w:w="6926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Every search and every creator login makes the data — and the predictions — better. That advantage compounds and is hard to copy.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  <w:spacing w:after="0" w:before="0"/>
    </w:pPr>
    <w:r>
      <w:rPr>
        <w:rFonts w:ascii="Arial" w:cs="Arial" w:eastAsia="Arial" w:hAnsi="Arial"/>
        <w:color w:val="8A8A8A"/>
        <w:sz w:val="16"/>
        <w:szCs w:val="16"/>
      </w:rPr>
      <w:t xml:space="preserve">Proprietary &amp; Confidential  ·  Influencer Intel  ·  Prepared for leadership &amp; investment review</w:t>
    </w:r>
    <w:r>
      <w:rPr>
        <w:rFonts w:ascii="Arial" w:cs="Arial" w:eastAsia="Arial" w:hAnsi="Arial"/>
        <w:color w:val="8A8A8A"/>
        <w:sz w:val="16"/>
        <w:szCs w:val="16"/>
      </w:rPr>
      <w:t xml:space="preserve">	Page </w:t>
    </w:r>
    <w:r>
      <w:rPr>
        <w:rFonts w:ascii="Arial" w:cs="Arial" w:eastAsia="Arial" w:hAnsi="Arial"/>
        <w:color w:val="8A8A8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Arial" w:cs="Arial" w:eastAsia="Arial" w:hAnsi="Arial"/>
        <w:color w:val="8A8A8A"/>
        <w:sz w:val="17"/>
        <w:szCs w:val="17"/>
      </w:rPr>
      <w:t xml:space="preserve">1 Aug 2026   ·   Influencer Intel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Influencer Intel — Leadership &amp; Investor Note</dc:title>
  <dc:creator>Influencer Intel</dc:creator>
  <cp:lastModifiedBy>Un-named</cp:lastModifiedBy>
  <cp:revision>1</cp:revision>
  <dcterms:created xsi:type="dcterms:W3CDTF">2026-08-01T18:40:10.648Z</dcterms:created>
  <dcterms:modified xsi:type="dcterms:W3CDTF">2026-08-01T18:40:10.653Z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