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Build19 DOCX body — healthy conflict requires direct conversation.</w:t>
      </w:r>
    </w:p>
    <w:p>
      <w:r>
        <w:t>Second paragraph — evidence must precede inference.</w:t>
      </w:r>
    </w:p>
    <w:tbl>
      <w:tr>
        <w:tc>
          <w:p>
            <w:r>
              <w:t>Owner</w:t>
            </w:r>
          </w:p>
        </w:tc>
        <w:tc>
          <w:p>
            <w:r>
              <w:t>Commitment</w:t>
            </w:r>
          </w:p>
        </w:tc>
      </w:tr>
      <w:tr>
        <w:tc>
          <w:p>
            <w:r>
              <w:t>Drew</w:t>
            </w:r>
          </w:p>
        </w:tc>
        <w:tc>
          <w:p>
            <w:r>
              <w:t>Bring agenda token CELL-ALPHA</w:t>
            </w:r>
          </w:p>
        </w:tc>
      </w:tr>
    </w:tbl>
    <w:sectPr/>
  </w:body>
</w:document>
</file>