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77" w:rsidRPr="00D24725" w:rsidRDefault="007C3777" w:rsidP="007C3777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rPr>
          <w:rFonts w:cstheme="minorHAnsi"/>
          <w:color w:val="000000"/>
          <w:sz w:val="24"/>
          <w:szCs w:val="24"/>
        </w:rPr>
      </w:pPr>
      <w:r w:rsidRPr="00D24725">
        <w:rPr>
          <w:rFonts w:cstheme="minorHAnsi"/>
          <w:color w:val="000000"/>
          <w:sz w:val="24"/>
          <w:szCs w:val="24"/>
        </w:rPr>
        <w:t>Národní referenční laboratoře:</w:t>
      </w:r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5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centrum pro průmyslové chemické látky a přípravky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6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centrum pro pesticidy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7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laboratoř pro analýzu toxických plynů v ovzduší na pracovištích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8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laboratoř pro biologické monitorování expozice chemickým látkám v pracovním prostředí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9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laboratoř pro prašnost a mikroklima v pracovním prostředí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10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laboratoř pro neionizující elektromagnetická pole a záření</w:t>
        </w:r>
      </w:hyperlink>
    </w:p>
    <w:p w:rsidR="007C3777" w:rsidRPr="00D24725" w:rsidRDefault="00CE1823" w:rsidP="007C3777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240" w:lineRule="auto"/>
        <w:ind w:left="709"/>
        <w:rPr>
          <w:rFonts w:cstheme="minorHAnsi"/>
          <w:color w:val="000000"/>
          <w:sz w:val="24"/>
          <w:szCs w:val="24"/>
        </w:rPr>
      </w:pPr>
      <w:hyperlink r:id="rId11" w:history="1">
        <w:r w:rsidR="007C3777" w:rsidRPr="00D24725">
          <w:rPr>
            <w:rStyle w:val="Hypertextovodkaz"/>
            <w:rFonts w:cstheme="minorHAnsi"/>
            <w:color w:val="000000"/>
            <w:sz w:val="24"/>
            <w:szCs w:val="24"/>
          </w:rPr>
          <w:t>Národní referenční pracoviště pro fyziologii a psychofyziologii práce</w:t>
        </w:r>
      </w:hyperlink>
    </w:p>
    <w:p w:rsidR="007C3777" w:rsidRPr="00D24725" w:rsidRDefault="007C3777" w:rsidP="007C3777">
      <w:pPr>
        <w:pStyle w:val="Normlnweb"/>
        <w:numPr>
          <w:ilvl w:val="0"/>
          <w:numId w:val="4"/>
        </w:numPr>
        <w:spacing w:before="240" w:after="240"/>
        <w:ind w:left="1134"/>
        <w:rPr>
          <w:rFonts w:asciiTheme="minorHAnsi" w:hAnsiTheme="minorHAnsi" w:cstheme="minorHAnsi"/>
          <w:color w:val="000000"/>
        </w:rPr>
      </w:pPr>
      <w:r w:rsidRPr="00D24725">
        <w:rPr>
          <w:rFonts w:asciiTheme="minorHAnsi" w:hAnsiTheme="minorHAnsi" w:cstheme="minorHAnsi"/>
          <w:b/>
          <w:color w:val="000000"/>
        </w:rPr>
        <w:t xml:space="preserve">konzultační, doporučující, </w:t>
      </w:r>
      <w:r w:rsidRPr="00D24725">
        <w:rPr>
          <w:rFonts w:asciiTheme="minorHAnsi" w:hAnsiTheme="minorHAnsi" w:cstheme="minorHAnsi"/>
          <w:color w:val="000000"/>
        </w:rPr>
        <w:t xml:space="preserve">posudková a </w:t>
      </w:r>
      <w:r w:rsidRPr="00D24725">
        <w:rPr>
          <w:rFonts w:asciiTheme="minorHAnsi" w:hAnsiTheme="minorHAnsi" w:cstheme="minorHAnsi"/>
          <w:b/>
          <w:color w:val="000000"/>
        </w:rPr>
        <w:t>vzdělávací činnost</w:t>
      </w:r>
    </w:p>
    <w:p w:rsidR="007C3777" w:rsidRPr="00D24725" w:rsidRDefault="007C3777" w:rsidP="007C3777">
      <w:pPr>
        <w:pStyle w:val="Normlnweb"/>
        <w:numPr>
          <w:ilvl w:val="0"/>
          <w:numId w:val="4"/>
        </w:numPr>
        <w:spacing w:before="240" w:after="240"/>
        <w:ind w:left="1134"/>
        <w:rPr>
          <w:rFonts w:asciiTheme="minorHAnsi" w:hAnsiTheme="minorHAnsi" w:cstheme="minorHAnsi"/>
          <w:color w:val="000000"/>
        </w:rPr>
      </w:pPr>
      <w:r w:rsidRPr="00D24725">
        <w:rPr>
          <w:rFonts w:asciiTheme="minorHAnsi" w:hAnsiTheme="minorHAnsi" w:cstheme="minorHAnsi"/>
          <w:color w:val="000000"/>
        </w:rPr>
        <w:t>provádění specializovaných fyziologických, psychologických a ergonomických měření a hodnocení</w:t>
      </w:r>
    </w:p>
    <w:p w:rsidR="007C3777" w:rsidRPr="00D24725" w:rsidRDefault="007C3777" w:rsidP="007C3777">
      <w:pPr>
        <w:pStyle w:val="Normlnweb"/>
        <w:numPr>
          <w:ilvl w:val="0"/>
          <w:numId w:val="4"/>
        </w:numPr>
        <w:spacing w:before="240" w:after="240"/>
        <w:ind w:left="1134"/>
        <w:rPr>
          <w:rFonts w:asciiTheme="minorHAnsi" w:hAnsiTheme="minorHAnsi" w:cstheme="minorHAnsi"/>
          <w:color w:val="000000"/>
        </w:rPr>
      </w:pPr>
      <w:r w:rsidRPr="00D24725">
        <w:rPr>
          <w:rFonts w:asciiTheme="minorHAnsi" w:hAnsiTheme="minorHAnsi" w:cstheme="minorHAnsi"/>
          <w:color w:val="000000"/>
        </w:rPr>
        <w:t>legislativní činnost, účast na tvorbě národních předpisů, vypracování metodických pokynů v oblasti fyziologie a psychologie práce</w:t>
      </w:r>
    </w:p>
    <w:p w:rsidR="007C3777" w:rsidRPr="00D24725" w:rsidRDefault="007C3777" w:rsidP="007C3777">
      <w:pPr>
        <w:pStyle w:val="Normlnweb"/>
        <w:numPr>
          <w:ilvl w:val="0"/>
          <w:numId w:val="4"/>
        </w:numPr>
        <w:spacing w:before="240" w:after="240"/>
        <w:ind w:left="1134"/>
        <w:rPr>
          <w:rFonts w:asciiTheme="minorHAnsi" w:hAnsiTheme="minorHAnsi" w:cstheme="minorHAnsi"/>
          <w:color w:val="000000"/>
        </w:rPr>
      </w:pPr>
      <w:r w:rsidRPr="00D24725">
        <w:rPr>
          <w:rFonts w:asciiTheme="minorHAnsi" w:hAnsiTheme="minorHAnsi" w:cstheme="minorHAnsi"/>
          <w:color w:val="000000"/>
        </w:rPr>
        <w:t>spolupráce na autorizaci v oblastech fyziologie práce, psychologie práce a ergonomie</w:t>
      </w:r>
    </w:p>
    <w:p w:rsidR="007C3777" w:rsidRPr="00D24725" w:rsidRDefault="007C3777" w:rsidP="007C3777">
      <w:pPr>
        <w:pStyle w:val="Normlnweb"/>
        <w:numPr>
          <w:ilvl w:val="0"/>
          <w:numId w:val="4"/>
        </w:numPr>
        <w:spacing w:before="240" w:after="240"/>
        <w:ind w:left="1134"/>
        <w:rPr>
          <w:rFonts w:asciiTheme="minorHAnsi" w:hAnsiTheme="minorHAnsi" w:cstheme="minorHAnsi"/>
          <w:color w:val="000000"/>
        </w:rPr>
      </w:pPr>
      <w:r w:rsidRPr="00D24725">
        <w:rPr>
          <w:rFonts w:asciiTheme="minorHAnsi" w:hAnsiTheme="minorHAnsi" w:cstheme="minorHAnsi"/>
          <w:color w:val="000000"/>
        </w:rPr>
        <w:t>vypracování znaleckých posudků v rámci odvolacích řízení při posuzování nemocí z povolání.</w:t>
      </w:r>
    </w:p>
    <w:p w:rsidR="007C3777" w:rsidRPr="00D24725" w:rsidRDefault="007C3777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</w:p>
    <w:p w:rsidR="007C3777" w:rsidRPr="00D24725" w:rsidRDefault="007C3777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KANCELÁŘ ERGONOMIE PRÁCE</w:t>
      </w:r>
    </w:p>
    <w:p w:rsidR="007C3777" w:rsidRPr="00D24725" w:rsidRDefault="007C3777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proofErr w:type="spellStart"/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Kratký</w:t>
      </w:r>
      <w:proofErr w:type="spellEnd"/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obsach</w:t>
      </w:r>
      <w:proofErr w:type="spellEnd"/>
    </w:p>
    <w:p w:rsidR="007C3777" w:rsidRPr="00D24725" w:rsidRDefault="007C3777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1. O Kanceláři ergonomie práce</w:t>
      </w:r>
    </w:p>
    <w:p w:rsidR="007C3777" w:rsidRPr="00D24725" w:rsidRDefault="007C3777" w:rsidP="007C377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Kancelář ergonomie práce se zaměřuje na výzkum, zavádění a šíření řešení, která snižují fyzickou zátěž zaměstnanců, předcházejí úrazům a podporují zdravé pracovní prostředí. Spojujeme vědu, medicínu a techniku pro lepší pracovní podmínky.</w:t>
      </w:r>
    </w:p>
    <w:p w:rsidR="007C3777" w:rsidRPr="00D24725" w:rsidRDefault="007C3777" w:rsidP="007C3777">
      <w:pPr>
        <w:spacing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2. Služby</w:t>
      </w:r>
    </w:p>
    <w:p w:rsidR="007C3777" w:rsidRPr="00D24725" w:rsidRDefault="007C3777" w:rsidP="00C800BB">
      <w:pPr>
        <w:numPr>
          <w:ilvl w:val="0"/>
          <w:numId w:val="1"/>
        </w:numPr>
        <w:spacing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Analýza fyzických pracovních činností</w:t>
      </w:r>
    </w:p>
    <w:p w:rsidR="007C3777" w:rsidRPr="00D24725" w:rsidRDefault="000308FD" w:rsidP="00C800BB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D</w:t>
      </w:r>
      <w:r w:rsidR="007C3777" w:rsidRPr="00D24725">
        <w:rPr>
          <w:rFonts w:eastAsia="Times New Roman" w:cstheme="minorHAnsi"/>
          <w:sz w:val="24"/>
          <w:szCs w:val="24"/>
          <w:lang w:eastAsia="cs-CZ"/>
        </w:rPr>
        <w:t>oporučení pro uspořádání pracoviště</w:t>
      </w:r>
    </w:p>
    <w:p w:rsidR="007C3777" w:rsidRPr="00D24725" w:rsidRDefault="007C3777" w:rsidP="00C800BB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Prevence poruch pohybového aparátu</w:t>
      </w:r>
    </w:p>
    <w:p w:rsidR="007C3777" w:rsidRPr="00D24725" w:rsidRDefault="000308FD" w:rsidP="00C800BB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S</w:t>
      </w:r>
      <w:r w:rsidR="007C3777" w:rsidRPr="00D24725">
        <w:rPr>
          <w:rFonts w:eastAsia="Times New Roman" w:cstheme="minorHAnsi"/>
          <w:sz w:val="24"/>
          <w:szCs w:val="24"/>
          <w:lang w:eastAsia="cs-CZ"/>
        </w:rPr>
        <w:t>právné techniky pohybu a manipulace s břemeny</w:t>
      </w:r>
    </w:p>
    <w:p w:rsidR="007C3777" w:rsidRPr="00D24725" w:rsidRDefault="007C3777" w:rsidP="00C800BB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Zavádění ergonomických pomůcek a nástrojů</w:t>
      </w:r>
    </w:p>
    <w:p w:rsidR="007C3777" w:rsidRPr="00D24725" w:rsidRDefault="007C3777" w:rsidP="00C800BB">
      <w:pPr>
        <w:numPr>
          <w:ilvl w:val="0"/>
          <w:numId w:val="1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Audit pracoviště z hlediska ergonomie</w:t>
      </w:r>
    </w:p>
    <w:p w:rsidR="000308FD" w:rsidRPr="00D24725" w:rsidRDefault="007C3777" w:rsidP="000308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3.</w:t>
      </w:r>
      <w:r w:rsidR="000308FD" w:rsidRPr="00D24725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Materiály a zdroje</w:t>
      </w:r>
    </w:p>
    <w:p w:rsidR="000308FD" w:rsidRPr="00D24725" w:rsidRDefault="000308FD" w:rsidP="000308F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Praktické návody, kontrolní seznamy, videa se správnou technikou pohybu a další užitečné materiály ke stažení pro zlepšení ergonomie na vašem pracovišti.</w:t>
      </w:r>
    </w:p>
    <w:p w:rsidR="000308FD" w:rsidRPr="00D24725" w:rsidRDefault="000308FD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Kontrolní seznamy pro hodnocení ergonomie pracoviště. 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Check</w:t>
      </w:r>
      <w:proofErr w:type="spellEnd"/>
      <w:r w:rsidRPr="00D24725">
        <w:rPr>
          <w:rFonts w:eastAsia="Times New Roman" w:cstheme="minorHAnsi"/>
          <w:sz w:val="24"/>
          <w:szCs w:val="24"/>
          <w:lang w:eastAsia="cs-CZ"/>
        </w:rPr>
        <w:t>-list pro fyzicky náročné profese (skladníci, výroba, logistika)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tabs>
          <w:tab w:val="clear" w:pos="2160"/>
          <w:tab w:val="num" w:pos="1843"/>
        </w:tabs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lastRenderedPageBreak/>
        <w:t xml:space="preserve">Hodnocení pracovního místa vsedě 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Hodnocení pracovního místa vstoje</w:t>
      </w:r>
    </w:p>
    <w:p w:rsidR="004378FB" w:rsidRPr="00D24725" w:rsidRDefault="004378FB" w:rsidP="004378FB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Hodnocení pracovního místa vsedě </w:t>
      </w:r>
      <w:r w:rsidRPr="00D24725">
        <w:rPr>
          <w:rFonts w:eastAsia="Times New Roman" w:cstheme="minorHAnsi"/>
          <w:sz w:val="24"/>
          <w:szCs w:val="24"/>
          <w:lang w:val="en-GB" w:eastAsia="cs-CZ"/>
        </w:rPr>
        <w:t xml:space="preserve">/ </w:t>
      </w:r>
      <w:r w:rsidRPr="00D24725">
        <w:rPr>
          <w:rFonts w:eastAsia="Times New Roman" w:cstheme="minorHAnsi"/>
          <w:sz w:val="24"/>
          <w:szCs w:val="24"/>
          <w:lang w:eastAsia="cs-CZ"/>
        </w:rPr>
        <w:t>vstoje</w:t>
      </w:r>
    </w:p>
    <w:p w:rsidR="00506BEB" w:rsidRPr="00D24725" w:rsidRDefault="00506BEB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Nemoci z povolání</w:t>
      </w:r>
    </w:p>
    <w:p w:rsidR="00506BEB" w:rsidRPr="00D24725" w:rsidRDefault="00D24725" w:rsidP="00506BEB">
      <w:pPr>
        <w:pStyle w:val="Odstavecseseznamem"/>
        <w:numPr>
          <w:ilvl w:val="0"/>
          <w:numId w:val="7"/>
        </w:numPr>
        <w:tabs>
          <w:tab w:val="clear" w:pos="720"/>
          <w:tab w:val="num" w:pos="2268"/>
        </w:tabs>
        <w:spacing w:beforeAutospacing="1" w:after="100" w:afterAutospacing="1" w:line="240" w:lineRule="auto"/>
        <w:ind w:left="2268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Style w:val="Siln"/>
          <w:rFonts w:cstheme="minorHAnsi"/>
          <w:b w:val="0"/>
          <w:sz w:val="24"/>
          <w:szCs w:val="24"/>
        </w:rPr>
        <w:t>Nebezpečí</w:t>
      </w:r>
      <w:r w:rsidRPr="00D24725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="00506BEB" w:rsidRPr="00D24725">
        <w:rPr>
          <w:rFonts w:cstheme="minorHAnsi"/>
          <w:sz w:val="24"/>
          <w:szCs w:val="24"/>
        </w:rPr>
        <w:t>uskuloskeletální</w:t>
      </w:r>
      <w:r>
        <w:rPr>
          <w:rFonts w:cstheme="minorHAnsi"/>
          <w:sz w:val="24"/>
          <w:szCs w:val="24"/>
        </w:rPr>
        <w:t>ch</w:t>
      </w:r>
      <w:proofErr w:type="spellEnd"/>
      <w:r w:rsidR="00506BEB" w:rsidRPr="00D24725">
        <w:rPr>
          <w:rFonts w:cstheme="minorHAnsi"/>
          <w:sz w:val="24"/>
          <w:szCs w:val="24"/>
        </w:rPr>
        <w:t xml:space="preserve"> poruch</w:t>
      </w:r>
    </w:p>
    <w:p w:rsidR="00506BEB" w:rsidRPr="00D24725" w:rsidRDefault="00506BEB" w:rsidP="00506BEB">
      <w:pPr>
        <w:pStyle w:val="Odstavecseseznamem"/>
        <w:numPr>
          <w:ilvl w:val="0"/>
          <w:numId w:val="7"/>
        </w:numPr>
        <w:tabs>
          <w:tab w:val="clear" w:pos="720"/>
          <w:tab w:val="num" w:pos="2268"/>
        </w:tabs>
        <w:spacing w:beforeAutospacing="1" w:after="100" w:afterAutospacing="1" w:line="240" w:lineRule="auto"/>
        <w:ind w:left="2268"/>
        <w:rPr>
          <w:rStyle w:val="Siln"/>
          <w:rFonts w:eastAsia="Times New Roman" w:cstheme="minorHAnsi"/>
          <w:b w:val="0"/>
          <w:bCs w:val="0"/>
          <w:sz w:val="24"/>
          <w:szCs w:val="24"/>
          <w:lang w:eastAsia="cs-CZ"/>
        </w:rPr>
      </w:pPr>
      <w:r w:rsidRPr="00D24725">
        <w:rPr>
          <w:rStyle w:val="Siln"/>
          <w:rFonts w:cstheme="minorHAnsi"/>
          <w:b w:val="0"/>
          <w:sz w:val="24"/>
          <w:szCs w:val="24"/>
        </w:rPr>
        <w:t>Nebezpečí viditelnosti</w:t>
      </w:r>
    </w:p>
    <w:p w:rsidR="00506BEB" w:rsidRPr="00801A15" w:rsidRDefault="00506BEB" w:rsidP="00506BEB">
      <w:pPr>
        <w:pStyle w:val="Odstavecseseznamem"/>
        <w:numPr>
          <w:ilvl w:val="0"/>
          <w:numId w:val="7"/>
        </w:numPr>
        <w:tabs>
          <w:tab w:val="clear" w:pos="720"/>
          <w:tab w:val="num" w:pos="2268"/>
        </w:tabs>
        <w:spacing w:beforeAutospacing="1" w:after="100" w:afterAutospacing="1" w:line="240" w:lineRule="auto"/>
        <w:ind w:left="2268"/>
        <w:rPr>
          <w:rStyle w:val="Siln"/>
          <w:rFonts w:eastAsia="Times New Roman" w:cstheme="minorHAnsi"/>
          <w:b w:val="0"/>
          <w:bCs w:val="0"/>
          <w:sz w:val="24"/>
          <w:szCs w:val="24"/>
          <w:lang w:eastAsia="cs-CZ"/>
        </w:rPr>
      </w:pPr>
      <w:r w:rsidRPr="00D24725">
        <w:rPr>
          <w:rStyle w:val="Siln"/>
          <w:rFonts w:cstheme="minorHAnsi"/>
          <w:b w:val="0"/>
          <w:sz w:val="24"/>
          <w:szCs w:val="24"/>
        </w:rPr>
        <w:t>Nebezpečí pádu</w:t>
      </w:r>
    </w:p>
    <w:p w:rsidR="00801A15" w:rsidRPr="00801A15" w:rsidRDefault="00801A15" w:rsidP="00506BEB">
      <w:pPr>
        <w:pStyle w:val="Odstavecseseznamem"/>
        <w:numPr>
          <w:ilvl w:val="0"/>
          <w:numId w:val="7"/>
        </w:numPr>
        <w:tabs>
          <w:tab w:val="clear" w:pos="720"/>
          <w:tab w:val="num" w:pos="2268"/>
        </w:tabs>
        <w:spacing w:beforeAutospacing="1" w:after="100" w:afterAutospacing="1" w:line="240" w:lineRule="auto"/>
        <w:ind w:left="2268"/>
        <w:rPr>
          <w:rStyle w:val="Siln"/>
          <w:rFonts w:eastAsia="Times New Roman" w:cstheme="minorHAnsi"/>
          <w:bCs w:val="0"/>
          <w:sz w:val="24"/>
          <w:szCs w:val="24"/>
          <w:lang w:eastAsia="cs-CZ"/>
        </w:rPr>
      </w:pPr>
      <w:r w:rsidRPr="00801A15">
        <w:t>Oční nepohodlí v kanceláři</w:t>
      </w:r>
    </w:p>
    <w:p w:rsidR="00506BEB" w:rsidRPr="00D24725" w:rsidRDefault="00506BEB" w:rsidP="00506BEB">
      <w:pPr>
        <w:pStyle w:val="Odstavecseseznamem"/>
        <w:numPr>
          <w:ilvl w:val="0"/>
          <w:numId w:val="7"/>
        </w:numPr>
        <w:tabs>
          <w:tab w:val="clear" w:pos="720"/>
          <w:tab w:val="num" w:pos="2268"/>
        </w:tabs>
        <w:ind w:left="2268"/>
        <w:rPr>
          <w:rFonts w:cstheme="minorHAnsi"/>
          <w:sz w:val="24"/>
          <w:szCs w:val="24"/>
        </w:rPr>
      </w:pPr>
      <w:r w:rsidRPr="00D24725">
        <w:rPr>
          <w:rFonts w:cstheme="minorHAnsi"/>
          <w:sz w:val="24"/>
          <w:szCs w:val="24"/>
        </w:rPr>
        <w:t>Duševní zdraví při práci</w:t>
      </w:r>
    </w:p>
    <w:p w:rsidR="008D036C" w:rsidRPr="008D036C" w:rsidRDefault="008D036C" w:rsidP="008D036C">
      <w:pPr>
        <w:pStyle w:val="Odstavecseseznamem"/>
        <w:numPr>
          <w:ilvl w:val="0"/>
          <w:numId w:val="10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D036C">
        <w:rPr>
          <w:rFonts w:cstheme="minorHAnsi"/>
          <w:sz w:val="24"/>
          <w:szCs w:val="24"/>
        </w:rPr>
        <w:t>Účinky směnné práce a prodlouženého pracovního režimu</w:t>
      </w:r>
    </w:p>
    <w:p w:rsidR="00D24725" w:rsidRPr="00D24725" w:rsidRDefault="00D24725" w:rsidP="008D036C">
      <w:pPr>
        <w:pStyle w:val="Odstavecseseznamem"/>
        <w:numPr>
          <w:ilvl w:val="0"/>
          <w:numId w:val="8"/>
        </w:numPr>
        <w:tabs>
          <w:tab w:val="clear" w:pos="720"/>
        </w:tabs>
        <w:spacing w:beforeAutospacing="1" w:after="100" w:afterAutospacing="1" w:line="240" w:lineRule="auto"/>
        <w:ind w:left="2268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Prodloužený pracovní den</w:t>
      </w:r>
    </w:p>
    <w:p w:rsidR="00D24725" w:rsidRPr="00D24725" w:rsidRDefault="00D24725" w:rsidP="00D24725">
      <w:pPr>
        <w:pStyle w:val="Odstavecseseznamem"/>
        <w:numPr>
          <w:ilvl w:val="0"/>
          <w:numId w:val="9"/>
        </w:numPr>
        <w:tabs>
          <w:tab w:val="clear" w:pos="720"/>
        </w:tabs>
        <w:spacing w:beforeAutospacing="1" w:after="100" w:afterAutospacing="1" w:line="240" w:lineRule="auto"/>
        <w:ind w:left="2268"/>
        <w:rPr>
          <w:rStyle w:val="Siln"/>
          <w:rFonts w:eastAsia="Times New Roman" w:cstheme="minorHAnsi"/>
          <w:b w:val="0"/>
          <w:bCs w:val="0"/>
          <w:sz w:val="24"/>
          <w:szCs w:val="24"/>
          <w:lang w:eastAsia="cs-CZ"/>
        </w:rPr>
      </w:pPr>
      <w:r w:rsidRPr="00D24725">
        <w:rPr>
          <w:rStyle w:val="Siln"/>
          <w:rFonts w:cstheme="minorHAnsi"/>
          <w:b w:val="0"/>
          <w:sz w:val="24"/>
          <w:szCs w:val="24"/>
        </w:rPr>
        <w:t>Práce na směny</w:t>
      </w:r>
    </w:p>
    <w:p w:rsidR="000308FD" w:rsidRPr="00D24725" w:rsidRDefault="000308FD" w:rsidP="00A54AEB">
      <w:pPr>
        <w:pStyle w:val="Odstavecseseznamem"/>
        <w:numPr>
          <w:ilvl w:val="0"/>
          <w:numId w:val="6"/>
        </w:numPr>
        <w:tabs>
          <w:tab w:val="clear" w:pos="720"/>
        </w:tabs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Praktické návody a příručky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Jak správně zvedat, nosit a manipulovat s břemeny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Zásady ergonomického uspořádání pracovního prostoru</w:t>
      </w:r>
    </w:p>
    <w:p w:rsidR="000308FD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Tipy na každodenní úlevové cvičení během práce</w:t>
      </w:r>
    </w:p>
    <w:p w:rsidR="00A9471A" w:rsidRDefault="00A9471A" w:rsidP="00A9471A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Z</w:t>
      </w:r>
      <w:r w:rsidRPr="00A9471A">
        <w:rPr>
          <w:rFonts w:eastAsia="Times New Roman" w:cstheme="minorHAnsi"/>
          <w:sz w:val="24"/>
          <w:szCs w:val="24"/>
          <w:lang w:eastAsia="cs-CZ"/>
        </w:rPr>
        <w:t>vládání chronických onemocnění, prevence rizika vzniku postižení</w:t>
      </w:r>
    </w:p>
    <w:p w:rsidR="006D3B33" w:rsidRPr="00D24725" w:rsidRDefault="006D3B33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Ergonomické návodky z roku 2024:</w:t>
      </w:r>
    </w:p>
    <w:p w:rsidR="006D3B33" w:rsidRPr="00D24725" w:rsidRDefault="006D3B33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Ergonomické návodky – návod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6D3B33" w:rsidRPr="00D24725" w:rsidRDefault="006D3B33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Směrnice – šablona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6D3B33" w:rsidRPr="00D24725" w:rsidRDefault="006D3B33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Ergonomické návodky – prezentace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0308FD" w:rsidRDefault="006D3B33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Ukázka ergonomických pokynů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0308FD" w:rsidRPr="00D24725" w:rsidRDefault="000308FD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Infografiky</w:t>
      </w:r>
      <w:proofErr w:type="spellEnd"/>
      <w:r w:rsidRPr="00D24725">
        <w:rPr>
          <w:rFonts w:eastAsia="Times New Roman" w:cstheme="minorHAnsi"/>
          <w:sz w:val="24"/>
          <w:szCs w:val="24"/>
          <w:lang w:eastAsia="cs-CZ"/>
        </w:rPr>
        <w:t xml:space="preserve"> a plakáty ke stažení</w:t>
      </w:r>
    </w:p>
    <w:p w:rsidR="000308FD" w:rsidRPr="00D24725" w:rsidRDefault="002C47EF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Ulehči si práci vstoje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2C47EF" w:rsidRPr="00D24725" w:rsidRDefault="002C47EF" w:rsidP="002C47EF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Buď aktivní i při práci vsedě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0308FD" w:rsidRPr="00D24725" w:rsidRDefault="002C47EF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Usnadni si práci u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počitače</w:t>
      </w:r>
      <w:proofErr w:type="spellEnd"/>
      <w:r w:rsidRPr="00D24725"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</w:p>
    <w:p w:rsidR="002C47EF" w:rsidRPr="00D24725" w:rsidRDefault="002C47EF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 xml:space="preserve">Chraň si záda při manipulaci s břemeny – </w:t>
      </w:r>
      <w:proofErr w:type="spellStart"/>
      <w:r w:rsidRPr="00D24725">
        <w:rPr>
          <w:rFonts w:eastAsia="Times New Roman" w:cstheme="minorHAnsi"/>
          <w:sz w:val="24"/>
          <w:szCs w:val="24"/>
          <w:lang w:eastAsia="cs-CZ"/>
        </w:rPr>
        <w:t>pdf</w:t>
      </w:r>
      <w:proofErr w:type="spellEnd"/>
      <w:r w:rsidRPr="00D24725">
        <w:rPr>
          <w:rFonts w:eastAsia="Times New Roman" w:cstheme="minorHAnsi"/>
          <w:sz w:val="24"/>
          <w:szCs w:val="24"/>
          <w:lang w:eastAsia="cs-CZ"/>
        </w:rPr>
        <w:t xml:space="preserve"> </w:t>
      </w:r>
    </w:p>
    <w:p w:rsidR="000308FD" w:rsidRPr="00D24725" w:rsidRDefault="000308FD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Vědecké články a odborné publikace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Přehled aktuálních výzkumů v oblasti fyzické ergonomie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Doporučené postupy dle mezinárodních norem (např. ISO, EN)</w:t>
      </w:r>
    </w:p>
    <w:p w:rsidR="004378FB" w:rsidRPr="00D24725" w:rsidRDefault="00CE1823" w:rsidP="00C800BB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Digitalizace a u</w:t>
      </w:r>
      <w:r w:rsidR="00C800BB" w:rsidRPr="00C800BB">
        <w:rPr>
          <w:rFonts w:eastAsia="Times New Roman" w:cstheme="minorHAnsi"/>
          <w:sz w:val="24"/>
          <w:szCs w:val="24"/>
          <w:lang w:eastAsia="cs-CZ"/>
        </w:rPr>
        <w:t xml:space="preserve">mělá inteligence pro ochranu zdraví při </w:t>
      </w:r>
      <w:bookmarkStart w:id="0" w:name="_GoBack"/>
      <w:r w:rsidR="00C800BB" w:rsidRPr="00C800BB">
        <w:rPr>
          <w:rFonts w:eastAsia="Times New Roman" w:cstheme="minorHAnsi"/>
          <w:sz w:val="24"/>
          <w:szCs w:val="24"/>
          <w:lang w:eastAsia="cs-CZ"/>
        </w:rPr>
        <w:t>práci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O</w:t>
      </w:r>
      <w:bookmarkEnd w:id="0"/>
      <w:r w:rsidRPr="00D24725">
        <w:rPr>
          <w:rFonts w:eastAsia="Times New Roman" w:cstheme="minorHAnsi"/>
          <w:sz w:val="24"/>
          <w:szCs w:val="24"/>
          <w:lang w:eastAsia="cs-CZ"/>
        </w:rPr>
        <w:t>dkazy na spolupracující odborné platformy a portály</w:t>
      </w:r>
    </w:p>
    <w:p w:rsidR="000308FD" w:rsidRPr="00D24725" w:rsidRDefault="000308FD" w:rsidP="006D3B33">
      <w:pPr>
        <w:pStyle w:val="Odstavecseseznamem"/>
        <w:numPr>
          <w:ilvl w:val="0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Nejčastější dotazy (FAQ)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Co je fyzická ergonomie a komu může pomoci?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Kdy je potřeba provést audit ergonomie?</w:t>
      </w:r>
    </w:p>
    <w:p w:rsidR="000308FD" w:rsidRPr="00D24725" w:rsidRDefault="000308FD" w:rsidP="006D3B33">
      <w:pPr>
        <w:pStyle w:val="Odstavecseseznamem"/>
        <w:numPr>
          <w:ilvl w:val="2"/>
          <w:numId w:val="6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Co může zaměstnavatel dělat pro prevenci zranění?</w:t>
      </w:r>
    </w:p>
    <w:p w:rsidR="007C3777" w:rsidRPr="00D24725" w:rsidRDefault="000308FD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4</w:t>
      </w:r>
      <w:r w:rsidR="007C3777" w:rsidRPr="00D24725">
        <w:rPr>
          <w:rFonts w:eastAsia="Times New Roman" w:cstheme="minorHAnsi"/>
          <w:b/>
          <w:bCs/>
          <w:sz w:val="24"/>
          <w:szCs w:val="24"/>
          <w:lang w:eastAsia="cs-CZ"/>
        </w:rPr>
        <w:t>. Partneři a spolupráce</w:t>
      </w:r>
    </w:p>
    <w:p w:rsidR="007C3777" w:rsidRPr="00D24725" w:rsidRDefault="007C3777" w:rsidP="007C377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Jsme otevření spolupráci s firmami, zdravotnickými zařízeními, univerzitami a výzkumnými centry, které sdílejí naše hodnoty – zdraví, bezpečnost a udržitelný rozvoj pracovního prostředí.</w:t>
      </w:r>
    </w:p>
    <w:p w:rsidR="000308FD" w:rsidRPr="00D24725" w:rsidRDefault="000308FD" w:rsidP="000308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5. Projekty a případové studie</w:t>
      </w:r>
    </w:p>
    <w:p w:rsidR="000308FD" w:rsidRPr="00D24725" w:rsidRDefault="000308FD" w:rsidP="000308F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lastRenderedPageBreak/>
        <w:t>Spolupracujeme s firmami různých odvětví na snižování výskytu bolestí zad, únavy a pracovních úrazů. Podívejte se na příklady zlepšení pracovního prostředí, která přinesla výsledky pro zdraví i výkonnost zaměstnanců.</w:t>
      </w:r>
    </w:p>
    <w:p w:rsidR="007C3777" w:rsidRPr="00D24725" w:rsidRDefault="000308FD" w:rsidP="007C37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D24725">
        <w:rPr>
          <w:rFonts w:eastAsia="Times New Roman" w:cstheme="minorHAnsi"/>
          <w:b/>
          <w:bCs/>
          <w:sz w:val="24"/>
          <w:szCs w:val="24"/>
          <w:lang w:eastAsia="cs-CZ"/>
        </w:rPr>
        <w:t>6</w:t>
      </w:r>
      <w:r w:rsidR="007C3777" w:rsidRPr="00D24725">
        <w:rPr>
          <w:rFonts w:eastAsia="Times New Roman" w:cstheme="minorHAnsi"/>
          <w:b/>
          <w:bCs/>
          <w:sz w:val="24"/>
          <w:szCs w:val="24"/>
          <w:lang w:eastAsia="cs-CZ"/>
        </w:rPr>
        <w:t>. Novinky a akce</w:t>
      </w:r>
    </w:p>
    <w:p w:rsidR="007C3777" w:rsidRPr="00D24725" w:rsidRDefault="007C3777" w:rsidP="007C377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D24725">
        <w:rPr>
          <w:rFonts w:eastAsia="Times New Roman" w:cstheme="minorHAnsi"/>
          <w:sz w:val="24"/>
          <w:szCs w:val="24"/>
          <w:lang w:eastAsia="cs-CZ"/>
        </w:rPr>
        <w:t>Aktuální informace o školeních, seminářích, publikacích a dalších událostech týkajících se fyzické ergonomie a zdraví při práci.</w:t>
      </w:r>
    </w:p>
    <w:p w:rsidR="006D3B33" w:rsidRPr="00D24725" w:rsidRDefault="006D3B33" w:rsidP="006D3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D24725">
        <w:rPr>
          <w:rFonts w:eastAsia="Times New Roman" w:cstheme="minorHAnsi"/>
          <w:color w:val="000000"/>
          <w:sz w:val="24"/>
          <w:szCs w:val="24"/>
          <w:lang w:eastAsia="cs-CZ"/>
        </w:rPr>
        <w:t>20. 4. 2023 </w:t>
      </w:r>
      <w:hyperlink r:id="rId12" w:history="1">
        <w:r w:rsidRPr="00D24725">
          <w:rPr>
            <w:rFonts w:eastAsia="Times New Roman" w:cstheme="minorHAnsi"/>
            <w:color w:val="000000"/>
            <w:sz w:val="24"/>
            <w:szCs w:val="24"/>
            <w:u w:val="single"/>
            <w:lang w:eastAsia="cs-CZ"/>
          </w:rPr>
          <w:t>93. konzultační den oddělení pracovního lékařství</w:t>
        </w:r>
      </w:hyperlink>
    </w:p>
    <w:p w:rsidR="006D3B33" w:rsidRPr="00D24725" w:rsidRDefault="006D3B33" w:rsidP="006D3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D24725">
        <w:rPr>
          <w:rFonts w:eastAsia="Times New Roman" w:cstheme="minorHAnsi"/>
          <w:color w:val="000000"/>
          <w:sz w:val="24"/>
          <w:szCs w:val="24"/>
          <w:lang w:eastAsia="cs-CZ"/>
        </w:rPr>
        <w:t>27. 03. 2024 </w:t>
      </w:r>
      <w:hyperlink r:id="rId13" w:history="1">
        <w:r w:rsidRPr="00D24725">
          <w:rPr>
            <w:rFonts w:eastAsia="Times New Roman" w:cstheme="minorHAnsi"/>
            <w:color w:val="000000"/>
            <w:sz w:val="24"/>
            <w:szCs w:val="24"/>
            <w:u w:val="single"/>
            <w:lang w:eastAsia="cs-CZ"/>
          </w:rPr>
          <w:t>98. konzultační den Centra hygieny práce a pracovního lékařství</w:t>
        </w:r>
      </w:hyperlink>
    </w:p>
    <w:p w:rsidR="006D3B33" w:rsidRPr="00D24725" w:rsidRDefault="006D3B33" w:rsidP="006D3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cs-CZ"/>
        </w:rPr>
      </w:pPr>
      <w:r w:rsidRPr="00D24725">
        <w:rPr>
          <w:rFonts w:eastAsia="Times New Roman" w:cstheme="minorHAnsi"/>
          <w:color w:val="000000"/>
          <w:sz w:val="24"/>
          <w:szCs w:val="24"/>
          <w:lang w:eastAsia="cs-CZ"/>
        </w:rPr>
        <w:t>12. 06. 2024 </w:t>
      </w:r>
      <w:hyperlink r:id="rId14" w:history="1">
        <w:r w:rsidRPr="00D24725">
          <w:rPr>
            <w:rFonts w:eastAsia="Times New Roman" w:cstheme="minorHAnsi"/>
            <w:color w:val="000000"/>
            <w:sz w:val="24"/>
            <w:szCs w:val="24"/>
            <w:u w:val="single"/>
            <w:lang w:eastAsia="cs-CZ"/>
          </w:rPr>
          <w:t>46. Benův den fyziologie a psychofyziologie práce</w:t>
        </w:r>
      </w:hyperlink>
    </w:p>
    <w:p w:rsidR="006D3B33" w:rsidRPr="00D24725" w:rsidRDefault="006D3B33" w:rsidP="007C3777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F01769" w:rsidRPr="00D24725" w:rsidRDefault="00CE1823">
      <w:pPr>
        <w:rPr>
          <w:rFonts w:cstheme="minorHAnsi"/>
          <w:sz w:val="24"/>
          <w:szCs w:val="24"/>
        </w:rPr>
      </w:pPr>
    </w:p>
    <w:sectPr w:rsidR="00F01769" w:rsidRPr="00D24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095C"/>
    <w:multiLevelType w:val="multilevel"/>
    <w:tmpl w:val="83E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7366"/>
    <w:multiLevelType w:val="multilevel"/>
    <w:tmpl w:val="B3A415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552"/>
    <w:multiLevelType w:val="multilevel"/>
    <w:tmpl w:val="98B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130F"/>
    <w:multiLevelType w:val="hybridMultilevel"/>
    <w:tmpl w:val="BEC408A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4408"/>
    <w:multiLevelType w:val="multilevel"/>
    <w:tmpl w:val="7E9455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71C0"/>
    <w:multiLevelType w:val="multilevel"/>
    <w:tmpl w:val="E47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B6D32"/>
    <w:multiLevelType w:val="hybridMultilevel"/>
    <w:tmpl w:val="B5F2788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4629"/>
    <w:multiLevelType w:val="multilevel"/>
    <w:tmpl w:val="A8BA6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22ABC"/>
    <w:multiLevelType w:val="multilevel"/>
    <w:tmpl w:val="37A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04896"/>
    <w:multiLevelType w:val="multilevel"/>
    <w:tmpl w:val="E47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77"/>
    <w:rsid w:val="000308FD"/>
    <w:rsid w:val="002C47EF"/>
    <w:rsid w:val="004378FB"/>
    <w:rsid w:val="00506BEB"/>
    <w:rsid w:val="00557694"/>
    <w:rsid w:val="006D3B33"/>
    <w:rsid w:val="007C3777"/>
    <w:rsid w:val="00801A15"/>
    <w:rsid w:val="008D036C"/>
    <w:rsid w:val="00A9471A"/>
    <w:rsid w:val="00B65C6E"/>
    <w:rsid w:val="00C800BB"/>
    <w:rsid w:val="00CE1823"/>
    <w:rsid w:val="00D24725"/>
    <w:rsid w:val="00D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0857"/>
  <w15:chartTrackingRefBased/>
  <w15:docId w15:val="{4F2B1B9F-3C97-4427-A26D-7CDD9DCB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C3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7C3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7C377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C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7C3777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C37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7C3777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3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u.gov.cz/odborna-centra-a-pracoviste/centrum-hygieny-prace-a-pracovniho-lekarstvi/oddeleni-pro-hodnoceni-expozice-chemickym-latkam-na-pracovisti/narodni-referencni-laborator-nrl-pro-biologicke-monitorovani-expozice-chemickym-latkam-na-pracovisti/" TargetMode="External"/><Relationship Id="rId13" Type="http://schemas.openxmlformats.org/officeDocument/2006/relationships/hyperlink" Target="https://szu.gov.cz/veda-vyzkum-vzdelavani/materialy-ze-seminaru/98-konzultacni-den-chp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zu.gov.cz/odborna-centra-a-pracoviste/centrum-hygieny-prace-a-pracovniho-lekarstvi/oddeleni-pro-hodnoceni-expozice-chemickym-latkam-na-pracovisti/narodni-referencni-laborator-nrl-pro-analyzu-toxickych-plynu-v-ovzdusi-pracovist/" TargetMode="External"/><Relationship Id="rId12" Type="http://schemas.openxmlformats.org/officeDocument/2006/relationships/hyperlink" Target="https://szu.gov.cz/veda-vyzkum-vzdelavani/materialy-ze-seminaru/93-konzultacni-den-oddeleni-pracovniho-lekarstv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zu.gov.cz/odborna-centra-a-pracoviste/centrum-hygieny-prace-a-pracovniho-lekarstvi/ochb/nrc-pesticidy/" TargetMode="External"/><Relationship Id="rId11" Type="http://schemas.openxmlformats.org/officeDocument/2006/relationships/hyperlink" Target="https://szu.gov.cz/odborna-centra-a-pracoviste/centrum-hygieny-prace-a-pracovniho-lekarstvi/oddeleni-pracovniho-lekarstvi/narodni-referencni-pracoviste-pro-fyziologii-a-psychofyziologii-prace/" TargetMode="External"/><Relationship Id="rId5" Type="http://schemas.openxmlformats.org/officeDocument/2006/relationships/hyperlink" Target="https://szu.gov.cz/odborna-centra-a-pracoviste/centrum-hygieny-prace-a-pracovniho-lekarstvi/ochb/nrc-pro-prumyslove-chemicke-latky-a-pripravk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zu.gov.cz/odborna-centra-a-pracoviste/centrum-hygieny-prace-a-pracovniho-lekarstvi/oddeleni-hygieny-prace/narodni-referencni-laborator-pro-neionizujici-elektromagneticka-pole-a-zare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zu.gov.cz/odborna-centra-a-pracoviste/centrum-hygieny-prace-a-pracovniho-lekarstvi/oddeleni-hygieny-prace/narodni-referencni-laborator-pro-prasnost-a-mikroklima-v-pracovnim-prostredi/" TargetMode="External"/><Relationship Id="rId14" Type="http://schemas.openxmlformats.org/officeDocument/2006/relationships/hyperlink" Target="https://szu.gov.cz/veda-vyzkum-vzdelavani/materialy-ze-seminaru/46-benuv-den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842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5</cp:revision>
  <dcterms:created xsi:type="dcterms:W3CDTF">2025-04-14T07:21:00Z</dcterms:created>
  <dcterms:modified xsi:type="dcterms:W3CDTF">2025-04-25T13:32:00Z</dcterms:modified>
</cp:coreProperties>
</file>