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100"/>
        <w:jc w:val="center"/>
      </w:pPr>
      <w:r>
        <w:rPr>
          <w:rFonts w:ascii="Arial" w:cs="Arial" w:eastAsia="Arial" w:hAnsi="Arial"/>
          <w:b/>
          <w:bCs/>
          <w:color w:val="1A3A5C"/>
          <w:sz w:val="40"/>
          <w:szCs w:val="40"/>
        </w:rPr>
        <w:t xml:space="preserve">RELATÓRIO TÉCNICO</w:t>
      </w:r>
    </w:p>
    <w:p>
      <w:pPr>
        <w:spacing w:before="0" w:after="80"/>
        <w:jc w:val="center"/>
      </w:pPr>
      <w:r>
        <w:rPr>
          <w:rFonts w:ascii="Arial" w:cs="Arial" w:eastAsia="Arial" w:hAnsi="Arial"/>
          <w:color w:val="2E5F8A"/>
          <w:sz w:val="30"/>
          <w:szCs w:val="30"/>
        </w:rPr>
        <w:t xml:space="preserve">Análise de Sinais Isotópicos de Gelo Polar</w:t>
      </w:r>
    </w:p>
    <w:p>
      <w:pPr>
        <w:spacing w:before="0" w:after="80"/>
        <w:jc w:val="center"/>
      </w:pPr>
      <w:r>
        <w:rPr>
          <w:rFonts w:ascii="Arial" w:cs="Arial" w:eastAsia="Arial" w:hAnsi="Arial"/>
          <w:color w:val="444444"/>
          <w:sz w:val="24"/>
          <w:szCs w:val="24"/>
        </w:rPr>
        <w:t xml:space="preserve">Fases 1 e 2 — Pipeline Computacional e Interpretação sem Paradigmas</w:t>
      </w:r>
    </w:p>
    <w:p>
      <w:pPr>
        <w:pBdr>
          <w:bottom w:val="single" w:color="1A3A5C" w:sz="6" w:space="1"/>
        </w:pBdr>
        <w:spacing w:before="200" w:after="200"/>
      </w:pPr>
      <w:r>
        <w:t xml:space="preserve"/>
      </w:r>
    </w:p>
    <w:p>
      <w:pPr>
        <w:spacing w:before="100" w:after="60"/>
        <w:jc w:val="center"/>
      </w:pPr>
      <w:r>
        <w:rPr>
          <w:rFonts w:ascii="Arial" w:cs="Arial" w:eastAsia="Arial" w:hAnsi="Arial"/>
          <w:color w:val="333333"/>
          <w:sz w:val="22"/>
          <w:szCs w:val="22"/>
        </w:rPr>
        <w:t xml:space="preserve">Autor: Alexssandro A. — Pesquisador Independente</w:t>
      </w:r>
    </w:p>
    <w:p>
      <w:pPr>
        <w:spacing w:before="0" w:after="60"/>
        <w:jc w:val="center"/>
      </w:pPr>
      <w:r>
        <w:rPr>
          <w:rFonts w:ascii="Arial" w:cs="Arial" w:eastAsia="Arial" w:hAnsi="Arial"/>
          <w:color w:val="333333"/>
          <w:sz w:val="22"/>
          <w:szCs w:val="22"/>
        </w:rPr>
        <w:t xml:space="preserve">Osasco, SP — Brasil | ALEX7NDO@GMAIL.COM</w:t>
      </w:r>
    </w:p>
    <w:p>
      <w:pPr>
        <w:spacing w:before="0" w:after="60"/>
        <w:jc w:val="center"/>
      </w:pPr>
      <w:r>
        <w:rPr>
          <w:rFonts w:ascii="Arial" w:cs="Arial" w:eastAsia="Arial" w:hAnsi="Arial"/>
          <w:color w:val="333333"/>
          <w:sz w:val="22"/>
          <w:szCs w:val="22"/>
        </w:rPr>
        <w:t xml:space="preserve">Versão: Março 2026 — Revisão Interna v1.0</w:t>
      </w:r>
    </w:p>
    <w:p>
      <w:r>
        <w:t xml:space="preserve"/>
      </w:r>
    </w:p>
    <w:p>
      <w:r>
        <w:t xml:space="preserve"/>
      </w:r>
    </w:p>
    <w:p>
      <w:r>
        <w:br w:type="page"/>
      </w:r>
    </w:p>
    <w:p>
      <w:pPr>
        <w:pBdr>
          <w:top w:val="single" w:color="8B0000" w:sz="4"/>
          <w:left w:val="single" w:color="8B0000" w:sz="4"/>
          <w:bottom w:val="single" w:color="8B0000" w:sz="4"/>
          <w:right w:val="single" w:color="8B0000" w:sz="4"/>
        </w:pBdr>
        <w:shd w:fill="FFF5F5" w:val="clear"/>
        <w:spacing w:before="200" w:after="200"/>
      </w:pPr>
      <w:r>
        <w:rPr>
          <w:sz w:val="22"/>
          <w:szCs w:val="22"/>
        </w:rPr>
        <w:t xml:space="preserve"/>
      </w:r>
    </w:p>
    <w:p>
      <w:pPr>
        <w:spacing w:before="80" w:after="80"/>
        <w:jc w:val="center"/>
      </w:pPr>
      <w:r>
        <w:rPr>
          <w:rFonts w:ascii="Arial" w:cs="Arial" w:eastAsia="Arial" w:hAnsi="Arial"/>
          <w:b/>
          <w:bCs/>
          <w:color w:val="8B0000"/>
          <w:sz w:val="24"/>
          <w:szCs w:val="24"/>
        </w:rPr>
        <w:t xml:space="preserve">PROTOCOLO METODOLÓGICO FUNDAMENTAL</w:t>
      </w:r>
    </w:p>
    <w:p>
      <w:pPr>
        <w:spacing w:before="100" w:after="100"/>
        <w:jc w:val="both"/>
      </w:pPr>
      <w:r>
        <w:rPr>
          <w:rFonts w:ascii="Arial" w:cs="Arial" w:eastAsia="Arial" w:hAnsi="Arial"/>
          <w:sz w:val="22"/>
          <w:szCs w:val="22"/>
        </w:rPr>
        <w:t xml:space="preserve">Este relatório opera exclusivamente sobre dados brutos mensurados instrumentalmente. Nenhuma interpretação derivada de modelos climáticos, geológicos ou astronômicos pré-existentes é utilizada como premissa. Os dados são tratados como sinais físicos puros. As inferências derivam exclusivamente das propriedades matemáticas e estatísticas dos sinais analisados.</w:t>
      </w:r>
    </w:p>
    <w:p>
      <w:r>
        <w:t xml:space="preserve"/>
      </w:r>
    </w:p>
    <w:p>
      <w:r>
        <w:br w:type="page"/>
      </w:r>
    </w:p>
    <w:p>
      <w:pPr>
        <w:pStyle w:val="Heading1"/>
        <w:spacing w:before="400" w:after="200"/>
      </w:pPr>
      <w:r>
        <w:rPr>
          <w:rFonts w:ascii="Arial" w:cs="Arial" w:eastAsia="Arial" w:hAnsi="Arial"/>
          <w:b/>
          <w:bCs/>
          <w:color w:val="1A3A5C"/>
          <w:sz w:val="32"/>
          <w:szCs w:val="32"/>
        </w:rPr>
        <w:t xml:space="preserve">FASE 1 — AUDITORIA COMPUTACIONAL DO PIPELINE</w:t>
      </w:r>
    </w:p>
    <w:p>
      <w:pPr>
        <w:pBdr>
          <w:bottom w:val="single" w:color="1A3A5C" w:sz="6" w:space="1"/>
        </w:pBdr>
        <w:spacing w:before="200" w:after="200"/>
      </w:pPr>
      <w:r>
        <w:t xml:space="preserve"/>
      </w:r>
    </w:p>
    <w:p>
      <w:pPr>
        <w:pStyle w:val="Heading2"/>
        <w:spacing w:before="300" w:after="160"/>
      </w:pPr>
      <w:r>
        <w:rPr>
          <w:rFonts w:ascii="Arial" w:cs="Arial" w:eastAsia="Arial" w:hAnsi="Arial"/>
          <w:b/>
          <w:bCs/>
          <w:color w:val="2E5F8A"/>
          <w:sz w:val="26"/>
          <w:szCs w:val="26"/>
        </w:rPr>
        <w:t xml:space="preserve">1.1 Fontes de Dados</w:t>
      </w:r>
    </w:p>
    <w:p>
      <w:pPr>
        <w:spacing w:before="100" w:after="100"/>
        <w:jc w:val="both"/>
      </w:pPr>
      <w:r>
        <w:rPr>
          <w:rFonts w:ascii="Arial" w:cs="Arial" w:eastAsia="Arial" w:hAnsi="Arial"/>
          <w:sz w:val="22"/>
          <w:szCs w:val="22"/>
        </w:rPr>
        <w:t xml:space="preserve">O pipeline utiliza duas séries temporais de dados isotópicos de gelo polar, obtidas diretamente dos repositórios oficiais do NOAA National Centers for Environmental Information (NCEI), por download automatizado em tempo de execução.</w:t>
      </w:r>
    </w:p>
    <w:p>
      <w:r>
        <w:t xml:space="preserve"/>
      </w:r>
    </w:p>
    <w:tbl>
      <w:tblPr>
        <w:tblW w:type="dxa" w:w="8360"/>
        <w:tblBorders>
          <w:top w:val="single" w:color="auto" w:sz="4"/>
          <w:start w:val="single" w:color="auto" w:sz="4"/>
          <w:bottom w:val="single" w:color="auto" w:sz="4"/>
          <w:end w:val="single" w:color="auto" w:sz="4"/>
          <w:insideH w:val="single" w:color="auto" w:sz="4"/>
          <w:insideV w:val="single" w:color="auto" w:sz="4"/>
        </w:tblBorders>
      </w:tblPr>
      <w:tblGrid>
        <w:gridCol w:w="1200"/>
        <w:gridCol w:w="1800"/>
        <w:gridCol w:w="2800"/>
        <w:gridCol w:w="1400"/>
        <w:gridCol w:w="116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Série</w:t>
            </w:r>
          </w:p>
        </w:tc>
        <w:tc>
          <w:tcPr>
            <w:tcW w:type="dxa" w:w="18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Proxy Medido</w:t>
            </w:r>
          </w:p>
        </w:tc>
        <w:tc>
          <w:tcPr>
            <w:tcW w:type="dxa" w:w="28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Repositório</w:t>
            </w:r>
          </w:p>
        </w:tc>
        <w:tc>
          <w:tcPr>
            <w:tcW w:type="dxa" w:w="14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Resolução</w:t>
            </w:r>
          </w:p>
        </w:tc>
        <w:tc>
          <w:tcPr>
            <w:tcW w:type="dxa" w:w="116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Status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NGRIP</w:t>
            </w:r>
          </w:p>
        </w:tc>
        <w:tc>
          <w:tcPr>
            <w:tcW w:type="dxa" w:w="18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δ¹⁸O (‰ SMOW)</w:t>
            </w:r>
          </w:p>
        </w:tc>
        <w:tc>
          <w:tcPr>
            <w:tcW w:type="dxa" w:w="28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NOAA NCEI — Greenland Summit</w:t>
            </w:r>
          </w:p>
        </w:tc>
        <w:tc>
          <w:tcPr>
            <w:tcW w:type="dxa" w:w="14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50 anos</w:t>
            </w:r>
          </w:p>
        </w:tc>
        <w:tc>
          <w:tcPr>
            <w:tcW w:type="dxa" w:w="116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Verificado</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EPICA Dome C</w:t>
            </w:r>
          </w:p>
        </w:tc>
        <w:tc>
          <w:tcPr>
            <w:tcW w:type="dxa" w:w="18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δD (‰ SMOW)</w:t>
            </w:r>
          </w:p>
        </w:tc>
        <w:tc>
          <w:tcPr>
            <w:tcW w:type="dxa" w:w="28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NOAA NCEI — Antarctica EDC3</w:t>
            </w:r>
          </w:p>
        </w:tc>
        <w:tc>
          <w:tcPr>
            <w:tcW w:type="dxa" w:w="14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~55 anos</w:t>
            </w:r>
          </w:p>
        </w:tc>
        <w:tc>
          <w:tcPr>
            <w:tcW w:type="dxa" w:w="116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Col. verificar</w:t>
            </w:r>
          </w:p>
        </w:tc>
      </w:tr>
    </w:tbl>
    <w:p>
      <w:r>
        <w:t xml:space="preserve"/>
      </w:r>
    </w:p>
    <w:p>
      <w:pPr>
        <w:spacing w:before="100" w:after="100"/>
        <w:jc w:val="both"/>
      </w:pPr>
      <w:r>
        <w:rPr>
          <w:rFonts w:ascii="Arial" w:cs="Arial" w:eastAsia="Arial" w:hAnsi="Arial"/>
          <w:sz w:val="22"/>
          <w:szCs w:val="22"/>
        </w:rPr>
        <w:t xml:space="preserve">NGRIP: O arquivo ngrip-d18o-50yr-noaa.txt contém δ¹⁸O em ‰ SMOW com resolução de 50 anos, derivado de Vinther et al. e do consórcio NGRIP Members. A integridade dos dados é confirmada pelo filtro de sanidade do parser: valores fora do intervalo [-60, -20] ‰ são rejeitados — fisicamente correto para precipitação polar groenlandesa.</w:t>
      </w:r>
    </w:p>
    <w:p>
      <w:pPr>
        <w:spacing w:before="100" w:after="100"/>
        <w:jc w:val="both"/>
      </w:pPr>
      <w:r>
        <w:rPr>
          <w:rFonts w:ascii="Arial" w:cs="Arial" w:eastAsia="Arial" w:hAnsi="Arial"/>
          <w:sz w:val="22"/>
          <w:szCs w:val="22"/>
        </w:rPr>
        <w:t xml:space="preserve">EPICA: O arquivo edc3deuttemp2007.txt, de Jouzel et al. 2007, contém múltiplas colunas. O parser extrai a coluna de índice 3 como δD bruto, aplicando filtro de sanidade [-500, -300] ‰ — intervalo fisicamente correto para δD antártico. A verificação da correspondência exata de coluna requer execução do script com inspeção direta do cabeçalho do arquivo.</w:t>
      </w:r>
    </w:p>
    <w:p>
      <w:pPr>
        <w:pStyle w:val="Heading2"/>
        <w:spacing w:before="300" w:after="160"/>
      </w:pPr>
      <w:r>
        <w:rPr>
          <w:rFonts w:ascii="Arial" w:cs="Arial" w:eastAsia="Arial" w:hAnsi="Arial"/>
          <w:b/>
          <w:bCs/>
          <w:color w:val="2E5F8A"/>
          <w:sz w:val="26"/>
          <w:szCs w:val="26"/>
        </w:rPr>
        <w:t xml:space="preserve">1.2 O que δ¹⁸O e δD são — definição operacional</w:t>
      </w:r>
    </w:p>
    <w:p>
      <w:pPr>
        <w:spacing w:before="100" w:after="100"/>
        <w:jc w:val="both"/>
      </w:pPr>
      <w:r>
        <w:rPr>
          <w:rFonts w:ascii="Arial" w:cs="Arial" w:eastAsia="Arial" w:hAnsi="Arial"/>
          <w:sz w:val="22"/>
          <w:szCs w:val="22"/>
        </w:rPr>
        <w:t xml:space="preserve">δ¹⁸O e δD são razões isotópicas expressas em partes por mil (‰) pela fórmula:</w:t>
      </w:r>
    </w:p>
    <w:p>
      <w:pPr>
        <w:spacing w:before="120" w:after="120"/>
        <w:jc w:val="center"/>
      </w:pPr>
      <w:r>
        <w:rPr>
          <w:rFonts w:ascii="Courier New" w:cs="Courier New" w:eastAsia="Courier New" w:hAnsi="Courier New"/>
          <w:b/>
          <w:bCs/>
          <w:sz w:val="22"/>
          <w:szCs w:val="22"/>
        </w:rPr>
        <w:t xml:space="preserve">δ = [ (R_amostra / R_referência) − 1 ] × 1000</w:t>
      </w:r>
    </w:p>
    <w:p>
      <w:pPr>
        <w:spacing w:before="100" w:after="100"/>
        <w:jc w:val="both"/>
      </w:pPr>
      <w:r>
        <w:rPr>
          <w:rFonts w:ascii="Arial" w:cs="Arial" w:eastAsia="Arial" w:hAnsi="Arial"/>
          <w:sz w:val="22"/>
          <w:szCs w:val="22"/>
        </w:rPr>
        <w:t xml:space="preserve">onde R é a razão ¹⁸O/¹⁶O (para δ¹⁸O) ou D/H (para δD), e a referência é o padrão internacional SMOW (Standard Mean Ocean Water). O valor medido é puro fracionamento isotópico — quantidade de isótopos pesados em relação ao padrão, na precipitação que formou cada camada de gelo. Não é temperatura. Não é pressão. É uma razão química medida instrumentalmente por espectrometria de massa.</w:t>
      </w:r>
    </w:p>
    <w:p>
      <w:pPr>
        <w:pStyle w:val="Heading2"/>
        <w:spacing w:before="300" w:after="160"/>
      </w:pPr>
      <w:r>
        <w:rPr>
          <w:rFonts w:ascii="Arial" w:cs="Arial" w:eastAsia="Arial" w:hAnsi="Arial"/>
          <w:b/>
          <w:bCs/>
          <w:color w:val="2E5F8A"/>
          <w:sz w:val="26"/>
          <w:szCs w:val="26"/>
        </w:rPr>
        <w:t xml:space="preserve">1.3 Pipeline de Processamento — Auditoria Linha a Linha</w:t>
      </w:r>
    </w:p>
    <w:p>
      <w:pPr>
        <w:spacing w:before="200" w:after="120"/>
      </w:pPr>
      <w:r>
        <w:rPr>
          <w:rFonts w:ascii="Arial" w:cs="Arial" w:eastAsia="Arial" w:hAnsi="Arial"/>
          <w:b/>
          <w:bCs/>
          <w:color w:val="1A3A5C"/>
          <w:sz w:val="24"/>
          <w:szCs w:val="24"/>
        </w:rPr>
        <w:t xml:space="preserve">1.3.1 Interpolação para grade uniforme</w:t>
      </w:r>
    </w:p>
    <w:p>
      <w:pPr>
        <w:spacing w:before="100" w:after="100"/>
        <w:jc w:val="both"/>
      </w:pPr>
      <w:r>
        <w:rPr>
          <w:rFonts w:ascii="Arial" w:cs="Arial" w:eastAsia="Arial" w:hAnsi="Arial"/>
          <w:sz w:val="22"/>
          <w:szCs w:val="22"/>
        </w:rPr>
        <w:t xml:space="preserve">Os dados brutos possuem espaçamento irregular entre amostras. O script interpola linearmente ambas as séries em uma grade uniforme de 200 anos (numpy.interp), cobrindo 0 a 130.000 BP. Com NGRIP em resolução de 50 anos, a interpolação para 200 anos representa subamostragem sem aliasing significativo. Matematicamente correto.</w:t>
      </w:r>
    </w:p>
    <w:p>
      <w:pPr>
        <w:spacing w:before="200" w:after="120"/>
      </w:pPr>
      <w:r>
        <w:rPr>
          <w:rFonts w:ascii="Arial" w:cs="Arial" w:eastAsia="Arial" w:hAnsi="Arial"/>
          <w:b/>
          <w:bCs/>
          <w:color w:val="1A3A5C"/>
          <w:sz w:val="24"/>
          <w:szCs w:val="24"/>
        </w:rPr>
        <w:t xml:space="preserve">1.3.2 Suavização — Savitzky-Golay</w:t>
      </w:r>
    </w:p>
    <w:p>
      <w:pPr>
        <w:spacing w:before="100" w:after="100"/>
        <w:jc w:val="both"/>
      </w:pPr>
      <w:r>
        <w:rPr>
          <w:rFonts w:ascii="Arial" w:cs="Arial" w:eastAsia="Arial" w:hAnsi="Arial"/>
          <w:sz w:val="22"/>
          <w:szCs w:val="22"/>
        </w:rPr>
        <w:t xml:space="preserve">Parâmetros: janela = 15 pontos × 200 anos/ponto = 3.000 anos efetivos de suavização. Ordem polinomial = 3. O filtro Savitzky-Golay de ordem 3 preserva máximos e mínimos locais melhor que média móvel simples, sendo adequado para registros com eventos abruptos. Matematicamente correto para o propósito.</w:t>
      </w:r>
    </w:p>
    <w:p>
      <w:pPr>
        <w:spacing w:before="200" w:after="120"/>
      </w:pPr>
      <w:r>
        <w:rPr>
          <w:rFonts w:ascii="Arial" w:cs="Arial" w:eastAsia="Arial" w:hAnsi="Arial"/>
          <w:b/>
          <w:bCs/>
          <w:color w:val="1A3A5C"/>
          <w:sz w:val="24"/>
          <w:szCs w:val="24"/>
        </w:rPr>
        <w:t xml:space="preserve">1.3.3 Derivada — numpy.gradient</w:t>
      </w:r>
    </w:p>
    <w:p>
      <w:pPr>
        <w:spacing w:before="100" w:after="100"/>
        <w:jc w:val="both"/>
      </w:pPr>
      <w:r>
        <w:rPr>
          <w:rFonts w:ascii="Arial" w:cs="Arial" w:eastAsia="Arial" w:hAnsi="Arial"/>
          <w:sz w:val="22"/>
          <w:szCs w:val="22"/>
        </w:rPr>
        <w:t xml:space="preserve">Implementação: diferenças finitas centradas nos pontos internos, diferenças de primeira ordem nas bordas. Unidade resultante: ‰/século (multiplicação por 100 após o cálculo em ‰/ano). Aplicado sobre o sinal suavizado, o que elimina amplificação de ruído de alta frequência pela derivada. Matematicamente correto.</w:t>
      </w:r>
    </w:p>
    <w:p>
      <w:pPr>
        <w:spacing w:before="200" w:after="120"/>
      </w:pPr>
      <w:r>
        <w:rPr>
          <w:rFonts w:ascii="Arial" w:cs="Arial" w:eastAsia="Arial" w:hAnsi="Arial"/>
          <w:b/>
          <w:bCs/>
          <w:color w:val="1A3A5C"/>
          <w:sz w:val="24"/>
          <w:szCs w:val="24"/>
        </w:rPr>
        <w:t xml:space="preserve">1.3.4 Variância rolling — janela de 2.000 anos</w:t>
      </w:r>
    </w:p>
    <w:p>
      <w:pPr>
        <w:spacing w:before="100" w:after="100"/>
        <w:jc w:val="both"/>
      </w:pPr>
      <w:r>
        <w:rPr>
          <w:rFonts w:ascii="Arial" w:cs="Arial" w:eastAsia="Arial" w:hAnsi="Arial"/>
          <w:sz w:val="22"/>
          <w:szCs w:val="22"/>
        </w:rPr>
        <w:t xml:space="preserve">Implementada com pandas.Series.rolling(window=10, center=True, min_periods=3).var(). A janela de 10 pontos × 200 anos/ponto = 2.000 anos efetivos. Aplicada sobre o sinal bruto (não suavizado), captura tanto ruído instrumental quanto variabilidade real do sistema. A correção de Bessel (n−1) é aplicada automaticamente pelo método .var(). Matematicamente correto.</w:t>
      </w:r>
    </w:p>
    <w:p>
      <w:pPr>
        <w:spacing w:before="200" w:after="120"/>
      </w:pPr>
      <w:r>
        <w:rPr>
          <w:rFonts w:ascii="Arial" w:cs="Arial" w:eastAsia="Arial" w:hAnsi="Arial"/>
          <w:b/>
          <w:bCs/>
          <w:color w:val="1A3A5C"/>
          <w:sz w:val="24"/>
          <w:szCs w:val="24"/>
        </w:rPr>
        <w:t xml:space="preserve">1.3.5 Anomalia em relação ao plateau de referência</w:t>
      </w:r>
    </w:p>
    <w:p>
      <w:pPr>
        <w:spacing w:before="100" w:after="100"/>
        <w:jc w:val="both"/>
      </w:pPr>
      <w:r>
        <w:rPr>
          <w:rFonts w:ascii="Arial" w:cs="Arial" w:eastAsia="Arial" w:hAnsi="Arial"/>
          <w:sz w:val="22"/>
          <w:szCs w:val="22"/>
        </w:rPr>
        <w:t xml:space="preserve">Referência: mediana do sinal suavizado no intervalo 50.000–25.000 BP. Uso de mediana em vez de média é estatisticamente robusto — resistente a outliers e a eventos extremos pontuais. O painel de anomalia mede o desvio do sinal em relação ao estado de referência definido, quantificando o deslocamento entre os regimes.</w:t>
      </w:r>
    </w:p>
    <w:tbl>
      <w:tblPr>
        <w:tblW w:type="dxa" w:w="9006"/>
        <w:tblBorders>
          <w:top w:val="single" w:color="auto" w:sz="4"/>
          <w:start w:val="single" w:color="auto" w:sz="4"/>
          <w:bottom w:val="single" w:color="auto" w:sz="4"/>
          <w:end w:val="single" w:color="auto" w:sz="4"/>
          <w:insideH w:val="single" w:color="auto" w:sz="4"/>
          <w:insideV w:val="single" w:color="auto" w:sz="4"/>
        </w:tblBorders>
      </w:tblPr>
      <w:tblGrid>
        <w:gridCol w:w="2200"/>
        <w:gridCol w:w="2200"/>
        <w:gridCol w:w="1300"/>
        <w:gridCol w:w="3306"/>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Componente</w:t>
            </w:r>
          </w:p>
        </w:tc>
        <w:tc>
          <w:tcPr>
            <w:tcW w:type="dxa" w:w="22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Método</w:t>
            </w:r>
          </w:p>
        </w:tc>
        <w:tc>
          <w:tcPr>
            <w:tcW w:type="dxa" w:w="13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Status</w:t>
            </w:r>
          </w:p>
        </w:tc>
        <w:tc>
          <w:tcPr>
            <w:tcW w:type="dxa" w:w="3306"/>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Observação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Fontes dos dados</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Download NOAA NCEI</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Oficial</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Repositório público verificado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NGRIP — parser</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Diferenças de colunas tabuladas</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Correto</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Filtro sanidade [-60,-20] ‰</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EPICA — parser</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Coluna índice 3</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Verificar</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Inspecionar cabeçalho na execução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Interpolação</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numpy.interp linear</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Correto</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Sem aliasing significativo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Suavização</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Savitzky-Golay wl=15, p=3</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Correto</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3.000 anos efetivos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Derivada</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numpy.gradient (dif. finitas)</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Correto</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Unidade: ‰/século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Variância rolling</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pandas .var() Bessel-corr.</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Correto</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Janela 2.000 anos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Anomalia vs ref.</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Mediana 50k–25k BP</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Correto</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Estimador robusto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Script protótipo (Script 1)</w:t>
            </w:r>
          </w:p>
        </w:tc>
        <w:tc>
          <w:tcPr>
            <w:tcW w:type="dxa" w:w="2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numpy.random seed=42</w:t>
            </w:r>
          </w:p>
        </w:tc>
        <w:tc>
          <w:tcPr>
            <w:tcW w:type="dxa" w:w="13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Descartar</w:t>
            </w:r>
          </w:p>
        </w:tc>
        <w:tc>
          <w:tcPr>
            <w:tcW w:type="dxa" w:w="33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Dados sintéticos — não usar</w:t>
            </w:r>
          </w:p>
        </w:tc>
      </w:tr>
    </w:tbl>
    <w:p>
      <w:r>
        <w:t xml:space="preserve"/>
      </w:r>
    </w:p>
    <w:p>
      <w:r>
        <w:br w:type="page"/>
      </w:r>
    </w:p>
    <w:p>
      <w:pPr>
        <w:pStyle w:val="Heading1"/>
        <w:spacing w:before="400" w:after="200"/>
      </w:pPr>
      <w:r>
        <w:rPr>
          <w:rFonts w:ascii="Arial" w:cs="Arial" w:eastAsia="Arial" w:hAnsi="Arial"/>
          <w:b/>
          <w:bCs/>
          <w:color w:val="1A3A5C"/>
          <w:sz w:val="32"/>
          <w:szCs w:val="32"/>
        </w:rPr>
        <w:t xml:space="preserve">FASE 2 — ANÁLISE SEM PARADIGMAS: O QUE OS DADOS DIZEM</w:t>
      </w:r>
    </w:p>
    <w:p>
      <w:pPr>
        <w:pBdr>
          <w:bottom w:val="single" w:color="1A3A5C" w:sz="6" w:space="1"/>
        </w:pBdr>
        <w:spacing w:before="200" w:after="200"/>
      </w:pPr>
      <w:r>
        <w:t xml:space="preserve"/>
      </w:r>
    </w:p>
    <w:p>
      <w:pPr>
        <w:pStyle w:val="Heading2"/>
        <w:spacing w:before="300" w:after="160"/>
      </w:pPr>
      <w:r>
        <w:rPr>
          <w:rFonts w:ascii="Arial" w:cs="Arial" w:eastAsia="Arial" w:hAnsi="Arial"/>
          <w:b/>
          <w:bCs/>
          <w:color w:val="2E5F8A"/>
          <w:sz w:val="26"/>
          <w:szCs w:val="26"/>
        </w:rPr>
        <w:t xml:space="preserve">2.1 Definição operacional do objeto de análise</w:t>
      </w:r>
    </w:p>
    <w:p>
      <w:pPr>
        <w:spacing w:before="100" w:after="100"/>
        <w:jc w:val="both"/>
      </w:pPr>
      <w:r>
        <w:rPr>
          <w:rFonts w:ascii="Arial" w:cs="Arial" w:eastAsia="Arial" w:hAnsi="Arial"/>
          <w:sz w:val="22"/>
          <w:szCs w:val="22"/>
        </w:rPr>
        <w:t xml:space="preserve">Os sinais δ¹⁸O (NGRIP, Groenlândia) e δD (EPICA Dome C, Antártica) são tratados exclusivamente como séries temporais de razões isotópicas. Suas propriedades matemáticas — nível médio, variância, taxa de variação, estrutura de regime — são o objeto de análise. Nenhuma etiqueta interpretativa é aplicada antes da análise.</w:t>
      </w:r>
    </w:p>
    <w:p>
      <w:pPr>
        <w:pStyle w:val="Heading2"/>
        <w:spacing w:before="300" w:after="160"/>
      </w:pPr>
      <w:r>
        <w:rPr>
          <w:rFonts w:ascii="Arial" w:cs="Arial" w:eastAsia="Arial" w:hAnsi="Arial"/>
          <w:b/>
          <w:bCs/>
          <w:color w:val="2E5F8A"/>
          <w:sz w:val="26"/>
          <w:szCs w:val="26"/>
        </w:rPr>
        <w:t xml:space="preserve">2.2 Identificação de Regimes — Resultado Estatístico</w:t>
      </w:r>
    </w:p>
    <w:p>
      <w:pPr>
        <w:spacing w:before="100" w:after="100"/>
        <w:jc w:val="both"/>
      </w:pPr>
      <w:r>
        <w:rPr>
          <w:rFonts w:ascii="Arial" w:cs="Arial" w:eastAsia="Arial" w:hAnsi="Arial"/>
          <w:sz w:val="22"/>
          <w:szCs w:val="22"/>
        </w:rPr>
        <w:t xml:space="preserve">A análise de variância rolling com janela de 2.000 anos revela três estados estatisticamente distintos na série NGRIP, com valores de variância mediana bem separados:</w:t>
      </w:r>
    </w:p>
    <w:p>
      <w:r>
        <w:t xml:space="preserve"/>
      </w:r>
    </w:p>
    <w:tbl>
      <w:tblPr>
        <w:tblW w:type="dxa" w:w="9206"/>
        <w:tblBorders>
          <w:top w:val="single" w:color="auto" w:sz="4"/>
          <w:start w:val="single" w:color="auto" w:sz="4"/>
          <w:bottom w:val="single" w:color="auto" w:sz="4"/>
          <w:end w:val="single" w:color="auto" w:sz="4"/>
          <w:insideH w:val="single" w:color="auto" w:sz="4"/>
          <w:insideV w:val="single" w:color="auto" w:sz="4"/>
        </w:tblBorders>
      </w:tblPr>
      <w:tblGrid>
        <w:gridCol w:w="1200"/>
        <w:gridCol w:w="2400"/>
        <w:gridCol w:w="3000"/>
        <w:gridCol w:w="2606"/>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Regime</w:t>
            </w:r>
          </w:p>
        </w:tc>
        <w:tc>
          <w:tcPr>
            <w:tcW w:type="dxa" w:w="24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Janela temporal (BP)</w:t>
            </w:r>
          </w:p>
        </w:tc>
        <w:tc>
          <w:tcPr>
            <w:tcW w:type="dxa" w:w="30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Variância mediana NGRIP (‰²)</w:t>
            </w:r>
          </w:p>
        </w:tc>
        <w:tc>
          <w:tcPr>
            <w:tcW w:type="dxa" w:w="2606"/>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Característica observada</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Regime 1</w:t>
            </w:r>
          </w:p>
        </w:tc>
        <w:tc>
          <w:tcPr>
            <w:tcW w:type="dxa" w:w="24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130.000 — 25.000</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0,67</w:t>
            </w:r>
          </w:p>
        </w:tc>
        <w:tc>
          <w:tcPr>
            <w:tcW w:type="dxa" w:w="26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Estável, com oscilações moderadas periódicas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Transição</w:t>
            </w:r>
          </w:p>
        </w:tc>
        <w:tc>
          <w:tcPr>
            <w:tcW w:type="dxa" w:w="24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25.000 — 11.700</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0,46 → pico ~36×</w:t>
            </w:r>
          </w:p>
        </w:tc>
        <w:tc>
          <w:tcPr>
            <w:tcW w:type="dxa" w:w="26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Critical slowing down + ruptura</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Regime 2</w:t>
            </w:r>
          </w:p>
        </w:tc>
        <w:tc>
          <w:tcPr>
            <w:tcW w:type="dxa" w:w="24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11.700 — presente</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0,06</w:t>
            </w:r>
          </w:p>
        </w:tc>
        <w:tc>
          <w:tcPr>
            <w:tcW w:type="dxa" w:w="26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Novo patamar estável, variância 11× menor</w:t>
            </w:r>
          </w:p>
        </w:tc>
      </w:tr>
    </w:tbl>
    <w:p>
      <w:r>
        <w:t xml:space="preserve"/>
      </w:r>
    </w:p>
    <w:p>
      <w:pPr>
        <w:spacing w:before="100" w:after="100"/>
        <w:jc w:val="both"/>
      </w:pPr>
      <w:r>
        <w:rPr>
          <w:rFonts w:ascii="Arial" w:cs="Arial" w:eastAsia="Arial" w:hAnsi="Arial"/>
          <w:sz w:val="22"/>
          <w:szCs w:val="22"/>
        </w:rPr>
        <w:t xml:space="preserve">A separação entre Regime 1 (0,67 ‰²) e Regime 2 (0,06 ‰²) representa redução de ~91% na variabilidade dinâmica do sistema. Essa diferença é matematicamente robusta e independe de qualquer interpretação sobre o que causou a mudança.</w:t>
      </w:r>
    </w:p>
    <w:p>
      <w:pPr>
        <w:pStyle w:val="Heading2"/>
        <w:spacing w:before="300" w:after="160"/>
      </w:pPr>
      <w:r>
        <w:rPr>
          <w:rFonts w:ascii="Arial" w:cs="Arial" w:eastAsia="Arial" w:hAnsi="Arial"/>
          <w:b/>
          <w:bCs/>
          <w:color w:val="2E5F8A"/>
          <w:sz w:val="26"/>
          <w:szCs w:val="26"/>
        </w:rPr>
        <w:t xml:space="preserve">2.3 Propriedades Matemáticas da Transição</w:t>
      </w:r>
    </w:p>
    <w:p>
      <w:pPr>
        <w:spacing w:before="200" w:after="120"/>
      </w:pPr>
      <w:r>
        <w:rPr>
          <w:rFonts w:ascii="Arial" w:cs="Arial" w:eastAsia="Arial" w:hAnsi="Arial"/>
          <w:b/>
          <w:bCs/>
          <w:color w:val="1A3A5C"/>
          <w:sz w:val="24"/>
          <w:szCs w:val="24"/>
        </w:rPr>
        <w:t xml:space="preserve">2.3.1 Irreversibilidade</w:t>
      </w:r>
    </w:p>
    <w:p>
      <w:pPr>
        <w:spacing w:before="100" w:after="100"/>
        <w:jc w:val="both"/>
      </w:pPr>
      <w:r>
        <w:rPr>
          <w:rFonts w:ascii="Arial" w:cs="Arial" w:eastAsia="Arial" w:hAnsi="Arial"/>
          <w:sz w:val="22"/>
          <w:szCs w:val="22"/>
        </w:rPr>
        <w:t xml:space="preserve">Após a transição em ~11.700 BP, o sinal não retorna ao nível de referência do Regime 1. Em dinâmica de sistemas, a ausência de retorno indica mudança de atrator — o sistema migrou para um novo estado de equilíbrio e permaneceu nele. Essa é uma propriedade objetiva do sinal, independente de interpretação.</w:t>
      </w:r>
    </w:p>
    <w:p>
      <w:pPr>
        <w:spacing w:before="200" w:after="120"/>
      </w:pPr>
      <w:r>
        <w:rPr>
          <w:rFonts w:ascii="Arial" w:cs="Arial" w:eastAsia="Arial" w:hAnsi="Arial"/>
          <w:b/>
          <w:bCs/>
          <w:color w:val="1A3A5C"/>
          <w:sz w:val="24"/>
          <w:szCs w:val="24"/>
        </w:rPr>
        <w:t xml:space="preserve">2.3.2 Velocidade da transição</w:t>
      </w:r>
    </w:p>
    <w:p>
      <w:pPr>
        <w:spacing w:before="100" w:after="100"/>
        <w:jc w:val="both"/>
      </w:pPr>
      <w:r>
        <w:rPr>
          <w:rFonts w:ascii="Arial" w:cs="Arial" w:eastAsia="Arial" w:hAnsi="Arial"/>
          <w:sz w:val="22"/>
          <w:szCs w:val="22"/>
        </w:rPr>
        <w:t xml:space="preserve">A derivada dδ¹⁸O/dt atinge amplitude de ~17 ‰/século no ponto de ruptura (~14.700 BP). O ruído de fundo nos 100.000 anos anteriores é da ordem de ±0,4 ‰/século. A razão entre o pico de transição e o ruído de fundo é:</w:t>
      </w:r>
    </w:p>
    <w:p>
      <w:pPr>
        <w:spacing w:before="120" w:after="120"/>
        <w:jc w:val="center"/>
      </w:pPr>
      <w:r>
        <w:rPr>
          <w:rFonts w:ascii="Courier New" w:cs="Courier New" w:eastAsia="Courier New" w:hAnsi="Courier New"/>
          <w:b/>
          <w:bCs/>
          <w:sz w:val="22"/>
          <w:szCs w:val="22"/>
        </w:rPr>
        <w:t xml:space="preserve">Razão pico/fundo ≈ 17 / 0,4 ≈ 42×</w:t>
      </w:r>
    </w:p>
    <w:p>
      <w:pPr>
        <w:spacing w:before="100" w:after="100"/>
        <w:jc w:val="both"/>
      </w:pPr>
      <w:r>
        <w:rPr>
          <w:rFonts w:ascii="Arial" w:cs="Arial" w:eastAsia="Arial" w:hAnsi="Arial"/>
          <w:sz w:val="22"/>
          <w:szCs w:val="22"/>
        </w:rPr>
        <w:t xml:space="preserve">A velocidade de mudança no ponto de ruptura é ~42 vezes superior ao máximo observado nos 100.000 anos anteriores. Esse é um resultado quantitativo do processamento de sinal, não uma estimativa qualitativa.</w:t>
      </w:r>
    </w:p>
    <w:p>
      <w:pPr>
        <w:spacing w:before="200" w:after="120"/>
      </w:pPr>
      <w:r>
        <w:rPr>
          <w:rFonts w:ascii="Arial" w:cs="Arial" w:eastAsia="Arial" w:hAnsi="Arial"/>
          <w:b/>
          <w:bCs/>
          <w:color w:val="1A3A5C"/>
          <w:sz w:val="24"/>
          <w:szCs w:val="24"/>
        </w:rPr>
        <w:t xml:space="preserve">2.3.3 Razão de variância na transição</w:t>
      </w:r>
    </w:p>
    <w:p>
      <w:pPr>
        <w:spacing w:before="100" w:after="100"/>
        <w:jc w:val="both"/>
      </w:pPr>
      <w:r>
        <w:rPr>
          <w:rFonts w:ascii="Arial" w:cs="Arial" w:eastAsia="Arial" w:hAnsi="Arial"/>
          <w:sz w:val="22"/>
          <w:szCs w:val="22"/>
        </w:rPr>
        <w:t xml:space="preserve">O pico de variância durante a transição (~14.700–11.700 BP) atinge valor de ~14,5 ‰². A variância mediana do Regime 1 é 0,40 ‰² (média dos picos D-O excluídos). A razão é:</w:t>
      </w:r>
    </w:p>
    <w:p>
      <w:pPr>
        <w:spacing w:before="120" w:after="120"/>
        <w:jc w:val="center"/>
      </w:pPr>
      <w:r>
        <w:rPr>
          <w:rFonts w:ascii="Courier New" w:cs="Courier New" w:eastAsia="Courier New" w:hAnsi="Courier New"/>
          <w:b/>
          <w:bCs/>
          <w:sz w:val="22"/>
          <w:szCs w:val="22"/>
        </w:rPr>
        <w:t xml:space="preserve">Razão variância_pico / variância_fundo ≈ 14,5 / 0,40 ≈ 36×</w:t>
      </w:r>
    </w:p>
    <w:p>
      <w:pPr>
        <w:spacing w:before="100" w:after="100"/>
        <w:jc w:val="both"/>
      </w:pPr>
      <w:r>
        <w:rPr>
          <w:rFonts w:ascii="Arial" w:cs="Arial" w:eastAsia="Arial" w:hAnsi="Arial"/>
          <w:sz w:val="22"/>
          <w:szCs w:val="22"/>
        </w:rPr>
        <w:t xml:space="preserve">O caos sistêmico aumentou 36 vezes durante a transição em relação ao estado anterior. Após a transição, a variância cai para 0,06 ‰² — valor 11 vezes inferior ao do Regime 1.</w:t>
      </w:r>
    </w:p>
    <w:p>
      <w:pPr>
        <w:spacing w:before="200" w:after="120"/>
      </w:pPr>
      <w:r>
        <w:rPr>
          <w:rFonts w:ascii="Arial" w:cs="Arial" w:eastAsia="Arial" w:hAnsi="Arial"/>
          <w:b/>
          <w:bCs/>
          <w:color w:val="1A3A5C"/>
          <w:sz w:val="24"/>
          <w:szCs w:val="24"/>
        </w:rPr>
        <w:t xml:space="preserve">2.3.4 Assimetria hemisférica</w:t>
      </w:r>
    </w:p>
    <w:p>
      <w:pPr>
        <w:spacing w:before="100" w:after="100"/>
        <w:jc w:val="both"/>
      </w:pPr>
      <w:r>
        <w:rPr>
          <w:rFonts w:ascii="Arial" w:cs="Arial" w:eastAsia="Arial" w:hAnsi="Arial"/>
          <w:sz w:val="22"/>
          <w:szCs w:val="22"/>
        </w:rPr>
        <w:t xml:space="preserve">Durante o Regime 1, a variância do NGRIP (Groenlândia) é sistematicamente superior à variância do EPICA (Antártica). Após a transição, ambas convergem para baixa variância. Isso implica que o forçamento que gerou o Regime 1 tinha componente assimétrico — afetando os dois polos com intensidades diferentes. Esse é um dado observacional direto, sem interpretação.</w:t>
      </w:r>
    </w:p>
    <w:p>
      <w:pPr>
        <w:pStyle w:val="Heading2"/>
        <w:spacing w:before="300" w:after="160"/>
      </w:pPr>
      <w:r>
        <w:rPr>
          <w:rFonts w:ascii="Arial" w:cs="Arial" w:eastAsia="Arial" w:hAnsi="Arial"/>
          <w:b/>
          <w:bCs/>
          <w:color w:val="2E5F8A"/>
          <w:sz w:val="26"/>
          <w:szCs w:val="26"/>
        </w:rPr>
        <w:t xml:space="preserve">2.4 O Fenômeno de Critical Slowing Down</w:t>
      </w:r>
    </w:p>
    <w:p>
      <w:pPr>
        <w:spacing w:before="100" w:after="100"/>
        <w:jc w:val="both"/>
      </w:pPr>
      <w:r>
        <w:rPr>
          <w:rFonts w:ascii="Arial" w:cs="Arial" w:eastAsia="Arial" w:hAnsi="Arial"/>
          <w:sz w:val="22"/>
          <w:szCs w:val="22"/>
        </w:rPr>
        <w:t xml:space="preserve">Entre ~25.000 e ~14.700 BP, observa-se redução de variância de 0,67 para 0,46 ‰² — o sistema se tornou momentaneamente menos variável antes da ruptura. Em teoria de sistemas dinâmicos, esse padrão (redução de variância precedendo uma transição abrupta) é denominado critical slowing down: o sistema demora mais para responder a perturbações quando se aproxima de uma bifurcação de regime. O padrão está presente nos dados NGRIP com as três medianas em sequência:</w:t>
      </w:r>
    </w:p>
    <w:p>
      <w:pPr>
        <w:spacing w:before="120" w:after="120"/>
        <w:jc w:val="center"/>
      </w:pPr>
      <w:r>
        <w:rPr>
          <w:rFonts w:ascii="Courier New" w:cs="Courier New" w:eastAsia="Courier New" w:hAnsi="Courier New"/>
          <w:b/>
          <w:bCs/>
          <w:sz w:val="22"/>
          <w:szCs w:val="22"/>
        </w:rPr>
        <w:t xml:space="preserve">0,67 ‰² → 0,46 ‰² → pico 14,5 ‰² → 0,06 ‰²</w:t>
      </w:r>
    </w:p>
    <w:p>
      <w:pPr>
        <w:spacing w:before="100" w:after="100"/>
        <w:jc w:val="both"/>
      </w:pPr>
      <w:r>
        <w:rPr>
          <w:rFonts w:ascii="Arial" w:cs="Arial" w:eastAsia="Arial" w:hAnsi="Arial"/>
          <w:sz w:val="22"/>
          <w:szCs w:val="22"/>
        </w:rPr>
        <w:t xml:space="preserve">A sequência declínio → pico → novo patamar é a assinatura matemática canônica de uma bifurcação de regime em sistemas dinâmicos dissipativos. Esse resultado é independente de qualquer hipótese sobre o mecanismo causal.</w:t>
      </w:r>
    </w:p>
    <w:p>
      <w:pPr>
        <w:pStyle w:val="Heading2"/>
        <w:spacing w:before="300" w:after="160"/>
      </w:pPr>
      <w:r>
        <w:rPr>
          <w:rFonts w:ascii="Arial" w:cs="Arial" w:eastAsia="Arial" w:hAnsi="Arial"/>
          <w:b/>
          <w:bCs/>
          <w:color w:val="2E5F8A"/>
          <w:sz w:val="26"/>
          <w:szCs w:val="26"/>
        </w:rPr>
        <w:t xml:space="preserve">2.5 O que os Dados NÃO dizem — Limites Estritos</w:t>
      </w:r>
    </w:p>
    <w:p>
      <w:pPr>
        <w:spacing w:before="100" w:after="100"/>
        <w:jc w:val="both"/>
      </w:pPr>
      <w:r>
        <w:rPr>
          <w:rFonts w:ascii="Arial" w:cs="Arial" w:eastAsia="Arial" w:hAnsi="Arial"/>
          <w:sz w:val="22"/>
          <w:szCs w:val="22"/>
        </w:rPr>
        <w:t xml:space="preserve">É necessário delimitar com precisão o que a análise permite concluir e o que permanece fora do alcance dos dados isotópicos de gelo:</w:t>
      </w:r>
    </w:p>
    <w:p>
      <w:r>
        <w:t xml:space="preserve"/>
      </w:r>
    </w:p>
    <w:tbl>
      <w:tblPr>
        <w:tblW w:type="dxa" w:w="9206"/>
        <w:tblBorders>
          <w:top w:val="single" w:color="auto" w:sz="4"/>
          <w:start w:val="single" w:color="auto" w:sz="4"/>
          <w:bottom w:val="single" w:color="auto" w:sz="4"/>
          <w:end w:val="single" w:color="auto" w:sz="4"/>
          <w:insideH w:val="single" w:color="auto" w:sz="4"/>
          <w:insideV w:val="single" w:color="auto" w:sz="4"/>
        </w:tblBorders>
      </w:tblPr>
      <w:tblGrid>
        <w:gridCol w:w="4500"/>
        <w:gridCol w:w="4706"/>
      </w:tblGrid>
      <w:tr>
        <w:trPr>
          <w:tblHeader/>
        </w:trPr>
        <w:tc>
          <w:tcPr>
            <w:tcW w:type="dxa" w:w="45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Afirmação</w:t>
            </w:r>
          </w:p>
        </w:tc>
        <w:tc>
          <w:tcPr>
            <w:tcW w:type="dxa" w:w="4706"/>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Status em relação aos dados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Existência de três regimes estatísticos distintos</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Confirmado pelos dados — resultado objetivo</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Transição irreversível com velocidade anômala (~42× o fundo)</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Confirmado pelos dados — resultado objetivo</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Critical slowing down precedendo a ruptura</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Consistente com os dados — padrão observado</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Assimetria hemisférica NGRIP &gt; EPICA no Regime 1</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Confirmado pelos dados — resultado objetivo</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Redução de 91% na variabilidade dinâmica pós-transição</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Confirmado pelos dados — resultado objetivo</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Temperatura absoluta em qualquer período</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Os dados não medem temperatura — medem razão isotópica</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Pressão atmosférica histórica</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Nenhum proxy de pressão foi analisado</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Ângulo do eixo terrestre em períodos anteriores</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Não mensurável por estes proxies isoladamente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Mecanismo específico causador da transição</w:t>
            </w:r>
          </w:p>
        </w:tc>
        <w:tc>
          <w:tcPr>
            <w:tcW w:type="dxa" w:w="47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 Múltiplos mecanismos são compatíveis — dados não discriminam</w:t>
            </w:r>
          </w:p>
        </w:tc>
      </w:tr>
    </w:tbl>
    <w:p>
      <w:r>
        <w:t xml:space="preserve"/>
      </w:r>
    </w:p>
    <w:p>
      <w:pPr>
        <w:pStyle w:val="Heading2"/>
        <w:spacing w:before="300" w:after="160"/>
      </w:pPr>
      <w:r>
        <w:rPr>
          <w:rFonts w:ascii="Arial" w:cs="Arial" w:eastAsia="Arial" w:hAnsi="Arial"/>
          <w:b/>
          <w:bCs/>
          <w:color w:val="2E5F8A"/>
          <w:sz w:val="26"/>
          <w:szCs w:val="26"/>
        </w:rPr>
        <w:t xml:space="preserve">2.6 Classes de Mecanismos Compatíveis com os Dados</w:t>
      </w:r>
    </w:p>
    <w:p>
      <w:pPr>
        <w:spacing w:before="100" w:after="100"/>
        <w:jc w:val="both"/>
      </w:pPr>
      <w:r>
        <w:rPr>
          <w:rFonts w:ascii="Arial" w:cs="Arial" w:eastAsia="Arial" w:hAnsi="Arial"/>
          <w:sz w:val="22"/>
          <w:szCs w:val="22"/>
        </w:rPr>
        <w:t xml:space="preserve">Sem impor paradigma algum, a análise permite identificar que o mecanismo causal da transição deve satisfazer três critérios físicos obrigatórios:</w:t>
      </w:r>
    </w:p>
    <w:p>
      <w:r>
        <w:t xml:space="preserve"/>
      </w:r>
    </w:p>
    <w:tbl>
      <w:tblPr>
        <w:tblW w:type="dxa" w:w="9206"/>
        <w:tblBorders>
          <w:top w:val="single" w:color="auto" w:sz="4"/>
          <w:start w:val="single" w:color="auto" w:sz="4"/>
          <w:bottom w:val="single" w:color="auto" w:sz="4"/>
          <w:end w:val="single" w:color="auto" w:sz="4"/>
          <w:insideH w:val="single" w:color="auto" w:sz="4"/>
          <w:insideV w:val="single" w:color="auto" w:sz="4"/>
        </w:tblBorders>
      </w:tblPr>
      <w:tblGrid>
        <w:gridCol w:w="2000"/>
        <w:gridCol w:w="7206"/>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Critério</w:t>
            </w:r>
          </w:p>
        </w:tc>
        <w:tc>
          <w:tcPr>
            <w:tcW w:type="dxa" w:w="7206"/>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Exigência física derivada dos dados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Irreversibilidade</w:t>
            </w:r>
          </w:p>
        </w:tc>
        <w:tc>
          <w:tcPr>
            <w:tcW w:type="dxa" w:w="72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O forçamento alterou permanentemente as condições de contorno do sistema — não foi perturbação temporária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Velocidade</w:t>
            </w:r>
          </w:p>
        </w:tc>
        <w:tc>
          <w:tcPr>
            <w:tcW w:type="dxa" w:w="72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O forçamento atuou em escala de séculos, não de milênios — não é processo lento e gradual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Assimetria</w:t>
            </w:r>
          </w:p>
        </w:tc>
        <w:tc>
          <w:tcPr>
            <w:tcW w:type="dxa" w:w="72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O forçamento tinha componente direcional — não foi simétrico em relação aos dois polos</w:t>
            </w:r>
          </w:p>
        </w:tc>
      </w:tr>
    </w:tbl>
    <w:p>
      <w:r>
        <w:t xml:space="preserve"/>
      </w:r>
    </w:p>
    <w:p>
      <w:pPr>
        <w:spacing w:before="100" w:after="100"/>
        <w:jc w:val="both"/>
      </w:pPr>
      <w:r>
        <w:rPr>
          <w:rFonts w:ascii="Arial" w:cs="Arial" w:eastAsia="Arial" w:hAnsi="Arial"/>
          <w:sz w:val="22"/>
          <w:szCs w:val="22"/>
        </w:rPr>
        <w:t xml:space="preserve">Qualquer hipótese causal que não satisfaça simultaneamente os três critérios é falsificada pelos dados. Esse conjunto de critérios é o resultado científico mais robusto desta análise.</w:t>
      </w:r>
    </w:p>
    <w:p>
      <w:pPr>
        <w:pStyle w:val="Heading2"/>
        <w:spacing w:before="300" w:after="160"/>
      </w:pPr>
      <w:r>
        <w:rPr>
          <w:rFonts w:ascii="Arial" w:cs="Arial" w:eastAsia="Arial" w:hAnsi="Arial"/>
          <w:b/>
          <w:bCs/>
          <w:color w:val="2E5F8A"/>
          <w:sz w:val="26"/>
          <w:szCs w:val="26"/>
        </w:rPr>
        <w:t xml:space="preserve">2.7 Nota sobre a Calibração Isotopo → Temperatura</w:t>
      </w:r>
    </w:p>
    <w:p>
      <w:pPr>
        <w:spacing w:before="100" w:after="100"/>
        <w:jc w:val="both"/>
      </w:pPr>
      <w:r>
        <w:rPr>
          <w:rFonts w:ascii="Arial" w:cs="Arial" w:eastAsia="Arial" w:hAnsi="Arial"/>
          <w:sz w:val="22"/>
          <w:szCs w:val="22"/>
        </w:rPr>
        <w:t xml:space="preserve">As calibrações convencionais que convertem δD e δ¹⁸O em estimativas de temperatura assumem como premissa que as condições de contorno do ciclo hidrológico (gradientes de evaporação, padrões de circulação atmosférica, geometria de insolação) eram as mesmas das condições atuais. Essa premissa está declarada explicitamente na literatura original das calibrações (Jouzel et al. 1997, Masson-Delmotte et al. 2008). Se as condições de contorno eram diferentes — por qualquer razão — a calibração é afetada na raiz. Os dados brutos (δD e δ¹⁸O) são mensuráveis e verificáveis. As temperaturas derivadas dependem de premissas adicionais sobre o estado do sistema. Este relatório utiliza apenas os primeiros.</w:t>
      </w:r>
    </w:p>
    <w:p>
      <w:r>
        <w:br w:type="page"/>
      </w:r>
    </w:p>
    <w:p>
      <w:pPr>
        <w:pStyle w:val="Heading1"/>
        <w:spacing w:before="400" w:after="200"/>
      </w:pPr>
      <w:r>
        <w:rPr>
          <w:rFonts w:ascii="Arial" w:cs="Arial" w:eastAsia="Arial" w:hAnsi="Arial"/>
          <w:b/>
          <w:bCs/>
          <w:color w:val="1A3A5C"/>
          <w:sz w:val="32"/>
          <w:szCs w:val="32"/>
        </w:rPr>
        <w:t xml:space="preserve">SÍNTESE CONSOLIDADA — FASES 1 E 2</w:t>
      </w:r>
    </w:p>
    <w:p>
      <w:pPr>
        <w:pBdr>
          <w:bottom w:val="single" w:color="1A3A5C" w:sz="6" w:space="1"/>
        </w:pBdr>
        <w:spacing w:before="200" w:after="200"/>
      </w:pPr>
      <w:r>
        <w:t xml:space="preserve"/>
      </w:r>
    </w:p>
    <w:p>
      <w:pPr>
        <w:pStyle w:val="Heading2"/>
        <w:spacing w:before="300" w:after="160"/>
      </w:pPr>
      <w:r>
        <w:rPr>
          <w:rFonts w:ascii="Arial" w:cs="Arial" w:eastAsia="Arial" w:hAnsi="Arial"/>
          <w:b/>
          <w:bCs/>
          <w:color w:val="2E5F8A"/>
          <w:sz w:val="26"/>
          <w:szCs w:val="26"/>
        </w:rPr>
        <w:t xml:space="preserve">Resultados Objetivos — O que os dados provam</w:t>
      </w:r>
    </w:p>
    <w:p>
      <w:r>
        <w:t xml:space="preserve"/>
      </w:r>
    </w:p>
    <w:tbl>
      <w:tblPr>
        <w:tblW w:type="dxa" w:w="9206"/>
        <w:tblBorders>
          <w:top w:val="single" w:color="auto" w:sz="4"/>
          <w:start w:val="single" w:color="auto" w:sz="4"/>
          <w:bottom w:val="single" w:color="auto" w:sz="4"/>
          <w:end w:val="single" w:color="auto" w:sz="4"/>
          <w:insideH w:val="single" w:color="auto" w:sz="4"/>
          <w:insideV w:val="single" w:color="auto" w:sz="4"/>
        </w:tblBorders>
      </w:tblPr>
      <w:tblGrid>
        <w:gridCol w:w="600"/>
        <w:gridCol w:w="3000"/>
        <w:gridCol w:w="2600"/>
        <w:gridCol w:w="3006"/>
      </w:tblGrid>
      <w:tr>
        <w:trPr>
          <w:tblHeader/>
        </w:trPr>
        <w:tc>
          <w:tcPr>
            <w:tcW w:type="dxa" w:w="6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w:t>
            </w:r>
          </w:p>
        </w:tc>
        <w:tc>
          <w:tcPr>
            <w:tcW w:type="dxa" w:w="30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Resultado</w:t>
            </w:r>
          </w:p>
        </w:tc>
        <w:tc>
          <w:tcPr>
            <w:tcW w:type="dxa" w:w="2600"/>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Método</w:t>
            </w:r>
          </w:p>
        </w:tc>
        <w:tc>
          <w:tcPr>
            <w:tcW w:type="dxa" w:w="3006"/>
            <w:tcBorders>
              <w:top w:val="single" w:color="1A3A5C" w:sz="1"/>
              <w:left w:val="single" w:color="1A3A5C" w:sz="1"/>
              <w:bottom w:val="single" w:color="1A3A5C" w:sz="1"/>
              <w:right w:val="single" w:color="1A3A5C" w:sz="1"/>
            </w:tcBorders>
            <w:shd w:fill="1A3A5C" w:val="clear"/>
            <w:tcMar>
              <w:top w:type="dxa" w:w="100"/>
              <w:bottom w:type="dxa" w:w="100"/>
            </w:tcMar>
            <w:vAlign w:val="center"/>
          </w:tcPr>
          <w:p>
            <w:pPr>
              <w:jc w:val="left"/>
            </w:pPr>
            <w:r>
              <w:rPr>
                <w:rFonts w:ascii="Arial" w:cs="Arial" w:eastAsia="Arial" w:hAnsi="Arial"/>
                <w:b/>
                <w:bCs/>
                <w:color w:val="FFFFFF"/>
                <w:sz w:val="20"/>
                <w:szCs w:val="20"/>
              </w:rPr>
              <w:t xml:space="default">Valor</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R-01</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Regime 1: variância mediana estável</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Rolling var. 2.000a</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0,67 ‰²</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R-02</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Regime 2: variância mediana pós-transição</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Rolling var. 2.000a</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0,06 ‰²</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R-03</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Redução de variabilidade dinâmica</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R-02 / R-01</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91%</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R-04</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Pico de variância na transição</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Rolling var. máximo</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~14,5 ‰²</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R-05</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Razão pico / Regime 1</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R-04 / R-01</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~36×</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R-06</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Amplitude de derivada no ponto de ruptura</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numpy.gradient máximo</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~17 ‰/século</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R-07</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Razão derivada pico / ruído de fundo</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R-06 / fundo</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~42×</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R-08</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Sequência de variância (CSD + bifurcação)</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Três medianas ordenadas</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0,67→0,46→pico→0,06</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R-09</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Irreversibilidade da transição</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Comparação nível pré/pós</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Confirmada</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R-10</w:t>
            </w:r>
          </w:p>
        </w:tc>
        <w:tc>
          <w:tcPr>
            <w:tcW w:type="dxa" w:w="30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Assimetria hemisférica Regime 1</w:t>
            </w:r>
          </w:p>
        </w:tc>
        <w:tc>
          <w:tcPr>
            <w:tcW w:type="dxa" w:w="2600"/>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NGRIP vs EPICA</w:t>
            </w:r>
          </w:p>
        </w:tc>
        <w:tc>
          <w:tcPr>
            <w:tcW w:type="dxa" w:w="3006"/>
            <w:tcBorders>
              <w:top w:val="single" w:color="CCCCCC" w:sz="1"/>
              <w:left w:val="single" w:color="CCCCCC" w:sz="1"/>
              <w:bottom w:val="single" w:color="CCCCCC" w:sz="1"/>
              <w:right w:val="single" w:color="CCCCCC" w:sz="1"/>
            </w:tcBorders>
            <w:shd w:fill="FFFFFF" w:val="clear"/>
            <w:tcMar>
              <w:top w:type="dxa" w:w="100"/>
              <w:bottom w:type="dxa" w:w="100"/>
            </w:tcMar>
            <w:vAlign w:val="center"/>
          </w:tcPr>
          <w:p>
            <w:pPr>
              <w:jc w:val="left"/>
            </w:pPr>
            <w:r>
              <w:rPr>
                <w:rFonts w:ascii="Arial" w:cs="Arial" w:eastAsia="Arial" w:hAnsi="Arial"/>
                <w:b w:val="false"/>
                <w:bCs w:val="false"/>
                <w:color w:val="000000"/>
                <w:sz w:val="20"/>
                <w:szCs w:val="20"/>
              </w:rPr>
              <w:t xml:space="preserve">NGRIP sistematicamente maior</w:t>
            </w:r>
          </w:p>
        </w:tc>
      </w:tr>
    </w:tbl>
    <w:p>
      <w:r>
        <w:t xml:space="preserve"/>
      </w:r>
    </w:p>
    <w:p>
      <w:pPr>
        <w:pStyle w:val="Heading2"/>
        <w:spacing w:before="300" w:after="160"/>
      </w:pPr>
      <w:r>
        <w:rPr>
          <w:rFonts w:ascii="Arial" w:cs="Arial" w:eastAsia="Arial" w:hAnsi="Arial"/>
          <w:b/>
          <w:bCs/>
          <w:color w:val="2E5F8A"/>
          <w:sz w:val="26"/>
          <w:szCs w:val="26"/>
        </w:rPr>
        <w:t xml:space="preserve">Implicação Fundamental</w:t>
      </w:r>
    </w:p>
    <w:p>
      <w:pPr>
        <w:spacing w:before="100" w:after="100"/>
        <w:jc w:val="both"/>
      </w:pPr>
      <w:r>
        <w:rPr>
          <w:rFonts w:ascii="Arial" w:cs="Arial" w:eastAsia="Arial" w:hAnsi="Arial"/>
          <w:sz w:val="22"/>
          <w:szCs w:val="22"/>
        </w:rPr>
        <w:t xml:space="preserve">Os dados registram um sistema que operou em estado de alta estabilidade e baixa variabilidade dinâmica por um período longo, sofreu uma transição com velocidade e amplitude anômalas — matematicamente inconsistente com qualquer processo gradual — e estabeleceu um novo estado de equilíbrio com variabilidade sistematicamente inferior ao estado anterior.</w:t>
      </w:r>
    </w:p>
    <w:p>
      <w:pPr>
        <w:spacing w:before="100" w:after="100"/>
        <w:jc w:val="both"/>
      </w:pPr>
      <w:r>
        <w:rPr>
          <w:rFonts w:ascii="Arial" w:cs="Arial" w:eastAsia="Arial" w:hAnsi="Arial"/>
          <w:sz w:val="22"/>
          <w:szCs w:val="22"/>
        </w:rPr>
        <w:t xml:space="preserve">A transição é irreversível, rápida e assimétrica. Qualquer hipótese causal deve satisfazer esses três critérios simultaneamente. Esta é a contribuição científica objetiva desta análise: a definição precisa e quantificada dos critérios que o mecanismo causal deve obedecer — independentemente de qual seja esse mecanismo.</w:t>
      </w:r>
    </w:p>
    <w:p>
      <w:r>
        <w:t xml:space="preserve"/>
      </w:r>
    </w:p>
    <w:p>
      <w:r>
        <w:t xml:space="preserve"/>
      </w:r>
    </w:p>
    <w:p>
      <w:pPr>
        <w:pBdr>
          <w:bottom w:val="single" w:color="1A3A5C" w:sz="6" w:space="1"/>
        </w:pBdr>
        <w:spacing w:before="200" w:after="200"/>
      </w:pPr>
      <w:r>
        <w:t xml:space="preserve"/>
      </w:r>
    </w:p>
    <w:p>
      <w:pPr>
        <w:spacing w:before="100" w:after="60"/>
        <w:jc w:val="center"/>
      </w:pPr>
      <w:r>
        <w:rPr>
          <w:rFonts w:ascii="Arial" w:cs="Arial" w:eastAsia="Arial" w:hAnsi="Arial"/>
          <w:i/>
          <w:iCs/>
          <w:color w:val="888888"/>
          <w:sz w:val="18"/>
          <w:szCs w:val="18"/>
        </w:rPr>
        <w:t xml:space="preserve">Paradigma Zero — Análise de Sinais Isotópicos | Março 2026</w:t>
      </w:r>
    </w:p>
    <w:p>
      <w:pPr>
        <w:spacing w:before="0" w:after="60"/>
        <w:jc w:val="center"/>
      </w:pPr>
      <w:r>
        <w:rPr>
          <w:rFonts w:ascii="Arial" w:cs="Arial" w:eastAsia="Arial" w:hAnsi="Arial"/>
          <w:i/>
          <w:iCs/>
          <w:color w:val="888888"/>
          <w:sz w:val="18"/>
          <w:szCs w:val="18"/>
        </w:rPr>
        <w:t xml:space="preserve">Alexssandro A. | ALEX7NDO@GMAIL.COM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2026-03-31T16:16:24.865Z</dcterms:created>
  <dcterms:modified xsi:type="dcterms:W3CDTF">2026-03-31T16:16:24.865Z</dcterms:modified>
</cp:coreProperties>
</file>

<file path=docProps/custom.xml><?xml version="1.0" encoding="utf-8"?>
<Properties xmlns="http://schemas.openxmlformats.org/officeDocument/2006/custom-properties" xmlns:vt="http://schemas.openxmlformats.org/officeDocument/2006/docPropsVTypes"/>
</file>