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B431" w14:textId="5F2024F8" w:rsidR="00ED6425" w:rsidRDefault="00ED23C3">
      <w:pPr>
        <w:spacing w:line="360" w:lineRule="auto"/>
        <w:rPr>
          <w:b/>
          <w:sz w:val="24"/>
          <w:szCs w:val="24"/>
        </w:rPr>
      </w:pPr>
      <w:r w:rsidRPr="009E43F2">
        <w:rPr>
          <w:b/>
          <w:sz w:val="24"/>
          <w:szCs w:val="24"/>
        </w:rPr>
        <w:t xml:space="preserve">Managed competition in the </w:t>
      </w:r>
      <w:r w:rsidR="00AD437C" w:rsidRPr="009E43F2">
        <w:rPr>
          <w:b/>
          <w:sz w:val="24"/>
          <w:szCs w:val="24"/>
        </w:rPr>
        <w:t>United States</w:t>
      </w:r>
      <w:r w:rsidRPr="009E43F2">
        <w:rPr>
          <w:b/>
          <w:sz w:val="24"/>
          <w:szCs w:val="24"/>
        </w:rPr>
        <w:t>: How well is it promoting</w:t>
      </w:r>
      <w:r w:rsidR="00AD437C" w:rsidRPr="009E43F2">
        <w:rPr>
          <w:b/>
          <w:sz w:val="24"/>
          <w:szCs w:val="24"/>
        </w:rPr>
        <w:t xml:space="preserve"> </w:t>
      </w:r>
      <w:r w:rsidRPr="009E43F2">
        <w:rPr>
          <w:b/>
          <w:sz w:val="24"/>
          <w:szCs w:val="24"/>
        </w:rPr>
        <w:t>e</w:t>
      </w:r>
      <w:r w:rsidR="00AD437C" w:rsidRPr="009E43F2">
        <w:rPr>
          <w:b/>
          <w:sz w:val="24"/>
          <w:szCs w:val="24"/>
        </w:rPr>
        <w:t>quity and efficiency?</w:t>
      </w:r>
    </w:p>
    <w:p w14:paraId="733A3ABA" w14:textId="77777777" w:rsidR="00D20A02" w:rsidRPr="009E43F2" w:rsidRDefault="00D20A02">
      <w:pPr>
        <w:spacing w:line="360" w:lineRule="auto"/>
        <w:rPr>
          <w:sz w:val="24"/>
          <w:szCs w:val="24"/>
        </w:rPr>
      </w:pPr>
    </w:p>
    <w:p w14:paraId="39BF4C81" w14:textId="77777777" w:rsidR="00D20A02" w:rsidRPr="009E43F2" w:rsidRDefault="00D20A02">
      <w:pPr>
        <w:spacing w:line="360" w:lineRule="auto"/>
        <w:rPr>
          <w:sz w:val="24"/>
          <w:szCs w:val="24"/>
        </w:rPr>
      </w:pPr>
    </w:p>
    <w:p w14:paraId="2FAA1170" w14:textId="35E42211" w:rsidR="00ED6425" w:rsidRDefault="00FA4FFF">
      <w:pPr>
        <w:spacing w:line="360" w:lineRule="auto"/>
        <w:rPr>
          <w:sz w:val="24"/>
          <w:szCs w:val="24"/>
        </w:rPr>
      </w:pPr>
      <w:r>
        <w:rPr>
          <w:sz w:val="24"/>
          <w:szCs w:val="24"/>
        </w:rPr>
        <w:t xml:space="preserve">October </w:t>
      </w:r>
      <w:r w:rsidR="00082EA8">
        <w:rPr>
          <w:sz w:val="24"/>
          <w:szCs w:val="24"/>
        </w:rPr>
        <w:t>31</w:t>
      </w:r>
      <w:r w:rsidR="00AD437C" w:rsidRPr="009E43F2">
        <w:rPr>
          <w:sz w:val="24"/>
          <w:szCs w:val="24"/>
        </w:rPr>
        <w:t>, 2022</w:t>
      </w:r>
    </w:p>
    <w:p w14:paraId="05387E44" w14:textId="003C2C75" w:rsidR="00A51AF2" w:rsidRDefault="00A51AF2">
      <w:pPr>
        <w:spacing w:line="360" w:lineRule="auto"/>
        <w:rPr>
          <w:sz w:val="24"/>
          <w:szCs w:val="24"/>
        </w:rPr>
      </w:pPr>
    </w:p>
    <w:p w14:paraId="1F8237E8" w14:textId="4C6B1E62" w:rsidR="00A51AF2" w:rsidRPr="00A51AF2" w:rsidRDefault="00A51AF2">
      <w:pPr>
        <w:spacing w:line="360" w:lineRule="auto"/>
        <w:rPr>
          <w:sz w:val="24"/>
          <w:szCs w:val="24"/>
        </w:rPr>
      </w:pPr>
      <w:r w:rsidRPr="001873FB">
        <w:rPr>
          <w:i/>
          <w:iCs/>
          <w:sz w:val="24"/>
          <w:szCs w:val="24"/>
        </w:rPr>
        <w:t>Abstract</w:t>
      </w:r>
      <w:r w:rsidR="001873FB">
        <w:rPr>
          <w:i/>
          <w:iCs/>
          <w:sz w:val="24"/>
          <w:szCs w:val="24"/>
        </w:rPr>
        <w:t xml:space="preserve">: </w:t>
      </w:r>
      <w:bookmarkStart w:id="0" w:name="_Hlk118102446"/>
      <w:r>
        <w:rPr>
          <w:sz w:val="24"/>
          <w:szCs w:val="24"/>
        </w:rPr>
        <w:t>Managed competition frameworks aim to control</w:t>
      </w:r>
      <w:r w:rsidR="003A7CDF">
        <w:rPr>
          <w:sz w:val="24"/>
          <w:szCs w:val="24"/>
        </w:rPr>
        <w:t xml:space="preserve"> healthcare</w:t>
      </w:r>
      <w:r>
        <w:rPr>
          <w:sz w:val="24"/>
          <w:szCs w:val="24"/>
        </w:rPr>
        <w:t xml:space="preserve"> costs and promote access to high-quality health insurance and services through a combination of public policies and market forces. In the United States, managed competition delivery systems are varied and diffused across a patchwork of divided markets and populations.</w:t>
      </w:r>
      <w:r w:rsidR="00A3317F">
        <w:rPr>
          <w:sz w:val="24"/>
          <w:szCs w:val="24"/>
        </w:rPr>
        <w:t xml:space="preserve"> This, coupled with extremely high national health spending per capita, makes a </w:t>
      </w:r>
      <w:r w:rsidR="00AC5B03">
        <w:rPr>
          <w:sz w:val="24"/>
          <w:szCs w:val="24"/>
        </w:rPr>
        <w:t xml:space="preserve">more </w:t>
      </w:r>
      <w:r w:rsidR="00A3317F">
        <w:rPr>
          <w:sz w:val="24"/>
          <w:szCs w:val="24"/>
        </w:rPr>
        <w:t xml:space="preserve">unified managed competition strategy an appealing alternative to </w:t>
      </w:r>
      <w:r w:rsidR="00AC5B03">
        <w:rPr>
          <w:sz w:val="24"/>
          <w:szCs w:val="24"/>
        </w:rPr>
        <w:t>a</w:t>
      </w:r>
      <w:r w:rsidR="00A3317F">
        <w:rPr>
          <w:sz w:val="24"/>
          <w:szCs w:val="24"/>
        </w:rPr>
        <w:t xml:space="preserve"> current</w:t>
      </w:r>
      <w:r w:rsidR="00AC5B03">
        <w:rPr>
          <w:sz w:val="24"/>
          <w:szCs w:val="24"/>
        </w:rPr>
        <w:t>ly struggling healthcare</w:t>
      </w:r>
      <w:r w:rsidR="00A3317F">
        <w:rPr>
          <w:sz w:val="24"/>
          <w:szCs w:val="24"/>
        </w:rPr>
        <w:t xml:space="preserve"> system.</w:t>
      </w:r>
      <w:r>
        <w:rPr>
          <w:sz w:val="24"/>
          <w:szCs w:val="24"/>
        </w:rPr>
        <w:t xml:space="preserve"> We examine the relative effectiveness </w:t>
      </w:r>
      <w:r w:rsidR="00A3317F">
        <w:rPr>
          <w:sz w:val="24"/>
          <w:szCs w:val="24"/>
        </w:rPr>
        <w:t xml:space="preserve">of three existing programs in the U.S. that </w:t>
      </w:r>
      <w:r w:rsidR="00FD384B">
        <w:rPr>
          <w:sz w:val="24"/>
          <w:szCs w:val="24"/>
        </w:rPr>
        <w:t xml:space="preserve">each </w:t>
      </w:r>
      <w:r w:rsidR="001F1949">
        <w:rPr>
          <w:sz w:val="24"/>
          <w:szCs w:val="24"/>
        </w:rPr>
        <w:t>rely upon</w:t>
      </w:r>
      <w:r w:rsidR="00A3317F">
        <w:rPr>
          <w:sz w:val="24"/>
          <w:szCs w:val="24"/>
        </w:rPr>
        <w:t xml:space="preserve"> some principles of managed competition: health</w:t>
      </w:r>
      <w:r w:rsidR="00AC5B03">
        <w:rPr>
          <w:sz w:val="24"/>
          <w:szCs w:val="24"/>
        </w:rPr>
        <w:t xml:space="preserve"> insurance</w:t>
      </w:r>
      <w:r w:rsidR="00A3317F">
        <w:rPr>
          <w:sz w:val="24"/>
          <w:szCs w:val="24"/>
        </w:rPr>
        <w:t xml:space="preserve"> exchanges</w:t>
      </w:r>
      <w:r w:rsidR="00FD384B">
        <w:rPr>
          <w:sz w:val="24"/>
          <w:szCs w:val="24"/>
        </w:rPr>
        <w:t xml:space="preserve"> instituted by the Affordable Care Act</w:t>
      </w:r>
      <w:r w:rsidR="00A3317F">
        <w:rPr>
          <w:sz w:val="24"/>
          <w:szCs w:val="24"/>
        </w:rPr>
        <w:t>, Medicaid managed care organizations, and Medicare Advantage plans. Although each program leverages some competitive features, each faces significant hurdles</w:t>
      </w:r>
      <w:r w:rsidR="00AC5B03">
        <w:rPr>
          <w:sz w:val="24"/>
          <w:szCs w:val="24"/>
        </w:rPr>
        <w:t xml:space="preserve"> as a candidate for expansion. </w:t>
      </w:r>
      <w:r w:rsidR="00A3317F">
        <w:rPr>
          <w:sz w:val="24"/>
          <w:szCs w:val="24"/>
        </w:rPr>
        <w:t>We highlight the</w:t>
      </w:r>
      <w:r w:rsidR="005D73B8">
        <w:rPr>
          <w:sz w:val="24"/>
          <w:szCs w:val="24"/>
        </w:rPr>
        <w:t xml:space="preserve">se </w:t>
      </w:r>
      <w:r w:rsidR="00A3317F">
        <w:rPr>
          <w:sz w:val="24"/>
          <w:szCs w:val="24"/>
        </w:rPr>
        <w:t xml:space="preserve">challenges </w:t>
      </w:r>
      <w:r w:rsidR="00FD384B">
        <w:rPr>
          <w:sz w:val="24"/>
          <w:szCs w:val="24"/>
        </w:rPr>
        <w:t xml:space="preserve">with </w:t>
      </w:r>
      <w:r w:rsidR="00A3317F" w:rsidRPr="009E43F2">
        <w:rPr>
          <w:sz w:val="24"/>
          <w:szCs w:val="24"/>
        </w:rPr>
        <w:t xml:space="preserve">a survey of </w:t>
      </w:r>
      <w:r w:rsidR="00AC5B03">
        <w:rPr>
          <w:sz w:val="24"/>
          <w:szCs w:val="24"/>
        </w:rPr>
        <w:t xml:space="preserve">academic </w:t>
      </w:r>
      <w:r w:rsidR="00A3317F" w:rsidRPr="009E43F2">
        <w:rPr>
          <w:sz w:val="24"/>
          <w:szCs w:val="24"/>
        </w:rPr>
        <w:t>health economists</w:t>
      </w:r>
      <w:r w:rsidR="00AC5B03">
        <w:rPr>
          <w:sz w:val="24"/>
          <w:szCs w:val="24"/>
        </w:rPr>
        <w:t>, and find t</w:t>
      </w:r>
      <w:r w:rsidR="00A3317F">
        <w:rPr>
          <w:sz w:val="24"/>
          <w:szCs w:val="24"/>
        </w:rPr>
        <w:t>hat</w:t>
      </w:r>
      <w:r w:rsidR="00AC5B03">
        <w:rPr>
          <w:sz w:val="24"/>
          <w:szCs w:val="24"/>
        </w:rPr>
        <w:t xml:space="preserve"> provider and insurer consolidation,</w:t>
      </w:r>
      <w:r w:rsidR="00A3317F">
        <w:rPr>
          <w:sz w:val="24"/>
          <w:szCs w:val="24"/>
        </w:rPr>
        <w:t xml:space="preserve"> </w:t>
      </w:r>
      <w:r w:rsidR="00AC5B03">
        <w:rPr>
          <w:sz w:val="24"/>
          <w:szCs w:val="24"/>
        </w:rPr>
        <w:t xml:space="preserve">highly segmented markets, and </w:t>
      </w:r>
      <w:r w:rsidR="00A3317F">
        <w:rPr>
          <w:sz w:val="24"/>
          <w:szCs w:val="24"/>
        </w:rPr>
        <w:t xml:space="preserve">failing to </w:t>
      </w:r>
      <w:r w:rsidR="00A3317F" w:rsidRPr="009E43F2">
        <w:rPr>
          <w:sz w:val="24"/>
          <w:szCs w:val="24"/>
        </w:rPr>
        <w:t xml:space="preserve">incentivize </w:t>
      </w:r>
      <w:r w:rsidR="00AC5B03">
        <w:rPr>
          <w:sz w:val="24"/>
          <w:szCs w:val="24"/>
        </w:rPr>
        <w:t xml:space="preserve">competitive </w:t>
      </w:r>
      <w:r w:rsidR="00A3317F" w:rsidRPr="009E43F2">
        <w:rPr>
          <w:sz w:val="24"/>
          <w:szCs w:val="24"/>
        </w:rPr>
        <w:t xml:space="preserve">efficiencies </w:t>
      </w:r>
      <w:r w:rsidR="00AC5B03">
        <w:rPr>
          <w:sz w:val="24"/>
          <w:szCs w:val="24"/>
        </w:rPr>
        <w:t xml:space="preserve">all dampen the success of existing programs. </w:t>
      </w:r>
      <w:r w:rsidR="00A3317F">
        <w:rPr>
          <w:sz w:val="24"/>
          <w:szCs w:val="24"/>
        </w:rPr>
        <w:t xml:space="preserve">Although managed competition for all is a potentially desirable framework for future health reform in the U.S., successful expansion relies on addressing fundamental issues </w:t>
      </w:r>
      <w:r w:rsidR="001F1949">
        <w:rPr>
          <w:sz w:val="24"/>
          <w:szCs w:val="24"/>
        </w:rPr>
        <w:t>revealed by</w:t>
      </w:r>
      <w:r w:rsidR="00AC5B03">
        <w:rPr>
          <w:sz w:val="24"/>
          <w:szCs w:val="24"/>
        </w:rPr>
        <w:t xml:space="preserve"> imperfect existing programs. </w:t>
      </w:r>
      <w:bookmarkEnd w:id="0"/>
    </w:p>
    <w:p w14:paraId="2A6BCC3B" w14:textId="77777777" w:rsidR="00ED6425" w:rsidRPr="009E43F2" w:rsidRDefault="00ED6425">
      <w:pPr>
        <w:spacing w:line="360" w:lineRule="auto"/>
        <w:rPr>
          <w:sz w:val="24"/>
          <w:szCs w:val="24"/>
        </w:rPr>
      </w:pPr>
    </w:p>
    <w:p w14:paraId="16AF0762" w14:textId="77777777" w:rsidR="00FD384B" w:rsidRDefault="00FD384B">
      <w:pPr>
        <w:rPr>
          <w:b/>
          <w:sz w:val="24"/>
          <w:szCs w:val="24"/>
        </w:rPr>
      </w:pPr>
      <w:r>
        <w:rPr>
          <w:b/>
          <w:sz w:val="24"/>
          <w:szCs w:val="24"/>
        </w:rPr>
        <w:br w:type="page"/>
      </w:r>
    </w:p>
    <w:p w14:paraId="0486C569" w14:textId="7D0DD4F0" w:rsidR="00ED6425" w:rsidRPr="009E43F2" w:rsidRDefault="00AD437C">
      <w:pPr>
        <w:spacing w:line="360" w:lineRule="auto"/>
        <w:rPr>
          <w:b/>
          <w:sz w:val="24"/>
          <w:szCs w:val="24"/>
        </w:rPr>
      </w:pPr>
      <w:r w:rsidRPr="009E43F2">
        <w:rPr>
          <w:b/>
          <w:sz w:val="24"/>
          <w:szCs w:val="24"/>
        </w:rPr>
        <w:lastRenderedPageBreak/>
        <w:t>1.</w:t>
      </w:r>
      <w:r w:rsidRPr="009E43F2">
        <w:rPr>
          <w:b/>
          <w:sz w:val="24"/>
          <w:szCs w:val="24"/>
        </w:rPr>
        <w:tab/>
        <w:t>INTRODUCTION</w:t>
      </w:r>
    </w:p>
    <w:p w14:paraId="414FF5AE" w14:textId="3C3B76E8" w:rsidR="00ED6425" w:rsidRPr="009E43F2" w:rsidRDefault="00AD437C">
      <w:pPr>
        <w:spacing w:line="360" w:lineRule="auto"/>
        <w:ind w:firstLine="720"/>
        <w:rPr>
          <w:sz w:val="24"/>
          <w:szCs w:val="24"/>
        </w:rPr>
      </w:pPr>
      <w:r w:rsidRPr="009E43F2">
        <w:rPr>
          <w:sz w:val="24"/>
          <w:szCs w:val="24"/>
        </w:rPr>
        <w:t>The US health insurance and health care delivery system</w:t>
      </w:r>
      <w:r w:rsidR="00653B1F">
        <w:rPr>
          <w:sz w:val="24"/>
          <w:szCs w:val="24"/>
        </w:rPr>
        <w:t>s</w:t>
      </w:r>
      <w:r w:rsidRPr="009E43F2">
        <w:rPr>
          <w:sz w:val="24"/>
          <w:szCs w:val="24"/>
        </w:rPr>
        <w:t xml:space="preserve"> </w:t>
      </w:r>
      <w:r w:rsidR="00653B1F" w:rsidRPr="009E43F2">
        <w:rPr>
          <w:sz w:val="24"/>
          <w:szCs w:val="24"/>
        </w:rPr>
        <w:t>are</w:t>
      </w:r>
      <w:r w:rsidRPr="009E43F2">
        <w:rPr>
          <w:sz w:val="24"/>
          <w:szCs w:val="24"/>
        </w:rPr>
        <w:t xml:space="preserve"> premised on the assumption that competition </w:t>
      </w:r>
      <w:r w:rsidR="00653B1F">
        <w:rPr>
          <w:sz w:val="24"/>
          <w:szCs w:val="24"/>
        </w:rPr>
        <w:t>will</w:t>
      </w:r>
      <w:r w:rsidRPr="009E43F2">
        <w:rPr>
          <w:sz w:val="24"/>
          <w:szCs w:val="24"/>
        </w:rPr>
        <w:t xml:space="preserve"> promote efficiency and equity. Yet its patchwork of different insurance programs, high costs, and continuing equity problems challenge that assumption. Managed competition with tightly regulated health plan options ha</w:t>
      </w:r>
      <w:r w:rsidR="00946275" w:rsidRPr="009E43F2">
        <w:rPr>
          <w:sz w:val="24"/>
          <w:szCs w:val="24"/>
        </w:rPr>
        <w:t>s</w:t>
      </w:r>
      <w:r w:rsidRPr="009E43F2">
        <w:rPr>
          <w:sz w:val="24"/>
          <w:szCs w:val="24"/>
        </w:rPr>
        <w:t xml:space="preserve"> been relatively successful in mitigating and resolving these problems in other developed countries. </w:t>
      </w:r>
      <w:r w:rsidR="00946275" w:rsidRPr="009E43F2">
        <w:rPr>
          <w:sz w:val="24"/>
          <w:szCs w:val="24"/>
        </w:rPr>
        <w:t xml:space="preserve">Why not in US managed competition programs? </w:t>
      </w:r>
      <w:r w:rsidRPr="009E43F2">
        <w:rPr>
          <w:sz w:val="24"/>
          <w:szCs w:val="24"/>
        </w:rPr>
        <w:t xml:space="preserve">In this paper, we examine </w:t>
      </w:r>
      <w:r w:rsidR="001F1949">
        <w:rPr>
          <w:sz w:val="24"/>
          <w:szCs w:val="24"/>
        </w:rPr>
        <w:t xml:space="preserve">whether </w:t>
      </w:r>
      <w:r w:rsidR="00ED23C3" w:rsidRPr="009E43F2">
        <w:rPr>
          <w:sz w:val="24"/>
          <w:szCs w:val="24"/>
        </w:rPr>
        <w:t xml:space="preserve">three existing </w:t>
      </w:r>
      <w:r w:rsidR="009423FB" w:rsidRPr="009E43F2">
        <w:rPr>
          <w:sz w:val="24"/>
          <w:szCs w:val="24"/>
        </w:rPr>
        <w:t xml:space="preserve">US markets that </w:t>
      </w:r>
      <w:r w:rsidR="00ED23C3" w:rsidRPr="009E43F2">
        <w:rPr>
          <w:sz w:val="24"/>
          <w:szCs w:val="24"/>
        </w:rPr>
        <w:t>rely on health plan level competition</w:t>
      </w:r>
      <w:r w:rsidR="00461669">
        <w:rPr>
          <w:sz w:val="24"/>
          <w:szCs w:val="24"/>
        </w:rPr>
        <w:t>—</w:t>
      </w:r>
      <w:r w:rsidR="00ED23C3" w:rsidRPr="009E43F2">
        <w:rPr>
          <w:sz w:val="24"/>
          <w:szCs w:val="24"/>
        </w:rPr>
        <w:t xml:space="preserve">in </w:t>
      </w:r>
      <w:r w:rsidR="002B27AD">
        <w:rPr>
          <w:sz w:val="24"/>
          <w:szCs w:val="24"/>
        </w:rPr>
        <w:t xml:space="preserve">the Marketplaces, </w:t>
      </w:r>
      <w:r w:rsidR="00ED23C3" w:rsidRPr="009E43F2">
        <w:rPr>
          <w:sz w:val="24"/>
          <w:szCs w:val="24"/>
        </w:rPr>
        <w:t>Medicare, Medicaid</w:t>
      </w:r>
      <w:r w:rsidR="00461669">
        <w:rPr>
          <w:sz w:val="24"/>
          <w:szCs w:val="24"/>
        </w:rPr>
        <w:t>—</w:t>
      </w:r>
      <w:r w:rsidR="00ED23C3" w:rsidRPr="009E43F2">
        <w:rPr>
          <w:sz w:val="24"/>
          <w:szCs w:val="24"/>
        </w:rPr>
        <w:t xml:space="preserve">might be adapted to </w:t>
      </w:r>
      <w:r w:rsidRPr="009E43F2">
        <w:rPr>
          <w:sz w:val="24"/>
          <w:szCs w:val="24"/>
        </w:rPr>
        <w:t xml:space="preserve">move the United States toward a </w:t>
      </w:r>
      <w:r w:rsidR="00BC2000" w:rsidRPr="009E43F2">
        <w:rPr>
          <w:sz w:val="24"/>
          <w:szCs w:val="24"/>
        </w:rPr>
        <w:t>unified</w:t>
      </w:r>
      <w:r w:rsidR="003405FD">
        <w:rPr>
          <w:sz w:val="24"/>
          <w:szCs w:val="24"/>
        </w:rPr>
        <w:t>,</w:t>
      </w:r>
      <w:r w:rsidR="00BC2000" w:rsidRPr="009E43F2">
        <w:rPr>
          <w:sz w:val="24"/>
          <w:szCs w:val="24"/>
        </w:rPr>
        <w:t xml:space="preserve"> </w:t>
      </w:r>
      <w:r w:rsidR="00ED23C3" w:rsidRPr="009E43F2">
        <w:rPr>
          <w:sz w:val="24"/>
          <w:szCs w:val="24"/>
        </w:rPr>
        <w:t xml:space="preserve">more effective </w:t>
      </w:r>
      <w:r w:rsidRPr="009E43F2">
        <w:rPr>
          <w:sz w:val="24"/>
          <w:szCs w:val="24"/>
        </w:rPr>
        <w:t xml:space="preserve">system of managed competition. </w:t>
      </w:r>
      <w:r w:rsidR="00461669">
        <w:rPr>
          <w:sz w:val="24"/>
          <w:szCs w:val="24"/>
        </w:rPr>
        <w:t xml:space="preserve">We assess the relative strengths and weaknesses of each program, as well as factors in the U.S. more generally which inhibit the role of regulation in promoting competition. </w:t>
      </w:r>
    </w:p>
    <w:p w14:paraId="5DAE5846" w14:textId="467CE5AA" w:rsidR="00ED742F" w:rsidRPr="00395FE2" w:rsidRDefault="00AD437C">
      <w:pPr>
        <w:spacing w:line="360" w:lineRule="auto"/>
        <w:ind w:firstLine="720"/>
        <w:rPr>
          <w:sz w:val="24"/>
          <w:szCs w:val="24"/>
        </w:rPr>
      </w:pPr>
      <w:bookmarkStart w:id="1" w:name="_Hlk115863374"/>
      <w:r w:rsidRPr="009E43F2">
        <w:rPr>
          <w:sz w:val="24"/>
          <w:szCs w:val="24"/>
        </w:rPr>
        <w:t xml:space="preserve">Well-run managed competition structures, such as those of Germany and the Netherlands, have much to admire and emulate. These countries have obtained higher life expectancy and higher consumer satisfaction while </w:t>
      </w:r>
      <w:r w:rsidR="00ED23C3" w:rsidRPr="009E43F2">
        <w:rPr>
          <w:sz w:val="24"/>
          <w:szCs w:val="24"/>
        </w:rPr>
        <w:t xml:space="preserve">holding total health care costs to </w:t>
      </w:r>
      <w:r w:rsidRPr="009E43F2">
        <w:rPr>
          <w:sz w:val="24"/>
          <w:szCs w:val="24"/>
        </w:rPr>
        <w:t xml:space="preserve">roughly one third </w:t>
      </w:r>
      <w:r w:rsidR="00ED23C3" w:rsidRPr="009E43F2">
        <w:rPr>
          <w:sz w:val="24"/>
          <w:szCs w:val="24"/>
        </w:rPr>
        <w:t xml:space="preserve">those </w:t>
      </w:r>
      <w:r w:rsidRPr="009E43F2">
        <w:rPr>
          <w:sz w:val="24"/>
          <w:szCs w:val="24"/>
        </w:rPr>
        <w:t xml:space="preserve">of the </w:t>
      </w:r>
      <w:r w:rsidR="00653B1F">
        <w:rPr>
          <w:sz w:val="24"/>
          <w:szCs w:val="24"/>
        </w:rPr>
        <w:t>US.</w:t>
      </w:r>
      <w:r w:rsidRPr="009E43F2">
        <w:rPr>
          <w:sz w:val="24"/>
          <w:szCs w:val="24"/>
        </w:rPr>
        <w:t xml:space="preserve"> </w:t>
      </w:r>
      <w:r w:rsidR="00ED742F">
        <w:rPr>
          <w:sz w:val="24"/>
          <w:szCs w:val="24"/>
        </w:rPr>
        <w:t xml:space="preserve">Furthermore, managed competition </w:t>
      </w:r>
      <w:r w:rsidR="00395FE2">
        <w:rPr>
          <w:sz w:val="24"/>
          <w:szCs w:val="24"/>
        </w:rPr>
        <w:t xml:space="preserve">systems tend to exhibit lower rates of </w:t>
      </w:r>
      <w:r w:rsidR="00395FE2">
        <w:rPr>
          <w:i/>
          <w:iCs/>
          <w:sz w:val="24"/>
          <w:szCs w:val="24"/>
        </w:rPr>
        <w:t xml:space="preserve">ex-ante </w:t>
      </w:r>
      <w:r w:rsidR="00395FE2">
        <w:rPr>
          <w:sz w:val="24"/>
          <w:szCs w:val="24"/>
        </w:rPr>
        <w:t xml:space="preserve">economic inefficiency, measured by selection-based issues in both insurance plan design and selection (Layton et al., 2017). Finally, leveraging public policy to incentivize a competitive framework also has the potential advantage that policies can be designed to promote </w:t>
      </w:r>
      <w:r w:rsidR="00395FE2">
        <w:rPr>
          <w:i/>
          <w:iCs/>
          <w:sz w:val="24"/>
          <w:szCs w:val="24"/>
        </w:rPr>
        <w:t xml:space="preserve">equitable </w:t>
      </w:r>
      <w:r w:rsidR="00395FE2">
        <w:rPr>
          <w:sz w:val="24"/>
          <w:szCs w:val="24"/>
        </w:rPr>
        <w:t>competition, with specific focus given to health disparities that persist in the United States (</w:t>
      </w:r>
      <w:r w:rsidR="005228A9">
        <w:rPr>
          <w:sz w:val="24"/>
          <w:szCs w:val="24"/>
        </w:rPr>
        <w:t>Institute of Medicine, 2003</w:t>
      </w:r>
      <w:r w:rsidR="00395FE2">
        <w:rPr>
          <w:sz w:val="24"/>
          <w:szCs w:val="24"/>
        </w:rPr>
        <w:t xml:space="preserve">). </w:t>
      </w:r>
    </w:p>
    <w:bookmarkEnd w:id="1"/>
    <w:p w14:paraId="3390F851" w14:textId="0A639A16" w:rsidR="00ED6425" w:rsidRPr="009E43F2" w:rsidRDefault="003405FD">
      <w:pPr>
        <w:spacing w:line="360" w:lineRule="auto"/>
        <w:ind w:firstLine="720"/>
        <w:rPr>
          <w:sz w:val="24"/>
          <w:szCs w:val="24"/>
        </w:rPr>
      </w:pPr>
      <w:r>
        <w:rPr>
          <w:sz w:val="24"/>
          <w:szCs w:val="24"/>
        </w:rPr>
        <w:t>At this time</w:t>
      </w:r>
      <w:r w:rsidR="001C4633">
        <w:rPr>
          <w:sz w:val="24"/>
          <w:szCs w:val="24"/>
        </w:rPr>
        <w:t>,</w:t>
      </w:r>
      <w:r>
        <w:rPr>
          <w:sz w:val="24"/>
          <w:szCs w:val="24"/>
        </w:rPr>
        <w:t xml:space="preserve"> the most common alternative discussed for the US is some form of “Medicare for All”, which would implement a single payer system </w:t>
      </w:r>
      <w:proofErr w:type="gramStart"/>
      <w:r>
        <w:rPr>
          <w:sz w:val="24"/>
          <w:szCs w:val="24"/>
        </w:rPr>
        <w:t>similar to</w:t>
      </w:r>
      <w:proofErr w:type="gramEnd"/>
      <w:r>
        <w:rPr>
          <w:sz w:val="24"/>
          <w:szCs w:val="24"/>
        </w:rPr>
        <w:t xml:space="preserve"> Canada</w:t>
      </w:r>
      <w:r w:rsidR="0014069E">
        <w:rPr>
          <w:sz w:val="24"/>
          <w:szCs w:val="24"/>
        </w:rPr>
        <w:t xml:space="preserve"> or the UK</w:t>
      </w:r>
      <w:r>
        <w:rPr>
          <w:sz w:val="24"/>
          <w:szCs w:val="24"/>
        </w:rPr>
        <w:t xml:space="preserve">. Yet </w:t>
      </w:r>
      <w:r w:rsidR="0014069E">
        <w:rPr>
          <w:sz w:val="24"/>
          <w:szCs w:val="24"/>
        </w:rPr>
        <w:t>discussing,</w:t>
      </w:r>
      <w:r>
        <w:rPr>
          <w:sz w:val="24"/>
          <w:szCs w:val="24"/>
        </w:rPr>
        <w:t xml:space="preserve"> let alone implementing</w:t>
      </w:r>
      <w:r w:rsidR="0014069E">
        <w:rPr>
          <w:sz w:val="24"/>
          <w:szCs w:val="24"/>
        </w:rPr>
        <w:t>,</w:t>
      </w:r>
      <w:r>
        <w:rPr>
          <w:sz w:val="24"/>
          <w:szCs w:val="24"/>
        </w:rPr>
        <w:t xml:space="preserve"> this </w:t>
      </w:r>
      <w:r w:rsidR="0014069E">
        <w:rPr>
          <w:sz w:val="24"/>
          <w:szCs w:val="24"/>
        </w:rPr>
        <w:t xml:space="preserve">dramatic </w:t>
      </w:r>
      <w:r>
        <w:rPr>
          <w:sz w:val="24"/>
          <w:szCs w:val="24"/>
        </w:rPr>
        <w:t>reform is challenging in a setting in which US e</w:t>
      </w:r>
      <w:r w:rsidR="00483E01" w:rsidRPr="009E43F2">
        <w:rPr>
          <w:sz w:val="24"/>
          <w:szCs w:val="24"/>
        </w:rPr>
        <w:t>mployees</w:t>
      </w:r>
      <w:r w:rsidR="00946275" w:rsidRPr="009E43F2">
        <w:rPr>
          <w:sz w:val="24"/>
          <w:szCs w:val="24"/>
        </w:rPr>
        <w:t xml:space="preserve"> </w:t>
      </w:r>
      <w:r w:rsidR="0014069E">
        <w:rPr>
          <w:sz w:val="24"/>
          <w:szCs w:val="24"/>
        </w:rPr>
        <w:t xml:space="preserve">and employers </w:t>
      </w:r>
      <w:r w:rsidR="00483E01" w:rsidRPr="009E43F2">
        <w:rPr>
          <w:sz w:val="24"/>
          <w:szCs w:val="24"/>
        </w:rPr>
        <w:t xml:space="preserve">are strongly </w:t>
      </w:r>
      <w:r w:rsidR="00946275" w:rsidRPr="009E43F2">
        <w:rPr>
          <w:sz w:val="24"/>
          <w:szCs w:val="24"/>
        </w:rPr>
        <w:t>attach</w:t>
      </w:r>
      <w:r w:rsidR="00B5000D">
        <w:rPr>
          <w:sz w:val="24"/>
          <w:szCs w:val="24"/>
        </w:rPr>
        <w:t>ed</w:t>
      </w:r>
      <w:r w:rsidR="00946275" w:rsidRPr="009E43F2">
        <w:rPr>
          <w:sz w:val="24"/>
          <w:szCs w:val="24"/>
        </w:rPr>
        <w:t xml:space="preserve"> to </w:t>
      </w:r>
      <w:r w:rsidR="00483E01" w:rsidRPr="009E43F2">
        <w:rPr>
          <w:sz w:val="24"/>
          <w:szCs w:val="24"/>
        </w:rPr>
        <w:t xml:space="preserve">their existing </w:t>
      </w:r>
      <w:r w:rsidR="00946275" w:rsidRPr="009E43F2">
        <w:rPr>
          <w:sz w:val="24"/>
          <w:szCs w:val="24"/>
        </w:rPr>
        <w:t>private health plans</w:t>
      </w:r>
      <w:r w:rsidR="00483E01" w:rsidRPr="009E43F2">
        <w:rPr>
          <w:sz w:val="24"/>
          <w:szCs w:val="24"/>
        </w:rPr>
        <w:t xml:space="preserve">, </w:t>
      </w:r>
      <w:r w:rsidR="00946275" w:rsidRPr="009E43F2">
        <w:rPr>
          <w:sz w:val="24"/>
          <w:szCs w:val="24"/>
        </w:rPr>
        <w:t xml:space="preserve">and entrenched large provider </w:t>
      </w:r>
      <w:r w:rsidR="00483E01" w:rsidRPr="009E43F2">
        <w:rPr>
          <w:sz w:val="24"/>
          <w:szCs w:val="24"/>
        </w:rPr>
        <w:t xml:space="preserve">groups and </w:t>
      </w:r>
      <w:r w:rsidR="00946275" w:rsidRPr="009E43F2">
        <w:rPr>
          <w:sz w:val="24"/>
          <w:szCs w:val="24"/>
        </w:rPr>
        <w:t xml:space="preserve">networks </w:t>
      </w:r>
      <w:r w:rsidR="0014069E">
        <w:rPr>
          <w:sz w:val="24"/>
          <w:szCs w:val="24"/>
        </w:rPr>
        <w:t>also resist change.</w:t>
      </w:r>
      <w:r w:rsidR="00483E01" w:rsidRPr="009E43F2">
        <w:rPr>
          <w:sz w:val="24"/>
          <w:szCs w:val="24"/>
        </w:rPr>
        <w:t xml:space="preserve"> S</w:t>
      </w:r>
      <w:r w:rsidR="00946275" w:rsidRPr="009E43F2">
        <w:rPr>
          <w:sz w:val="24"/>
          <w:szCs w:val="24"/>
        </w:rPr>
        <w:t>tandardizing coverage</w:t>
      </w:r>
      <w:r w:rsidR="00483E01" w:rsidRPr="009E43F2">
        <w:rPr>
          <w:sz w:val="24"/>
          <w:szCs w:val="24"/>
        </w:rPr>
        <w:t xml:space="preserve">, regulating provider prices, </w:t>
      </w:r>
      <w:r w:rsidR="002812BE">
        <w:rPr>
          <w:sz w:val="24"/>
          <w:szCs w:val="24"/>
        </w:rPr>
        <w:t xml:space="preserve">and </w:t>
      </w:r>
      <w:r w:rsidR="00483E01" w:rsidRPr="009E43F2">
        <w:rPr>
          <w:sz w:val="24"/>
          <w:szCs w:val="24"/>
        </w:rPr>
        <w:t>promoting competition</w:t>
      </w:r>
      <w:r w:rsidR="00946275" w:rsidRPr="009E43F2">
        <w:rPr>
          <w:sz w:val="24"/>
          <w:szCs w:val="24"/>
        </w:rPr>
        <w:t xml:space="preserve"> </w:t>
      </w:r>
      <w:r w:rsidR="00483E01" w:rsidRPr="009E43F2">
        <w:rPr>
          <w:sz w:val="24"/>
          <w:szCs w:val="24"/>
        </w:rPr>
        <w:t xml:space="preserve">in </w:t>
      </w:r>
      <w:r w:rsidR="0014069E">
        <w:rPr>
          <w:sz w:val="24"/>
          <w:szCs w:val="24"/>
        </w:rPr>
        <w:t xml:space="preserve">a </w:t>
      </w:r>
      <w:r w:rsidR="002B27AD">
        <w:rPr>
          <w:sz w:val="24"/>
          <w:szCs w:val="24"/>
        </w:rPr>
        <w:t xml:space="preserve">managed competition </w:t>
      </w:r>
      <w:r w:rsidR="0014069E">
        <w:rPr>
          <w:sz w:val="24"/>
          <w:szCs w:val="24"/>
        </w:rPr>
        <w:t xml:space="preserve">system </w:t>
      </w:r>
      <w:r w:rsidR="00946275" w:rsidRPr="009E43F2">
        <w:rPr>
          <w:sz w:val="24"/>
          <w:szCs w:val="24"/>
        </w:rPr>
        <w:t xml:space="preserve">may be </w:t>
      </w:r>
      <w:r w:rsidR="00AD437C" w:rsidRPr="009E43F2">
        <w:rPr>
          <w:sz w:val="24"/>
          <w:szCs w:val="24"/>
        </w:rPr>
        <w:t xml:space="preserve">more </w:t>
      </w:r>
      <w:r w:rsidR="00ED23C3" w:rsidRPr="009E43F2">
        <w:rPr>
          <w:sz w:val="24"/>
          <w:szCs w:val="24"/>
        </w:rPr>
        <w:t xml:space="preserve">politically </w:t>
      </w:r>
      <w:r w:rsidR="009423FB" w:rsidRPr="009E43F2">
        <w:rPr>
          <w:sz w:val="24"/>
          <w:szCs w:val="24"/>
        </w:rPr>
        <w:t xml:space="preserve">attractive </w:t>
      </w:r>
      <w:r w:rsidR="00AD437C" w:rsidRPr="009E43F2">
        <w:rPr>
          <w:sz w:val="24"/>
          <w:szCs w:val="24"/>
        </w:rPr>
        <w:t>than</w:t>
      </w:r>
      <w:r w:rsidR="00483E01" w:rsidRPr="009E43F2">
        <w:rPr>
          <w:sz w:val="24"/>
          <w:szCs w:val="24"/>
        </w:rPr>
        <w:t xml:space="preserve"> current </w:t>
      </w:r>
      <w:r w:rsidR="00946275" w:rsidRPr="009E43F2">
        <w:rPr>
          <w:sz w:val="24"/>
          <w:szCs w:val="24"/>
        </w:rPr>
        <w:t xml:space="preserve">“Medicare for All” </w:t>
      </w:r>
      <w:r w:rsidR="002B27AD">
        <w:rPr>
          <w:sz w:val="24"/>
          <w:szCs w:val="24"/>
        </w:rPr>
        <w:t xml:space="preserve">proposals when </w:t>
      </w:r>
      <w:r w:rsidR="001F1949">
        <w:rPr>
          <w:sz w:val="24"/>
          <w:szCs w:val="24"/>
        </w:rPr>
        <w:t>attempting</w:t>
      </w:r>
      <w:r w:rsidR="002B27AD">
        <w:rPr>
          <w:sz w:val="24"/>
          <w:szCs w:val="24"/>
        </w:rPr>
        <w:t xml:space="preserve"> to improve</w:t>
      </w:r>
      <w:r w:rsidR="001F1949">
        <w:rPr>
          <w:sz w:val="24"/>
          <w:szCs w:val="24"/>
        </w:rPr>
        <w:t xml:space="preserve"> US</w:t>
      </w:r>
      <w:r w:rsidR="002B27AD">
        <w:rPr>
          <w:sz w:val="24"/>
          <w:szCs w:val="24"/>
        </w:rPr>
        <w:t xml:space="preserve"> </w:t>
      </w:r>
      <w:r w:rsidR="00B704E0" w:rsidRPr="009E43F2">
        <w:rPr>
          <w:sz w:val="24"/>
          <w:szCs w:val="24"/>
        </w:rPr>
        <w:t>efficiency</w:t>
      </w:r>
      <w:r w:rsidR="0014069E">
        <w:rPr>
          <w:sz w:val="24"/>
          <w:szCs w:val="24"/>
        </w:rPr>
        <w:t>,</w:t>
      </w:r>
      <w:r w:rsidR="00B704E0" w:rsidRPr="009E43F2">
        <w:rPr>
          <w:sz w:val="24"/>
          <w:szCs w:val="24"/>
        </w:rPr>
        <w:t xml:space="preserve"> </w:t>
      </w:r>
      <w:r w:rsidR="00461669" w:rsidRPr="009E43F2">
        <w:rPr>
          <w:sz w:val="24"/>
          <w:szCs w:val="24"/>
        </w:rPr>
        <w:t>quality,</w:t>
      </w:r>
      <w:r w:rsidR="0014069E">
        <w:rPr>
          <w:sz w:val="24"/>
          <w:szCs w:val="24"/>
        </w:rPr>
        <w:t xml:space="preserve"> and equity</w:t>
      </w:r>
      <w:r w:rsidR="00AD437C" w:rsidRPr="009E43F2">
        <w:rPr>
          <w:sz w:val="24"/>
          <w:szCs w:val="24"/>
        </w:rPr>
        <w:t>.</w:t>
      </w:r>
    </w:p>
    <w:p w14:paraId="772C6DE7" w14:textId="28C95E19" w:rsidR="00032B99" w:rsidRDefault="00461669">
      <w:pPr>
        <w:spacing w:line="360" w:lineRule="auto"/>
        <w:ind w:firstLine="720"/>
        <w:rPr>
          <w:sz w:val="24"/>
          <w:szCs w:val="24"/>
        </w:rPr>
      </w:pPr>
      <w:bookmarkStart w:id="2" w:name="_Hlk118102485"/>
      <w:r>
        <w:rPr>
          <w:sz w:val="24"/>
          <w:szCs w:val="24"/>
        </w:rPr>
        <w:lastRenderedPageBreak/>
        <w:t xml:space="preserve">Our goal is to both highlight the current landscape of managed competition in the United States and to outline the potential barriers to expanding its scope. We </w:t>
      </w:r>
      <w:r w:rsidR="001F1949">
        <w:rPr>
          <w:sz w:val="24"/>
          <w:szCs w:val="24"/>
        </w:rPr>
        <w:t>examine</w:t>
      </w:r>
      <w:r>
        <w:rPr>
          <w:sz w:val="24"/>
          <w:szCs w:val="24"/>
        </w:rPr>
        <w:t xml:space="preserve"> </w:t>
      </w:r>
      <w:r w:rsidR="00AD437C" w:rsidRPr="009E43F2">
        <w:rPr>
          <w:sz w:val="24"/>
          <w:szCs w:val="24"/>
        </w:rPr>
        <w:t xml:space="preserve">three existing insurance programs in the </w:t>
      </w:r>
      <w:r w:rsidR="00B5000D">
        <w:rPr>
          <w:sz w:val="24"/>
          <w:szCs w:val="24"/>
        </w:rPr>
        <w:t>US</w:t>
      </w:r>
      <w:r w:rsidR="00AD437C" w:rsidRPr="009E43F2">
        <w:rPr>
          <w:sz w:val="24"/>
          <w:szCs w:val="24"/>
        </w:rPr>
        <w:t xml:space="preserve"> </w:t>
      </w:r>
      <w:r w:rsidR="001F1949">
        <w:rPr>
          <w:sz w:val="24"/>
          <w:szCs w:val="24"/>
        </w:rPr>
        <w:t xml:space="preserve">fostering health plan-level competition </w:t>
      </w:r>
      <w:r>
        <w:rPr>
          <w:sz w:val="24"/>
          <w:szCs w:val="24"/>
        </w:rPr>
        <w:t xml:space="preserve">as potential candidates for a national, expanded program: </w:t>
      </w:r>
      <w:r w:rsidR="00AD437C" w:rsidRPr="009E43F2">
        <w:rPr>
          <w:sz w:val="24"/>
          <w:szCs w:val="24"/>
        </w:rPr>
        <w:t xml:space="preserve">the </w:t>
      </w:r>
      <w:r w:rsidR="0014069E">
        <w:rPr>
          <w:sz w:val="24"/>
          <w:szCs w:val="24"/>
        </w:rPr>
        <w:t>Affordable Care Act (</w:t>
      </w:r>
      <w:r w:rsidR="00AD437C" w:rsidRPr="009E43F2">
        <w:rPr>
          <w:sz w:val="24"/>
          <w:szCs w:val="24"/>
        </w:rPr>
        <w:t>ACA</w:t>
      </w:r>
      <w:r w:rsidR="0014069E">
        <w:rPr>
          <w:sz w:val="24"/>
          <w:szCs w:val="24"/>
        </w:rPr>
        <w:t>)</w:t>
      </w:r>
      <w:r w:rsidR="00AD437C" w:rsidRPr="009E43F2">
        <w:rPr>
          <w:sz w:val="24"/>
          <w:szCs w:val="24"/>
        </w:rPr>
        <w:t xml:space="preserve"> Marketplace</w:t>
      </w:r>
      <w:r w:rsidR="002B27AD">
        <w:rPr>
          <w:sz w:val="24"/>
          <w:szCs w:val="24"/>
        </w:rPr>
        <w:t>s</w:t>
      </w:r>
      <w:r w:rsidR="00AD437C" w:rsidRPr="009E43F2">
        <w:rPr>
          <w:sz w:val="24"/>
          <w:szCs w:val="24"/>
        </w:rPr>
        <w:t xml:space="preserve">, Medicare Advantage, and state Medicaid Managed Care Organizations (MCOs). For each program, we describe the </w:t>
      </w:r>
      <w:r w:rsidR="000B5465" w:rsidRPr="009E43F2">
        <w:rPr>
          <w:sz w:val="24"/>
          <w:szCs w:val="24"/>
        </w:rPr>
        <w:t xml:space="preserve">structure of </w:t>
      </w:r>
      <w:r w:rsidR="00AD437C" w:rsidRPr="009E43F2">
        <w:rPr>
          <w:sz w:val="24"/>
          <w:szCs w:val="24"/>
        </w:rPr>
        <w:t xml:space="preserve">managed competition underlying the program </w:t>
      </w:r>
      <w:r>
        <w:rPr>
          <w:sz w:val="24"/>
          <w:szCs w:val="24"/>
        </w:rPr>
        <w:t>and</w:t>
      </w:r>
      <w:r w:rsidR="00AD437C" w:rsidRPr="009E43F2">
        <w:rPr>
          <w:sz w:val="24"/>
          <w:szCs w:val="24"/>
        </w:rPr>
        <w:t xml:space="preserve"> the main advantages and challenges associated with </w:t>
      </w:r>
      <w:r w:rsidR="002812BE">
        <w:rPr>
          <w:sz w:val="24"/>
          <w:szCs w:val="24"/>
        </w:rPr>
        <w:t>broadening the program</w:t>
      </w:r>
      <w:r w:rsidR="00AD437C" w:rsidRPr="009E43F2">
        <w:rPr>
          <w:sz w:val="24"/>
          <w:szCs w:val="24"/>
        </w:rPr>
        <w:t xml:space="preserve">. Following this, we turn to describing the broader institutional landscape in the </w:t>
      </w:r>
      <w:r w:rsidR="00B5000D">
        <w:rPr>
          <w:sz w:val="24"/>
          <w:szCs w:val="24"/>
        </w:rPr>
        <w:t>US</w:t>
      </w:r>
      <w:r w:rsidR="00AD437C" w:rsidRPr="009E43F2">
        <w:rPr>
          <w:sz w:val="24"/>
          <w:szCs w:val="24"/>
        </w:rPr>
        <w:t xml:space="preserve"> healthcare system, focusing on the extent to which certain preconditions for competition are met </w:t>
      </w:r>
      <w:r>
        <w:rPr>
          <w:sz w:val="24"/>
          <w:szCs w:val="24"/>
        </w:rPr>
        <w:t>generally</w:t>
      </w:r>
      <w:r w:rsidR="00AD437C" w:rsidRPr="009E43F2">
        <w:rPr>
          <w:sz w:val="24"/>
          <w:szCs w:val="24"/>
        </w:rPr>
        <w:t xml:space="preserve">. We rely on a survey of health economists to illustrate the </w:t>
      </w:r>
      <w:r w:rsidR="00AE7D57" w:rsidRPr="009E43F2">
        <w:rPr>
          <w:sz w:val="24"/>
          <w:szCs w:val="24"/>
        </w:rPr>
        <w:t xml:space="preserve">current </w:t>
      </w:r>
      <w:r w:rsidR="00AD437C" w:rsidRPr="009E43F2">
        <w:rPr>
          <w:sz w:val="24"/>
          <w:szCs w:val="24"/>
        </w:rPr>
        <w:t xml:space="preserve">shortcomings of the </w:t>
      </w:r>
      <w:r w:rsidR="00B5000D">
        <w:rPr>
          <w:sz w:val="24"/>
          <w:szCs w:val="24"/>
        </w:rPr>
        <w:t>US</w:t>
      </w:r>
      <w:r w:rsidR="00AD437C" w:rsidRPr="009E43F2">
        <w:rPr>
          <w:sz w:val="24"/>
          <w:szCs w:val="24"/>
        </w:rPr>
        <w:t xml:space="preserve"> system</w:t>
      </w:r>
      <w:r w:rsidR="00032B99">
        <w:rPr>
          <w:sz w:val="24"/>
          <w:szCs w:val="24"/>
        </w:rPr>
        <w:t xml:space="preserve">. </w:t>
      </w:r>
    </w:p>
    <w:p w14:paraId="5B9308AD" w14:textId="42CD2C99" w:rsidR="00ED6425" w:rsidRPr="009E43F2" w:rsidRDefault="00032B99">
      <w:pPr>
        <w:spacing w:line="360" w:lineRule="auto"/>
        <w:ind w:firstLine="720"/>
        <w:rPr>
          <w:sz w:val="24"/>
          <w:szCs w:val="24"/>
        </w:rPr>
      </w:pPr>
      <w:bookmarkStart w:id="3" w:name="_Hlk118102525"/>
      <w:bookmarkEnd w:id="2"/>
      <w:r>
        <w:rPr>
          <w:sz w:val="24"/>
          <w:szCs w:val="24"/>
        </w:rPr>
        <w:t xml:space="preserve">We find that many health economists believe that healthcare organizations in the U.S. fail to incentivize and capture </w:t>
      </w:r>
      <w:r w:rsidR="00AD437C" w:rsidRPr="009E43F2">
        <w:rPr>
          <w:sz w:val="24"/>
          <w:szCs w:val="24"/>
        </w:rPr>
        <w:t>efficiencies from competition in ways conducive to managed competition frameworks. This, along with highly segmented markets and rapid consolidation among providers and insurers, leaves</w:t>
      </w:r>
      <w:r w:rsidR="00AE7D57" w:rsidRPr="009E43F2">
        <w:rPr>
          <w:sz w:val="24"/>
          <w:szCs w:val="24"/>
        </w:rPr>
        <w:t xml:space="preserve"> highly imperfect </w:t>
      </w:r>
      <w:r w:rsidR="00AD437C" w:rsidRPr="009E43F2">
        <w:rPr>
          <w:sz w:val="24"/>
          <w:szCs w:val="24"/>
        </w:rPr>
        <w:t>managed competition</w:t>
      </w:r>
      <w:r w:rsidR="00AE7D57" w:rsidRPr="009E43F2">
        <w:rPr>
          <w:sz w:val="24"/>
          <w:szCs w:val="24"/>
        </w:rPr>
        <w:t xml:space="preserve"> to build upon.</w:t>
      </w:r>
      <w:r w:rsidR="00D74A81">
        <w:rPr>
          <w:sz w:val="24"/>
          <w:szCs w:val="24"/>
        </w:rPr>
        <w:t xml:space="preserve"> In fact, the surveyed economists disagreed the most with the notion that the U.S. system matched other developed countries in either equity or </w:t>
      </w:r>
      <w:r w:rsidR="00ED742F">
        <w:rPr>
          <w:sz w:val="24"/>
          <w:szCs w:val="24"/>
        </w:rPr>
        <w:t>efficiency</w:t>
      </w:r>
      <w:r w:rsidR="00812A91">
        <w:rPr>
          <w:sz w:val="24"/>
          <w:szCs w:val="24"/>
        </w:rPr>
        <w:t>, suggesting that these are two of the most central challenges facing the U.S. healthcare system today</w:t>
      </w:r>
      <w:r w:rsidR="00D74A81">
        <w:rPr>
          <w:sz w:val="24"/>
          <w:szCs w:val="24"/>
        </w:rPr>
        <w:t>.</w:t>
      </w:r>
      <w:r w:rsidR="002812BE">
        <w:rPr>
          <w:sz w:val="24"/>
          <w:szCs w:val="24"/>
        </w:rPr>
        <w:t xml:space="preserve"> In our conclusion, we discuss </w:t>
      </w:r>
      <w:r w:rsidR="00ED742F">
        <w:rPr>
          <w:sz w:val="24"/>
          <w:szCs w:val="24"/>
        </w:rPr>
        <w:t xml:space="preserve">how some of these barriers stand in the way of comprehensive health reform. </w:t>
      </w:r>
    </w:p>
    <w:bookmarkEnd w:id="3"/>
    <w:p w14:paraId="2689F5A3" w14:textId="767BE081" w:rsidR="00ED6425" w:rsidRPr="009E43F2" w:rsidRDefault="00ED6425">
      <w:pPr>
        <w:spacing w:line="360" w:lineRule="auto"/>
        <w:ind w:firstLine="720"/>
        <w:rPr>
          <w:sz w:val="24"/>
          <w:szCs w:val="24"/>
        </w:rPr>
      </w:pPr>
    </w:p>
    <w:p w14:paraId="15A123DE" w14:textId="1C230B72" w:rsidR="00ED6425" w:rsidRPr="009E43F2" w:rsidRDefault="00AD437C">
      <w:pPr>
        <w:spacing w:line="360" w:lineRule="auto"/>
        <w:rPr>
          <w:b/>
          <w:sz w:val="24"/>
          <w:szCs w:val="24"/>
        </w:rPr>
      </w:pPr>
      <w:r w:rsidRPr="009E43F2">
        <w:rPr>
          <w:b/>
          <w:sz w:val="24"/>
          <w:szCs w:val="24"/>
        </w:rPr>
        <w:t>2.</w:t>
      </w:r>
      <w:r w:rsidRPr="009E43F2">
        <w:rPr>
          <w:b/>
          <w:sz w:val="24"/>
          <w:szCs w:val="24"/>
        </w:rPr>
        <w:tab/>
        <w:t xml:space="preserve">THE </w:t>
      </w:r>
      <w:r w:rsidR="00B5000D">
        <w:rPr>
          <w:b/>
          <w:sz w:val="24"/>
          <w:szCs w:val="24"/>
        </w:rPr>
        <w:t>US</w:t>
      </w:r>
      <w:r w:rsidRPr="009E43F2">
        <w:rPr>
          <w:b/>
          <w:sz w:val="24"/>
          <w:szCs w:val="24"/>
        </w:rPr>
        <w:t xml:space="preserve"> HEALTHCARE SYSTEM</w:t>
      </w:r>
    </w:p>
    <w:p w14:paraId="61E9B138" w14:textId="72985BD4" w:rsidR="00ED6425" w:rsidRPr="009E43F2" w:rsidRDefault="00AD437C">
      <w:pPr>
        <w:spacing w:line="360" w:lineRule="auto"/>
        <w:ind w:firstLine="720"/>
        <w:rPr>
          <w:sz w:val="24"/>
          <w:szCs w:val="24"/>
        </w:rPr>
      </w:pPr>
      <w:r w:rsidRPr="009E43F2">
        <w:rPr>
          <w:sz w:val="24"/>
          <w:szCs w:val="24"/>
        </w:rPr>
        <w:t xml:space="preserve">Unlike most other high-income countries, the </w:t>
      </w:r>
      <w:r w:rsidR="00B5000D">
        <w:rPr>
          <w:sz w:val="24"/>
          <w:szCs w:val="24"/>
        </w:rPr>
        <w:t>US</w:t>
      </w:r>
      <w:r w:rsidRPr="009E43F2">
        <w:rPr>
          <w:sz w:val="24"/>
          <w:szCs w:val="24"/>
        </w:rPr>
        <w:t xml:space="preserve"> has adopted an incremental, gap-filling strategy to try to meet the needs of its citizens. This haphazard expansion </w:t>
      </w:r>
    </w:p>
    <w:p w14:paraId="17825094" w14:textId="5434BA81" w:rsidR="00E51A64" w:rsidRPr="009E43F2" w:rsidRDefault="002B27AD">
      <w:pPr>
        <w:spacing w:line="360" w:lineRule="auto"/>
        <w:rPr>
          <w:sz w:val="24"/>
          <w:szCs w:val="24"/>
        </w:rPr>
      </w:pPr>
      <w:r>
        <w:rPr>
          <w:sz w:val="24"/>
          <w:szCs w:val="24"/>
        </w:rPr>
        <w:t>has tolerated</w:t>
      </w:r>
      <w:r w:rsidRPr="009E43F2">
        <w:rPr>
          <w:sz w:val="24"/>
          <w:szCs w:val="24"/>
        </w:rPr>
        <w:t xml:space="preserve"> </w:t>
      </w:r>
      <w:r w:rsidR="00AD437C" w:rsidRPr="009E43F2">
        <w:rPr>
          <w:sz w:val="24"/>
          <w:szCs w:val="24"/>
        </w:rPr>
        <w:t xml:space="preserve">enormous heterogeneity </w:t>
      </w:r>
      <w:r w:rsidR="00AE7D57" w:rsidRPr="009E43F2">
        <w:rPr>
          <w:sz w:val="24"/>
          <w:szCs w:val="24"/>
        </w:rPr>
        <w:t>in</w:t>
      </w:r>
      <w:r w:rsidR="00AD437C" w:rsidRPr="009E43F2">
        <w:rPr>
          <w:sz w:val="24"/>
          <w:szCs w:val="24"/>
        </w:rPr>
        <w:t xml:space="preserve"> the degree and forms of insurance coverage, </w:t>
      </w:r>
      <w:r w:rsidR="00AE7D57" w:rsidRPr="009E43F2">
        <w:rPr>
          <w:sz w:val="24"/>
          <w:szCs w:val="24"/>
        </w:rPr>
        <w:t xml:space="preserve">provider </w:t>
      </w:r>
      <w:r w:rsidR="00AD437C" w:rsidRPr="009E43F2">
        <w:rPr>
          <w:sz w:val="24"/>
          <w:szCs w:val="24"/>
        </w:rPr>
        <w:t>fees</w:t>
      </w:r>
      <w:r w:rsidR="00AE7D57" w:rsidRPr="009E43F2">
        <w:rPr>
          <w:sz w:val="24"/>
          <w:szCs w:val="24"/>
        </w:rPr>
        <w:t>,</w:t>
      </w:r>
      <w:r w:rsidR="00AD437C" w:rsidRPr="009E43F2">
        <w:rPr>
          <w:sz w:val="24"/>
          <w:szCs w:val="24"/>
        </w:rPr>
        <w:t xml:space="preserve"> payment </w:t>
      </w:r>
      <w:r w:rsidR="004C34E7" w:rsidRPr="009E43F2">
        <w:rPr>
          <w:sz w:val="24"/>
          <w:szCs w:val="24"/>
        </w:rPr>
        <w:t xml:space="preserve">incentives, as well as in the </w:t>
      </w:r>
      <w:r w:rsidR="00AD437C" w:rsidRPr="009E43F2">
        <w:rPr>
          <w:sz w:val="24"/>
          <w:szCs w:val="24"/>
        </w:rPr>
        <w:t>ownership and coordination of health care providers.</w:t>
      </w:r>
    </w:p>
    <w:p w14:paraId="54CEE1B1" w14:textId="433CBEA9" w:rsidR="001E1AA8" w:rsidRPr="009E43F2" w:rsidRDefault="00382F14">
      <w:pPr>
        <w:spacing w:line="360" w:lineRule="auto"/>
        <w:rPr>
          <w:sz w:val="24"/>
          <w:szCs w:val="24"/>
        </w:rPr>
      </w:pPr>
      <w:r>
        <w:rPr>
          <w:sz w:val="24"/>
          <w:szCs w:val="24"/>
        </w:rPr>
        <w:tab/>
      </w:r>
      <w:bookmarkStart w:id="4" w:name="_Hlk115775979"/>
      <w:r w:rsidR="00E51A64" w:rsidRPr="009E43F2">
        <w:rPr>
          <w:sz w:val="24"/>
          <w:szCs w:val="24"/>
        </w:rPr>
        <w:t>Fundamentally</w:t>
      </w:r>
      <w:r w:rsidR="001F36AE">
        <w:rPr>
          <w:sz w:val="24"/>
          <w:szCs w:val="24"/>
        </w:rPr>
        <w:t>,</w:t>
      </w:r>
      <w:r w:rsidR="00E51A64" w:rsidRPr="009E43F2">
        <w:rPr>
          <w:sz w:val="24"/>
          <w:szCs w:val="24"/>
        </w:rPr>
        <w:t xml:space="preserve"> </w:t>
      </w:r>
      <w:r w:rsidR="001F36AE">
        <w:rPr>
          <w:sz w:val="24"/>
          <w:szCs w:val="24"/>
        </w:rPr>
        <w:t xml:space="preserve">individuals may be insured through a private insurance plan (potentially with public subsidies, such as in the ACA Marketplace) or a </w:t>
      </w:r>
      <w:proofErr w:type="gramStart"/>
      <w:r w:rsidR="001F36AE">
        <w:rPr>
          <w:sz w:val="24"/>
          <w:szCs w:val="24"/>
        </w:rPr>
        <w:t>publicly-funded</w:t>
      </w:r>
      <w:proofErr w:type="gramEnd"/>
      <w:r w:rsidR="001F36AE">
        <w:rPr>
          <w:sz w:val="24"/>
          <w:szCs w:val="24"/>
        </w:rPr>
        <w:t xml:space="preserve"> option, including Medicare and Medicaid. </w:t>
      </w:r>
      <w:r w:rsidR="00E51A64" w:rsidRPr="009E43F2">
        <w:rPr>
          <w:sz w:val="24"/>
          <w:szCs w:val="24"/>
        </w:rPr>
        <w:t>Private</w:t>
      </w:r>
      <w:r w:rsidR="001F36AE">
        <w:rPr>
          <w:sz w:val="24"/>
          <w:szCs w:val="24"/>
        </w:rPr>
        <w:t>,</w:t>
      </w:r>
      <w:r w:rsidR="00E51A64" w:rsidRPr="009E43F2">
        <w:rPr>
          <w:sz w:val="24"/>
          <w:szCs w:val="24"/>
        </w:rPr>
        <w:t xml:space="preserve"> commercial insurance </w:t>
      </w:r>
      <w:r w:rsidR="002B27AD">
        <w:rPr>
          <w:sz w:val="24"/>
          <w:szCs w:val="24"/>
        </w:rPr>
        <w:t>is also</w:t>
      </w:r>
      <w:r w:rsidR="00E51A64" w:rsidRPr="009E43F2">
        <w:rPr>
          <w:sz w:val="24"/>
          <w:szCs w:val="24"/>
        </w:rPr>
        <w:t xml:space="preserve"> offered </w:t>
      </w:r>
      <w:r w:rsidR="00826233" w:rsidRPr="009E43F2">
        <w:rPr>
          <w:sz w:val="24"/>
          <w:szCs w:val="24"/>
        </w:rPr>
        <w:t xml:space="preserve">and </w:t>
      </w:r>
      <w:r w:rsidR="002B27AD">
        <w:rPr>
          <w:sz w:val="24"/>
          <w:szCs w:val="24"/>
        </w:rPr>
        <w:t xml:space="preserve">typically </w:t>
      </w:r>
      <w:r w:rsidR="00826233" w:rsidRPr="009E43F2">
        <w:rPr>
          <w:sz w:val="24"/>
          <w:szCs w:val="24"/>
        </w:rPr>
        <w:t xml:space="preserve">subsidized </w:t>
      </w:r>
      <w:r w:rsidR="00E51A64" w:rsidRPr="009E43F2">
        <w:rPr>
          <w:sz w:val="24"/>
          <w:szCs w:val="24"/>
        </w:rPr>
        <w:t xml:space="preserve">by employers </w:t>
      </w:r>
      <w:r w:rsidR="004C34E7" w:rsidRPr="009E43F2">
        <w:rPr>
          <w:sz w:val="24"/>
          <w:szCs w:val="24"/>
        </w:rPr>
        <w:t xml:space="preserve">acting as sponsors </w:t>
      </w:r>
      <w:r w:rsidR="00A72426" w:rsidRPr="009E43F2">
        <w:rPr>
          <w:sz w:val="24"/>
          <w:szCs w:val="24"/>
        </w:rPr>
        <w:t xml:space="preserve">of </w:t>
      </w:r>
      <w:r w:rsidR="004C34E7" w:rsidRPr="009E43F2">
        <w:rPr>
          <w:sz w:val="24"/>
          <w:szCs w:val="24"/>
        </w:rPr>
        <w:t>individual or famil</w:t>
      </w:r>
      <w:r w:rsidR="00A72426" w:rsidRPr="009E43F2">
        <w:rPr>
          <w:sz w:val="24"/>
          <w:szCs w:val="24"/>
        </w:rPr>
        <w:t xml:space="preserve">y </w:t>
      </w:r>
      <w:r w:rsidR="00A72426" w:rsidRPr="009E43F2">
        <w:rPr>
          <w:sz w:val="24"/>
          <w:szCs w:val="24"/>
        </w:rPr>
        <w:lastRenderedPageBreak/>
        <w:t>coverage for their employees</w:t>
      </w:r>
      <w:r w:rsidR="00E51A64" w:rsidRPr="009E43F2">
        <w:rPr>
          <w:sz w:val="24"/>
          <w:szCs w:val="24"/>
        </w:rPr>
        <w:t xml:space="preserve">. </w:t>
      </w:r>
      <w:r w:rsidR="001F36AE">
        <w:rPr>
          <w:sz w:val="24"/>
          <w:szCs w:val="24"/>
        </w:rPr>
        <w:t xml:space="preserve">Following the introduction of the ACA, </w:t>
      </w:r>
      <w:proofErr w:type="spellStart"/>
      <w:r w:rsidR="001F36AE">
        <w:rPr>
          <w:sz w:val="24"/>
          <w:szCs w:val="24"/>
        </w:rPr>
        <w:t>indi</w:t>
      </w:r>
      <w:r w:rsidR="001873FB">
        <w:rPr>
          <w:sz w:val="24"/>
          <w:szCs w:val="24"/>
        </w:rPr>
        <w:t>f</w:t>
      </w:r>
      <w:r w:rsidR="001F36AE">
        <w:rPr>
          <w:sz w:val="24"/>
          <w:szCs w:val="24"/>
        </w:rPr>
        <w:t>viduals</w:t>
      </w:r>
      <w:proofErr w:type="spellEnd"/>
      <w:r w:rsidR="001F36AE">
        <w:rPr>
          <w:sz w:val="24"/>
          <w:szCs w:val="24"/>
        </w:rPr>
        <w:t xml:space="preserve"> also have the option of purchasing health insurance directly from a state or federal Marketplace, potentially with subsidized premiums for low- and middle-income households. </w:t>
      </w:r>
      <w:r w:rsidR="00A72426" w:rsidRPr="009E43F2">
        <w:rPr>
          <w:sz w:val="24"/>
          <w:szCs w:val="24"/>
        </w:rPr>
        <w:t xml:space="preserve">The US </w:t>
      </w:r>
      <w:r w:rsidRPr="009E43F2">
        <w:rPr>
          <w:sz w:val="24"/>
          <w:szCs w:val="24"/>
        </w:rPr>
        <w:t xml:space="preserve">Medicare </w:t>
      </w:r>
      <w:r>
        <w:rPr>
          <w:sz w:val="24"/>
          <w:szCs w:val="24"/>
        </w:rPr>
        <w:t xml:space="preserve">program is sponsored by the </w:t>
      </w:r>
      <w:r w:rsidR="00A72426" w:rsidRPr="009E43F2">
        <w:rPr>
          <w:sz w:val="24"/>
          <w:szCs w:val="24"/>
        </w:rPr>
        <w:t>federal government</w:t>
      </w:r>
      <w:r w:rsidR="002B27AD">
        <w:rPr>
          <w:sz w:val="24"/>
          <w:szCs w:val="24"/>
        </w:rPr>
        <w:t xml:space="preserve"> and </w:t>
      </w:r>
      <w:r>
        <w:rPr>
          <w:sz w:val="24"/>
          <w:szCs w:val="24"/>
        </w:rPr>
        <w:t xml:space="preserve">available to </w:t>
      </w:r>
      <w:r w:rsidR="00E51A64" w:rsidRPr="009E43F2">
        <w:rPr>
          <w:sz w:val="24"/>
          <w:szCs w:val="24"/>
        </w:rPr>
        <w:t xml:space="preserve">everyone age 65 and over </w:t>
      </w:r>
      <w:r>
        <w:rPr>
          <w:sz w:val="24"/>
          <w:szCs w:val="24"/>
        </w:rPr>
        <w:t xml:space="preserve">as well as </w:t>
      </w:r>
      <w:r w:rsidR="00826233" w:rsidRPr="009E43F2">
        <w:rPr>
          <w:sz w:val="24"/>
          <w:szCs w:val="24"/>
        </w:rPr>
        <w:t xml:space="preserve">to </w:t>
      </w:r>
      <w:r w:rsidR="00E51A64" w:rsidRPr="009E43F2">
        <w:rPr>
          <w:sz w:val="24"/>
          <w:szCs w:val="24"/>
        </w:rPr>
        <w:t xml:space="preserve">individuals with </w:t>
      </w:r>
      <w:r w:rsidR="004C34E7" w:rsidRPr="009E43F2">
        <w:rPr>
          <w:sz w:val="24"/>
          <w:szCs w:val="24"/>
        </w:rPr>
        <w:t xml:space="preserve">disabilities from </w:t>
      </w:r>
      <w:r w:rsidR="00826233" w:rsidRPr="009E43F2">
        <w:rPr>
          <w:sz w:val="24"/>
          <w:szCs w:val="24"/>
        </w:rPr>
        <w:t xml:space="preserve">specified chronic, expensive </w:t>
      </w:r>
      <w:r w:rsidR="004C34E7" w:rsidRPr="009E43F2">
        <w:rPr>
          <w:sz w:val="24"/>
          <w:szCs w:val="24"/>
        </w:rPr>
        <w:t>conditions</w:t>
      </w:r>
      <w:r w:rsidR="00A72426" w:rsidRPr="009E43F2">
        <w:rPr>
          <w:sz w:val="24"/>
          <w:szCs w:val="24"/>
        </w:rPr>
        <w:t xml:space="preserve"> including cancers, blindness, end stage renal disease and HIV/AIDS</w:t>
      </w:r>
      <w:r w:rsidR="00826233" w:rsidRPr="009E43F2">
        <w:rPr>
          <w:sz w:val="24"/>
          <w:szCs w:val="24"/>
        </w:rPr>
        <w:t xml:space="preserve">. </w:t>
      </w:r>
      <w:r w:rsidR="00A72426" w:rsidRPr="009E43F2">
        <w:rPr>
          <w:sz w:val="24"/>
          <w:szCs w:val="24"/>
        </w:rPr>
        <w:t xml:space="preserve">The </w:t>
      </w:r>
      <w:r>
        <w:rPr>
          <w:sz w:val="24"/>
          <w:szCs w:val="24"/>
        </w:rPr>
        <w:t xml:space="preserve">Medicaid program </w:t>
      </w:r>
      <w:r w:rsidR="002812BE" w:rsidRPr="009E43F2">
        <w:rPr>
          <w:sz w:val="24"/>
          <w:szCs w:val="24"/>
        </w:rPr>
        <w:t>cover</w:t>
      </w:r>
      <w:r w:rsidR="002812BE">
        <w:rPr>
          <w:sz w:val="24"/>
          <w:szCs w:val="24"/>
        </w:rPr>
        <w:t>s</w:t>
      </w:r>
      <w:r w:rsidR="002812BE" w:rsidRPr="009E43F2">
        <w:rPr>
          <w:sz w:val="24"/>
          <w:szCs w:val="24"/>
        </w:rPr>
        <w:t xml:space="preserve"> low-income individuals; pregnant women and mothers (Gordon et al., 2022); children and individuals with high</w:t>
      </w:r>
      <w:r w:rsidR="001F36AE">
        <w:rPr>
          <w:sz w:val="24"/>
          <w:szCs w:val="24"/>
        </w:rPr>
        <w:t>-</w:t>
      </w:r>
      <w:r w:rsidR="002812BE" w:rsidRPr="009E43F2">
        <w:rPr>
          <w:sz w:val="24"/>
          <w:szCs w:val="24"/>
        </w:rPr>
        <w:t xml:space="preserve">cost, chronic conditions. </w:t>
      </w:r>
      <w:r w:rsidR="002812BE">
        <w:rPr>
          <w:sz w:val="24"/>
          <w:szCs w:val="24"/>
        </w:rPr>
        <w:t xml:space="preserve">Medicaid is funded by both </w:t>
      </w:r>
      <w:r>
        <w:rPr>
          <w:sz w:val="24"/>
          <w:szCs w:val="24"/>
        </w:rPr>
        <w:t xml:space="preserve">the </w:t>
      </w:r>
      <w:r w:rsidR="00A72426" w:rsidRPr="009E43F2">
        <w:rPr>
          <w:sz w:val="24"/>
          <w:szCs w:val="24"/>
        </w:rPr>
        <w:t xml:space="preserve">federal </w:t>
      </w:r>
      <w:r>
        <w:rPr>
          <w:sz w:val="24"/>
          <w:szCs w:val="24"/>
        </w:rPr>
        <w:t xml:space="preserve">government and </w:t>
      </w:r>
      <w:r w:rsidR="00A72426" w:rsidRPr="009E43F2">
        <w:rPr>
          <w:sz w:val="24"/>
          <w:szCs w:val="24"/>
        </w:rPr>
        <w:t>states</w:t>
      </w:r>
      <w:r w:rsidR="002812BE">
        <w:rPr>
          <w:sz w:val="24"/>
          <w:szCs w:val="24"/>
        </w:rPr>
        <w:t>, and its generosity varies widely, w</w:t>
      </w:r>
      <w:r w:rsidR="004C34E7" w:rsidRPr="009E43F2">
        <w:rPr>
          <w:sz w:val="24"/>
          <w:szCs w:val="24"/>
        </w:rPr>
        <w:t xml:space="preserve">ith some states barely offering any coverage to </w:t>
      </w:r>
      <w:r w:rsidR="001C4633" w:rsidRPr="009E43F2">
        <w:rPr>
          <w:sz w:val="24"/>
          <w:szCs w:val="24"/>
        </w:rPr>
        <w:t>low-income</w:t>
      </w:r>
      <w:r w:rsidR="004C34E7" w:rsidRPr="009E43F2">
        <w:rPr>
          <w:sz w:val="24"/>
          <w:szCs w:val="24"/>
        </w:rPr>
        <w:t xml:space="preserve"> men.</w:t>
      </w:r>
      <w:r w:rsidR="001C4633">
        <w:rPr>
          <w:sz w:val="24"/>
          <w:szCs w:val="24"/>
        </w:rPr>
        <w:t xml:space="preserve"> </w:t>
      </w:r>
      <w:r w:rsidR="00A72426" w:rsidRPr="009E43F2">
        <w:rPr>
          <w:sz w:val="24"/>
          <w:szCs w:val="24"/>
        </w:rPr>
        <w:t xml:space="preserve">Medicaid </w:t>
      </w:r>
      <w:r w:rsidR="00AD4512">
        <w:rPr>
          <w:sz w:val="24"/>
          <w:szCs w:val="24"/>
        </w:rPr>
        <w:t xml:space="preserve">coverage </w:t>
      </w:r>
      <w:r w:rsidR="002812BE">
        <w:rPr>
          <w:sz w:val="24"/>
          <w:szCs w:val="24"/>
        </w:rPr>
        <w:t xml:space="preserve">reaches a broader set of </w:t>
      </w:r>
      <w:r w:rsidR="00A72426" w:rsidRPr="009E43F2">
        <w:rPr>
          <w:sz w:val="24"/>
          <w:szCs w:val="24"/>
        </w:rPr>
        <w:t xml:space="preserve">children </w:t>
      </w:r>
      <w:r>
        <w:rPr>
          <w:sz w:val="24"/>
          <w:szCs w:val="24"/>
        </w:rPr>
        <w:t>through</w:t>
      </w:r>
      <w:r w:rsidR="00A72426" w:rsidRPr="009E43F2">
        <w:rPr>
          <w:sz w:val="24"/>
          <w:szCs w:val="24"/>
        </w:rPr>
        <w:t xml:space="preserve"> the Children’s Health Insurance Program (CHIP)</w:t>
      </w:r>
      <w:r w:rsidR="00AD4512">
        <w:rPr>
          <w:sz w:val="24"/>
          <w:szCs w:val="24"/>
        </w:rPr>
        <w:t xml:space="preserve"> which like Medicaid offers </w:t>
      </w:r>
      <w:r w:rsidR="002812BE">
        <w:rPr>
          <w:sz w:val="24"/>
          <w:szCs w:val="24"/>
        </w:rPr>
        <w:t>free</w:t>
      </w:r>
      <w:r w:rsidR="00AD4512">
        <w:rPr>
          <w:sz w:val="24"/>
          <w:szCs w:val="24"/>
        </w:rPr>
        <w:t xml:space="preserve"> covered services from participating providers</w:t>
      </w:r>
      <w:r w:rsidR="00D60B45">
        <w:rPr>
          <w:sz w:val="24"/>
          <w:szCs w:val="24"/>
        </w:rPr>
        <w:t>. As others have done, for the remainder of this article we will often use the term of Medicaid to include CHIP</w:t>
      </w:r>
      <w:r w:rsidR="001E1AA8" w:rsidRPr="009E43F2">
        <w:rPr>
          <w:sz w:val="24"/>
          <w:szCs w:val="24"/>
        </w:rPr>
        <w:t>.</w:t>
      </w:r>
      <w:r w:rsidR="00A72426" w:rsidRPr="009E43F2">
        <w:rPr>
          <w:sz w:val="24"/>
          <w:szCs w:val="24"/>
        </w:rPr>
        <w:t xml:space="preserve"> </w:t>
      </w:r>
    </w:p>
    <w:bookmarkEnd w:id="4"/>
    <w:p w14:paraId="5D40ACAD" w14:textId="25DC8151" w:rsidR="00ED6425" w:rsidRPr="009E43F2" w:rsidRDefault="001E1AA8">
      <w:pPr>
        <w:spacing w:line="360" w:lineRule="auto"/>
        <w:rPr>
          <w:sz w:val="24"/>
          <w:szCs w:val="24"/>
        </w:rPr>
      </w:pPr>
      <w:r w:rsidRPr="009E43F2">
        <w:rPr>
          <w:sz w:val="24"/>
          <w:szCs w:val="24"/>
        </w:rPr>
        <w:tab/>
      </w:r>
      <w:r w:rsidR="00AD437C" w:rsidRPr="009E43F2">
        <w:rPr>
          <w:sz w:val="24"/>
          <w:szCs w:val="24"/>
        </w:rPr>
        <w:t>Th</w:t>
      </w:r>
      <w:r w:rsidR="00E51A64" w:rsidRPr="009E43F2">
        <w:rPr>
          <w:sz w:val="24"/>
          <w:szCs w:val="24"/>
        </w:rPr>
        <w:t>e existence of so many sponsors</w:t>
      </w:r>
      <w:r w:rsidR="00AD437C" w:rsidRPr="009E43F2">
        <w:rPr>
          <w:sz w:val="24"/>
          <w:szCs w:val="24"/>
        </w:rPr>
        <w:t xml:space="preserve"> </w:t>
      </w:r>
      <w:proofErr w:type="gramStart"/>
      <w:r w:rsidRPr="009E43F2">
        <w:rPr>
          <w:sz w:val="24"/>
          <w:szCs w:val="24"/>
        </w:rPr>
        <w:t>contributes</w:t>
      </w:r>
      <w:proofErr w:type="gramEnd"/>
      <w:r w:rsidRPr="009E43F2">
        <w:rPr>
          <w:sz w:val="24"/>
          <w:szCs w:val="24"/>
        </w:rPr>
        <w:t xml:space="preserve"> to the US </w:t>
      </w:r>
      <w:r w:rsidR="00AD437C" w:rsidRPr="009E43F2">
        <w:rPr>
          <w:sz w:val="24"/>
          <w:szCs w:val="24"/>
        </w:rPr>
        <w:t xml:space="preserve">patchwork system of coverage, with individuals unable to portably transition their insurance coverage </w:t>
      </w:r>
      <w:r w:rsidR="000B5465" w:rsidRPr="009E43F2">
        <w:rPr>
          <w:sz w:val="24"/>
          <w:szCs w:val="24"/>
        </w:rPr>
        <w:t xml:space="preserve">when </w:t>
      </w:r>
      <w:r w:rsidR="00AD4512">
        <w:rPr>
          <w:sz w:val="24"/>
          <w:szCs w:val="24"/>
        </w:rPr>
        <w:t>changing program eligibility</w:t>
      </w:r>
      <w:r w:rsidR="00301755">
        <w:rPr>
          <w:sz w:val="24"/>
          <w:szCs w:val="24"/>
        </w:rPr>
        <w:t xml:space="preserve"> </w:t>
      </w:r>
      <w:r w:rsidR="00301755" w:rsidRPr="009E43F2">
        <w:rPr>
          <w:sz w:val="24"/>
          <w:szCs w:val="24"/>
        </w:rPr>
        <w:t>(Ellis and Hoagland, 2022)</w:t>
      </w:r>
      <w:r w:rsidR="002812BE">
        <w:rPr>
          <w:sz w:val="24"/>
          <w:szCs w:val="24"/>
        </w:rPr>
        <w:t xml:space="preserve">. Regulations also limit </w:t>
      </w:r>
      <w:r w:rsidR="00301755">
        <w:rPr>
          <w:sz w:val="24"/>
          <w:szCs w:val="24"/>
        </w:rPr>
        <w:t>enrollees</w:t>
      </w:r>
      <w:r w:rsidR="00082EA8">
        <w:rPr>
          <w:sz w:val="24"/>
          <w:szCs w:val="24"/>
        </w:rPr>
        <w:t>’</w:t>
      </w:r>
      <w:r w:rsidR="00301755">
        <w:rPr>
          <w:sz w:val="24"/>
          <w:szCs w:val="24"/>
        </w:rPr>
        <w:t xml:space="preserve"> ability to </w:t>
      </w:r>
      <w:r w:rsidR="002812BE">
        <w:rPr>
          <w:sz w:val="24"/>
          <w:szCs w:val="24"/>
        </w:rPr>
        <w:t xml:space="preserve">maintain </w:t>
      </w:r>
      <w:r w:rsidR="00FA4FFF">
        <w:rPr>
          <w:sz w:val="24"/>
          <w:szCs w:val="24"/>
        </w:rPr>
        <w:t>coverage</w:t>
      </w:r>
      <w:r w:rsidR="002812BE">
        <w:rPr>
          <w:sz w:val="24"/>
          <w:szCs w:val="24"/>
        </w:rPr>
        <w:t xml:space="preserve"> when</w:t>
      </w:r>
      <w:r w:rsidR="00AD4512">
        <w:rPr>
          <w:sz w:val="24"/>
          <w:szCs w:val="24"/>
        </w:rPr>
        <w:t xml:space="preserve"> </w:t>
      </w:r>
      <w:r w:rsidR="000B5465" w:rsidRPr="009E43F2">
        <w:rPr>
          <w:sz w:val="24"/>
          <w:szCs w:val="24"/>
        </w:rPr>
        <w:t>mov</w:t>
      </w:r>
      <w:r w:rsidR="007D7103" w:rsidRPr="009E43F2">
        <w:rPr>
          <w:sz w:val="24"/>
          <w:szCs w:val="24"/>
        </w:rPr>
        <w:t>ing</w:t>
      </w:r>
      <w:r w:rsidR="000B5465" w:rsidRPr="009E43F2">
        <w:rPr>
          <w:sz w:val="24"/>
          <w:szCs w:val="24"/>
        </w:rPr>
        <w:t xml:space="preserve"> between states</w:t>
      </w:r>
      <w:r w:rsidR="00AD437C" w:rsidRPr="009E43F2">
        <w:rPr>
          <w:sz w:val="24"/>
          <w:szCs w:val="24"/>
        </w:rPr>
        <w:t xml:space="preserve">, </w:t>
      </w:r>
      <w:r w:rsidR="000B5465" w:rsidRPr="009E43F2">
        <w:rPr>
          <w:sz w:val="24"/>
          <w:szCs w:val="24"/>
        </w:rPr>
        <w:t>chang</w:t>
      </w:r>
      <w:r w:rsidR="007D7103" w:rsidRPr="009E43F2">
        <w:rPr>
          <w:sz w:val="24"/>
          <w:szCs w:val="24"/>
        </w:rPr>
        <w:t>ing</w:t>
      </w:r>
      <w:r w:rsidR="000B5465" w:rsidRPr="009E43F2">
        <w:rPr>
          <w:sz w:val="24"/>
          <w:szCs w:val="24"/>
        </w:rPr>
        <w:t xml:space="preserve"> </w:t>
      </w:r>
      <w:r w:rsidR="00AD437C" w:rsidRPr="009E43F2">
        <w:rPr>
          <w:sz w:val="24"/>
          <w:szCs w:val="24"/>
        </w:rPr>
        <w:t xml:space="preserve">employers, </w:t>
      </w:r>
      <w:r w:rsidR="000B5465" w:rsidRPr="009E43F2">
        <w:rPr>
          <w:sz w:val="24"/>
          <w:szCs w:val="24"/>
        </w:rPr>
        <w:t>cross</w:t>
      </w:r>
      <w:r w:rsidR="007D7103" w:rsidRPr="009E43F2">
        <w:rPr>
          <w:sz w:val="24"/>
          <w:szCs w:val="24"/>
        </w:rPr>
        <w:t>ing</w:t>
      </w:r>
      <w:r w:rsidR="000B5465" w:rsidRPr="009E43F2">
        <w:rPr>
          <w:sz w:val="24"/>
          <w:szCs w:val="24"/>
        </w:rPr>
        <w:t xml:space="preserve"> age groups (from child to adult or adult to elderly), chang</w:t>
      </w:r>
      <w:r w:rsidR="007D7103" w:rsidRPr="009E43F2">
        <w:rPr>
          <w:sz w:val="24"/>
          <w:szCs w:val="24"/>
        </w:rPr>
        <w:t>ing</w:t>
      </w:r>
      <w:r w:rsidR="000B5465" w:rsidRPr="009E43F2">
        <w:rPr>
          <w:sz w:val="24"/>
          <w:szCs w:val="24"/>
        </w:rPr>
        <w:t xml:space="preserve"> family status (e.g., </w:t>
      </w:r>
      <w:r w:rsidR="007D7103" w:rsidRPr="009E43F2">
        <w:rPr>
          <w:sz w:val="24"/>
          <w:szCs w:val="24"/>
        </w:rPr>
        <w:t xml:space="preserve">through </w:t>
      </w:r>
      <w:r w:rsidR="00AD4512">
        <w:rPr>
          <w:sz w:val="24"/>
          <w:szCs w:val="24"/>
        </w:rPr>
        <w:t xml:space="preserve">marriage, </w:t>
      </w:r>
      <w:r w:rsidR="001F36AE" w:rsidRPr="009E43F2">
        <w:rPr>
          <w:sz w:val="24"/>
          <w:szCs w:val="24"/>
        </w:rPr>
        <w:t>divorce,</w:t>
      </w:r>
      <w:r w:rsidR="000B5465" w:rsidRPr="009E43F2">
        <w:rPr>
          <w:sz w:val="24"/>
          <w:szCs w:val="24"/>
        </w:rPr>
        <w:t xml:space="preserve"> or death of a spouse) </w:t>
      </w:r>
      <w:r w:rsidR="00AD437C" w:rsidRPr="009E43F2">
        <w:rPr>
          <w:sz w:val="24"/>
          <w:szCs w:val="24"/>
        </w:rPr>
        <w:t>or</w:t>
      </w:r>
      <w:r w:rsidR="007D7103" w:rsidRPr="009E43F2">
        <w:rPr>
          <w:sz w:val="24"/>
          <w:szCs w:val="24"/>
        </w:rPr>
        <w:t xml:space="preserve"> changing </w:t>
      </w:r>
      <w:r w:rsidR="00AD437C" w:rsidRPr="009E43F2">
        <w:rPr>
          <w:sz w:val="24"/>
          <w:szCs w:val="24"/>
        </w:rPr>
        <w:t xml:space="preserve">employment </w:t>
      </w:r>
      <w:r w:rsidR="000B5465" w:rsidRPr="009E43F2">
        <w:rPr>
          <w:sz w:val="24"/>
          <w:szCs w:val="24"/>
        </w:rPr>
        <w:t>(</w:t>
      </w:r>
      <w:r w:rsidR="007D7103" w:rsidRPr="009E43F2">
        <w:rPr>
          <w:sz w:val="24"/>
          <w:szCs w:val="24"/>
        </w:rPr>
        <w:t xml:space="preserve">e.g., becoming </w:t>
      </w:r>
      <w:r w:rsidR="000B5465" w:rsidRPr="009E43F2">
        <w:rPr>
          <w:sz w:val="24"/>
          <w:szCs w:val="24"/>
        </w:rPr>
        <w:t xml:space="preserve">unemployed or </w:t>
      </w:r>
      <w:r w:rsidR="00AD4512">
        <w:rPr>
          <w:sz w:val="24"/>
          <w:szCs w:val="24"/>
        </w:rPr>
        <w:t xml:space="preserve">taking </w:t>
      </w:r>
      <w:r w:rsidR="007D7103" w:rsidRPr="009E43F2">
        <w:rPr>
          <w:sz w:val="24"/>
          <w:szCs w:val="24"/>
        </w:rPr>
        <w:t>a job</w:t>
      </w:r>
      <w:r w:rsidR="000B5465" w:rsidRPr="009E43F2">
        <w:rPr>
          <w:sz w:val="24"/>
          <w:szCs w:val="24"/>
        </w:rPr>
        <w:t>)</w:t>
      </w:r>
      <w:r w:rsidR="00AD437C" w:rsidRPr="009E43F2">
        <w:rPr>
          <w:sz w:val="24"/>
          <w:szCs w:val="24"/>
        </w:rPr>
        <w:t xml:space="preserve">. </w:t>
      </w:r>
      <w:r w:rsidR="000B5465" w:rsidRPr="009E43F2">
        <w:rPr>
          <w:sz w:val="24"/>
          <w:szCs w:val="24"/>
        </w:rPr>
        <w:t xml:space="preserve">These boundaries </w:t>
      </w:r>
      <w:r w:rsidR="00AD437C" w:rsidRPr="009E43F2">
        <w:rPr>
          <w:sz w:val="24"/>
          <w:szCs w:val="24"/>
        </w:rPr>
        <w:t xml:space="preserve">also </w:t>
      </w:r>
      <w:r w:rsidR="00AD4512">
        <w:rPr>
          <w:sz w:val="24"/>
          <w:szCs w:val="24"/>
        </w:rPr>
        <w:t xml:space="preserve">create </w:t>
      </w:r>
      <w:r w:rsidR="000B5465" w:rsidRPr="009E43F2">
        <w:rPr>
          <w:sz w:val="24"/>
          <w:szCs w:val="24"/>
        </w:rPr>
        <w:t xml:space="preserve">large </w:t>
      </w:r>
      <w:r w:rsidR="00AD437C" w:rsidRPr="009E43F2">
        <w:rPr>
          <w:sz w:val="24"/>
          <w:szCs w:val="24"/>
        </w:rPr>
        <w:t xml:space="preserve">inequities in </w:t>
      </w:r>
      <w:r w:rsidRPr="009E43F2">
        <w:rPr>
          <w:sz w:val="24"/>
          <w:szCs w:val="24"/>
        </w:rPr>
        <w:t>both</w:t>
      </w:r>
      <w:r w:rsidR="000B5465" w:rsidRPr="009E43F2">
        <w:rPr>
          <w:sz w:val="24"/>
          <w:szCs w:val="24"/>
        </w:rPr>
        <w:t xml:space="preserve"> </w:t>
      </w:r>
      <w:r w:rsidR="00AD437C" w:rsidRPr="009E43F2">
        <w:rPr>
          <w:sz w:val="24"/>
          <w:szCs w:val="24"/>
        </w:rPr>
        <w:t xml:space="preserve">access to </w:t>
      </w:r>
      <w:r w:rsidR="007D7103" w:rsidRPr="009E43F2">
        <w:rPr>
          <w:sz w:val="24"/>
          <w:szCs w:val="24"/>
        </w:rPr>
        <w:t xml:space="preserve">any insurance </w:t>
      </w:r>
      <w:r w:rsidR="00AD437C" w:rsidRPr="009E43F2">
        <w:rPr>
          <w:sz w:val="24"/>
          <w:szCs w:val="24"/>
        </w:rPr>
        <w:t xml:space="preserve">coverage </w:t>
      </w:r>
      <w:r w:rsidRPr="009E43F2">
        <w:rPr>
          <w:sz w:val="24"/>
          <w:szCs w:val="24"/>
        </w:rPr>
        <w:t xml:space="preserve">and </w:t>
      </w:r>
      <w:r w:rsidR="000B5465" w:rsidRPr="009E43F2">
        <w:rPr>
          <w:sz w:val="24"/>
          <w:szCs w:val="24"/>
        </w:rPr>
        <w:t>how generous th</w:t>
      </w:r>
      <w:r w:rsidR="00AD4512">
        <w:rPr>
          <w:sz w:val="24"/>
          <w:szCs w:val="24"/>
        </w:rPr>
        <w:t>e</w:t>
      </w:r>
      <w:r w:rsidR="000B5465" w:rsidRPr="009E43F2">
        <w:rPr>
          <w:sz w:val="24"/>
          <w:szCs w:val="24"/>
        </w:rPr>
        <w:t xml:space="preserve"> coverage is</w:t>
      </w:r>
      <w:r w:rsidR="00AD437C" w:rsidRPr="009E43F2">
        <w:rPr>
          <w:sz w:val="24"/>
          <w:szCs w:val="24"/>
        </w:rPr>
        <w:t>.</w:t>
      </w:r>
    </w:p>
    <w:p w14:paraId="04476CE8" w14:textId="692C0182" w:rsidR="00E51A64" w:rsidRPr="009E43F2" w:rsidRDefault="002812BE" w:rsidP="00F3791A">
      <w:pPr>
        <w:spacing w:line="360" w:lineRule="auto"/>
        <w:ind w:firstLine="720"/>
        <w:rPr>
          <w:b/>
          <w:sz w:val="24"/>
          <w:szCs w:val="24"/>
        </w:rPr>
      </w:pPr>
      <w:r>
        <w:rPr>
          <w:sz w:val="24"/>
          <w:szCs w:val="24"/>
        </w:rPr>
        <w:t>US regulations are poorly suited to promoting plan competition: s</w:t>
      </w:r>
      <w:r w:rsidR="007D7103" w:rsidRPr="009E43F2">
        <w:rPr>
          <w:sz w:val="24"/>
          <w:szCs w:val="24"/>
        </w:rPr>
        <w:t>tate</w:t>
      </w:r>
      <w:r>
        <w:rPr>
          <w:sz w:val="24"/>
          <w:szCs w:val="24"/>
        </w:rPr>
        <w:t xml:space="preserve">s </w:t>
      </w:r>
      <w:r w:rsidR="007D7103" w:rsidRPr="009E43F2">
        <w:rPr>
          <w:sz w:val="24"/>
          <w:szCs w:val="24"/>
        </w:rPr>
        <w:t>regulat</w:t>
      </w:r>
      <w:r>
        <w:rPr>
          <w:sz w:val="24"/>
          <w:szCs w:val="24"/>
        </w:rPr>
        <w:t>e</w:t>
      </w:r>
      <w:r w:rsidR="007D7103" w:rsidRPr="009E43F2">
        <w:rPr>
          <w:sz w:val="24"/>
          <w:szCs w:val="24"/>
        </w:rPr>
        <w:t xml:space="preserve"> within-state insurance </w:t>
      </w:r>
      <w:r>
        <w:rPr>
          <w:sz w:val="24"/>
          <w:szCs w:val="24"/>
        </w:rPr>
        <w:t xml:space="preserve">plans </w:t>
      </w:r>
      <w:r w:rsidR="007D7103" w:rsidRPr="009E43F2">
        <w:rPr>
          <w:sz w:val="24"/>
          <w:szCs w:val="24"/>
        </w:rPr>
        <w:t xml:space="preserve">for </w:t>
      </w:r>
      <w:r w:rsidR="00AB2E60">
        <w:rPr>
          <w:sz w:val="24"/>
          <w:szCs w:val="24"/>
        </w:rPr>
        <w:t xml:space="preserve">Medicaid and </w:t>
      </w:r>
      <w:r w:rsidR="00AD437C" w:rsidRPr="009E43F2">
        <w:rPr>
          <w:sz w:val="24"/>
          <w:szCs w:val="24"/>
        </w:rPr>
        <w:t>employer-sponsored insurance</w:t>
      </w:r>
      <w:r w:rsidR="007D7103" w:rsidRPr="009E43F2">
        <w:rPr>
          <w:sz w:val="24"/>
          <w:szCs w:val="24"/>
        </w:rPr>
        <w:t xml:space="preserve">, but at the same time </w:t>
      </w:r>
      <w:r w:rsidR="00AB2E60">
        <w:rPr>
          <w:sz w:val="24"/>
          <w:szCs w:val="24"/>
        </w:rPr>
        <w:t xml:space="preserve">federal laws </w:t>
      </w:r>
      <w:r w:rsidR="00F3791A" w:rsidRPr="009E43F2">
        <w:rPr>
          <w:sz w:val="24"/>
          <w:szCs w:val="24"/>
        </w:rPr>
        <w:t>prevent</w:t>
      </w:r>
      <w:r w:rsidR="001E1AA8" w:rsidRPr="009E43F2">
        <w:rPr>
          <w:sz w:val="24"/>
          <w:szCs w:val="24"/>
        </w:rPr>
        <w:t>s</w:t>
      </w:r>
      <w:r w:rsidR="00F3791A" w:rsidRPr="009E43F2">
        <w:rPr>
          <w:sz w:val="24"/>
          <w:szCs w:val="24"/>
        </w:rPr>
        <w:t xml:space="preserve"> states from regulating </w:t>
      </w:r>
      <w:r w:rsidR="00A242E9" w:rsidRPr="009E43F2">
        <w:rPr>
          <w:sz w:val="24"/>
          <w:szCs w:val="24"/>
        </w:rPr>
        <w:t xml:space="preserve">large, multistate insurers. </w:t>
      </w:r>
      <w:r w:rsidR="00AB2E60">
        <w:rPr>
          <w:sz w:val="24"/>
          <w:szCs w:val="24"/>
        </w:rPr>
        <w:t xml:space="preserve">State variation in regulations </w:t>
      </w:r>
      <w:r w:rsidR="001F36AE">
        <w:rPr>
          <w:sz w:val="24"/>
          <w:szCs w:val="24"/>
        </w:rPr>
        <w:t xml:space="preserve">inhibits </w:t>
      </w:r>
      <w:r w:rsidR="001F36AE" w:rsidRPr="009E43F2">
        <w:rPr>
          <w:sz w:val="24"/>
          <w:szCs w:val="24"/>
        </w:rPr>
        <w:t>health</w:t>
      </w:r>
      <w:r w:rsidR="000B07E9" w:rsidRPr="009E43F2">
        <w:rPr>
          <w:sz w:val="24"/>
          <w:szCs w:val="24"/>
        </w:rPr>
        <w:t xml:space="preserve"> plans ent</w:t>
      </w:r>
      <w:r w:rsidR="00AB2E60">
        <w:rPr>
          <w:sz w:val="24"/>
          <w:szCs w:val="24"/>
        </w:rPr>
        <w:t>ry into</w:t>
      </w:r>
      <w:r w:rsidR="000B07E9" w:rsidRPr="009E43F2">
        <w:rPr>
          <w:sz w:val="24"/>
          <w:szCs w:val="24"/>
        </w:rPr>
        <w:t xml:space="preserve"> </w:t>
      </w:r>
      <w:r w:rsidR="00F3791A" w:rsidRPr="009E43F2">
        <w:rPr>
          <w:sz w:val="24"/>
          <w:szCs w:val="24"/>
        </w:rPr>
        <w:t xml:space="preserve">new </w:t>
      </w:r>
      <w:r w:rsidR="000B07E9" w:rsidRPr="009E43F2">
        <w:rPr>
          <w:sz w:val="24"/>
          <w:szCs w:val="24"/>
        </w:rPr>
        <w:t>states</w:t>
      </w:r>
      <w:r w:rsidR="00F3791A" w:rsidRPr="009E43F2">
        <w:rPr>
          <w:sz w:val="24"/>
          <w:szCs w:val="24"/>
        </w:rPr>
        <w:t xml:space="preserve"> or new public programs </w:t>
      </w:r>
      <w:r w:rsidR="00AB2E60">
        <w:rPr>
          <w:sz w:val="24"/>
          <w:szCs w:val="24"/>
        </w:rPr>
        <w:t xml:space="preserve">by raising </w:t>
      </w:r>
      <w:r w:rsidR="0000304F" w:rsidRPr="009E43F2">
        <w:rPr>
          <w:sz w:val="24"/>
          <w:szCs w:val="24"/>
        </w:rPr>
        <w:t>administrative</w:t>
      </w:r>
      <w:r w:rsidR="00AB2E60">
        <w:rPr>
          <w:sz w:val="24"/>
          <w:szCs w:val="24"/>
        </w:rPr>
        <w:t>, marketing,</w:t>
      </w:r>
      <w:r w:rsidR="0000304F" w:rsidRPr="009E43F2">
        <w:rPr>
          <w:sz w:val="24"/>
          <w:szCs w:val="24"/>
        </w:rPr>
        <w:t xml:space="preserve"> and </w:t>
      </w:r>
      <w:r w:rsidR="000B07E9" w:rsidRPr="009E43F2">
        <w:rPr>
          <w:sz w:val="24"/>
          <w:szCs w:val="24"/>
        </w:rPr>
        <w:t>regulatory costs</w:t>
      </w:r>
      <w:r w:rsidR="00A242E9" w:rsidRPr="009E43F2">
        <w:rPr>
          <w:sz w:val="24"/>
          <w:szCs w:val="24"/>
        </w:rPr>
        <w:t>.</w:t>
      </w:r>
      <w:r w:rsidR="00F3791A" w:rsidRPr="009E43F2">
        <w:rPr>
          <w:sz w:val="24"/>
          <w:szCs w:val="24"/>
        </w:rPr>
        <w:t xml:space="preserve"> </w:t>
      </w:r>
    </w:p>
    <w:p w14:paraId="2AF03732" w14:textId="3CE8C853" w:rsidR="00EE53E2" w:rsidRDefault="00EE53E2">
      <w:pPr>
        <w:rPr>
          <w:b/>
        </w:rPr>
      </w:pPr>
      <w:r>
        <w:rPr>
          <w:b/>
        </w:rPr>
        <w:br w:type="page"/>
      </w:r>
    </w:p>
    <w:p w14:paraId="0BD426B3" w14:textId="27488141" w:rsidR="00ED6425" w:rsidRPr="001873FB" w:rsidRDefault="00726948">
      <w:pPr>
        <w:spacing w:before="240" w:after="240" w:line="240" w:lineRule="auto"/>
        <w:rPr>
          <w:b/>
        </w:rPr>
      </w:pPr>
      <w:r>
        <w:rPr>
          <w:b/>
        </w:rPr>
        <w:lastRenderedPageBreak/>
        <w:t xml:space="preserve">Table </w:t>
      </w:r>
      <w:r w:rsidR="00AD437C">
        <w:rPr>
          <w:b/>
        </w:rPr>
        <w:t xml:space="preserve">1. </w:t>
      </w:r>
      <w:r w:rsidR="00B5000D">
        <w:rPr>
          <w:b/>
        </w:rPr>
        <w:t>US</w:t>
      </w:r>
      <w:r w:rsidR="00AD437C">
        <w:rPr>
          <w:b/>
        </w:rPr>
        <w:t xml:space="preserve"> Insurance Coverage Percentiles by Age Group, 2020</w:t>
      </w:r>
    </w:p>
    <w:tbl>
      <w:tblPr>
        <w:tblW w:w="10537"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5"/>
        <w:gridCol w:w="1344"/>
        <w:gridCol w:w="1224"/>
        <w:gridCol w:w="1224"/>
        <w:gridCol w:w="1224"/>
        <w:gridCol w:w="1224"/>
        <w:gridCol w:w="1089"/>
        <w:gridCol w:w="1080"/>
        <w:gridCol w:w="1143"/>
      </w:tblGrid>
      <w:tr w:rsidR="005A3C78" w:rsidRPr="00E5030D" w14:paraId="78D2F3EA" w14:textId="77777777" w:rsidTr="00EE5097">
        <w:trPr>
          <w:trHeight w:val="602"/>
        </w:trPr>
        <w:tc>
          <w:tcPr>
            <w:tcW w:w="985" w:type="dxa"/>
            <w:tcBorders>
              <w:top w:val="single" w:sz="4" w:space="0" w:color="auto"/>
              <w:bottom w:val="single" w:sz="4" w:space="0" w:color="auto"/>
              <w:right w:val="single" w:sz="4" w:space="0" w:color="auto"/>
            </w:tcBorders>
            <w:shd w:val="clear" w:color="auto" w:fill="auto"/>
            <w:noWrap/>
            <w:vAlign w:val="bottom"/>
          </w:tcPr>
          <w:p w14:paraId="538FFC4C" w14:textId="77777777" w:rsidR="005A3C78" w:rsidRPr="00E5030D" w:rsidRDefault="005A3C78" w:rsidP="00E5030D">
            <w:pPr>
              <w:spacing w:line="240" w:lineRule="auto"/>
              <w:rPr>
                <w:rFonts w:ascii="Calibri" w:eastAsia="Times New Roman" w:hAnsi="Calibri" w:cs="Calibri"/>
                <w:color w:val="000000"/>
                <w:lang w:val="en-US"/>
              </w:rPr>
            </w:pPr>
          </w:p>
        </w:tc>
        <w:tc>
          <w:tcPr>
            <w:tcW w:w="3792" w:type="dxa"/>
            <w:gridSpan w:val="3"/>
            <w:tcBorders>
              <w:top w:val="single" w:sz="4" w:space="0" w:color="auto"/>
              <w:bottom w:val="single" w:sz="4" w:space="0" w:color="auto"/>
              <w:right w:val="single" w:sz="4" w:space="0" w:color="auto"/>
            </w:tcBorders>
            <w:vAlign w:val="bottom"/>
          </w:tcPr>
          <w:p w14:paraId="613C41FE" w14:textId="0C7A9C67" w:rsidR="005A3C78" w:rsidRPr="00E5030D" w:rsidRDefault="005A3C78" w:rsidP="00E5030D">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 xml:space="preserve">Regulated competition </w:t>
            </w:r>
            <w:r w:rsidR="005C23C3">
              <w:rPr>
                <w:rFonts w:ascii="Calibri" w:eastAsia="Times New Roman" w:hAnsi="Calibri" w:cs="Calibri"/>
                <w:color w:val="000000"/>
                <w:lang w:val="en-US"/>
              </w:rPr>
              <w:t>s</w:t>
            </w:r>
            <w:r>
              <w:rPr>
                <w:rFonts w:ascii="Calibri" w:eastAsia="Times New Roman" w:hAnsi="Calibri" w:cs="Calibri"/>
                <w:color w:val="000000"/>
                <w:lang w:val="en-US"/>
              </w:rPr>
              <w:t>ystems</w:t>
            </w:r>
          </w:p>
        </w:tc>
        <w:tc>
          <w:tcPr>
            <w:tcW w:w="3537"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5EFE2E8C" w14:textId="43F94A60" w:rsidR="005A3C78" w:rsidRPr="00E5030D" w:rsidRDefault="005A3C78" w:rsidP="00E5030D">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Largely FFS payment</w:t>
            </w:r>
          </w:p>
        </w:tc>
        <w:tc>
          <w:tcPr>
            <w:tcW w:w="2223" w:type="dxa"/>
            <w:gridSpan w:val="2"/>
            <w:tcBorders>
              <w:top w:val="single" w:sz="4" w:space="0" w:color="auto"/>
              <w:left w:val="single" w:sz="4" w:space="0" w:color="auto"/>
              <w:bottom w:val="single" w:sz="4" w:space="0" w:color="auto"/>
            </w:tcBorders>
            <w:shd w:val="clear" w:color="auto" w:fill="auto"/>
            <w:vAlign w:val="bottom"/>
          </w:tcPr>
          <w:p w14:paraId="1003B211" w14:textId="5FF1526B" w:rsidR="005A3C78" w:rsidRPr="00E5030D" w:rsidRDefault="005A3C78" w:rsidP="00E5030D">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Other</w:t>
            </w:r>
          </w:p>
        </w:tc>
      </w:tr>
      <w:tr w:rsidR="00E5030D" w:rsidRPr="00E5030D" w14:paraId="5169B9D0" w14:textId="77777777" w:rsidTr="00E5030D">
        <w:trPr>
          <w:trHeight w:val="602"/>
        </w:trPr>
        <w:tc>
          <w:tcPr>
            <w:tcW w:w="985" w:type="dxa"/>
            <w:tcBorders>
              <w:top w:val="single" w:sz="4" w:space="0" w:color="auto"/>
              <w:bottom w:val="single" w:sz="4" w:space="0" w:color="auto"/>
              <w:right w:val="single" w:sz="4" w:space="0" w:color="auto"/>
            </w:tcBorders>
            <w:shd w:val="clear" w:color="auto" w:fill="auto"/>
            <w:noWrap/>
            <w:vAlign w:val="bottom"/>
            <w:hideMark/>
          </w:tcPr>
          <w:p w14:paraId="1028294A" w14:textId="77777777" w:rsidR="00E5030D" w:rsidRPr="00E5030D" w:rsidRDefault="00E5030D" w:rsidP="00E5030D">
            <w:pPr>
              <w:spacing w:line="240" w:lineRule="auto"/>
              <w:rPr>
                <w:rFonts w:ascii="Calibri" w:eastAsia="Times New Roman" w:hAnsi="Calibri" w:cs="Calibri"/>
                <w:color w:val="000000"/>
                <w:lang w:val="en-US"/>
              </w:rPr>
            </w:pPr>
            <w:r w:rsidRPr="00E5030D">
              <w:rPr>
                <w:rFonts w:ascii="Calibri" w:eastAsia="Times New Roman" w:hAnsi="Calibri" w:cs="Calibri"/>
                <w:color w:val="000000"/>
                <w:lang w:val="en-US"/>
              </w:rPr>
              <w:t>Age Groups</w:t>
            </w:r>
          </w:p>
        </w:tc>
        <w:tc>
          <w:tcPr>
            <w:tcW w:w="1344" w:type="dxa"/>
            <w:tcBorders>
              <w:top w:val="single" w:sz="4" w:space="0" w:color="auto"/>
              <w:bottom w:val="single" w:sz="4" w:space="0" w:color="auto"/>
            </w:tcBorders>
            <w:vAlign w:val="bottom"/>
          </w:tcPr>
          <w:p w14:paraId="56BDC641" w14:textId="25B2C8E7" w:rsidR="00E5030D" w:rsidRPr="00E5030D" w:rsidRDefault="00E5030D" w:rsidP="00E5030D">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ACA Marketplace</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C4B833" w14:textId="661A5517" w:rsidR="00E5030D" w:rsidRPr="00E5030D" w:rsidRDefault="00E5030D" w:rsidP="00E5030D">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Medicaid</w:t>
            </w:r>
            <w:r>
              <w:rPr>
                <w:rFonts w:ascii="Calibri" w:eastAsia="Times New Roman" w:hAnsi="Calibri" w:cs="Calibri"/>
                <w:color w:val="000000"/>
                <w:lang w:val="en-US"/>
              </w:rPr>
              <w:t xml:space="preserve"> </w:t>
            </w:r>
            <w:r w:rsidRPr="00E5030D">
              <w:rPr>
                <w:rFonts w:ascii="Calibri" w:eastAsia="Times New Roman" w:hAnsi="Calibri" w:cs="Calibri"/>
                <w:color w:val="000000"/>
                <w:lang w:val="en-US"/>
              </w:rPr>
              <w:t>+</w:t>
            </w:r>
            <w:r>
              <w:rPr>
                <w:rFonts w:ascii="Calibri" w:eastAsia="Times New Roman" w:hAnsi="Calibri" w:cs="Calibri"/>
                <w:color w:val="000000"/>
                <w:lang w:val="en-US"/>
              </w:rPr>
              <w:t xml:space="preserve"> </w:t>
            </w:r>
            <w:r w:rsidRPr="00E5030D">
              <w:rPr>
                <w:rFonts w:ascii="Calibri" w:eastAsia="Times New Roman" w:hAnsi="Calibri" w:cs="Calibri"/>
                <w:color w:val="000000"/>
                <w:lang w:val="en-US"/>
              </w:rPr>
              <w:t>CHIP MCO</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8DB5ED5" w14:textId="39D48392" w:rsidR="00E5030D" w:rsidRPr="00E5030D" w:rsidRDefault="00D60B45" w:rsidP="00E5030D">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Medicare Advantage</w:t>
            </w:r>
            <w:r w:rsidRPr="00E5030D" w:rsidDel="00D60B45">
              <w:rPr>
                <w:rFonts w:ascii="Calibri" w:eastAsia="Times New Roman" w:hAnsi="Calibri" w:cs="Calibri"/>
                <w:color w:val="000000"/>
                <w:lang w:val="en-US"/>
              </w:rPr>
              <w:t xml:space="preserve"> </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D1F735" w14:textId="28C8436B" w:rsidR="00E5030D" w:rsidRPr="00E5030D" w:rsidRDefault="00D60B45" w:rsidP="00E5030D">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Medicaid</w:t>
            </w:r>
            <w:r>
              <w:rPr>
                <w:rFonts w:ascii="Calibri" w:eastAsia="Times New Roman" w:hAnsi="Calibri" w:cs="Calibri"/>
                <w:color w:val="000000"/>
                <w:lang w:val="en-US"/>
              </w:rPr>
              <w:t xml:space="preserve"> </w:t>
            </w:r>
            <w:r w:rsidRPr="00E5030D">
              <w:rPr>
                <w:rFonts w:ascii="Calibri" w:eastAsia="Times New Roman" w:hAnsi="Calibri" w:cs="Calibri"/>
                <w:color w:val="000000"/>
                <w:lang w:val="en-US"/>
              </w:rPr>
              <w:t>+</w:t>
            </w:r>
            <w:r>
              <w:rPr>
                <w:rFonts w:ascii="Calibri" w:eastAsia="Times New Roman" w:hAnsi="Calibri" w:cs="Calibri"/>
                <w:color w:val="000000"/>
                <w:lang w:val="en-US"/>
              </w:rPr>
              <w:t xml:space="preserve"> </w:t>
            </w:r>
            <w:r w:rsidRPr="00E5030D">
              <w:rPr>
                <w:rFonts w:ascii="Calibri" w:eastAsia="Times New Roman" w:hAnsi="Calibri" w:cs="Calibri"/>
                <w:color w:val="000000"/>
                <w:lang w:val="en-US"/>
              </w:rPr>
              <w:t xml:space="preserve">CHIP FFS </w:t>
            </w:r>
          </w:p>
        </w:tc>
        <w:tc>
          <w:tcPr>
            <w:tcW w:w="122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058054" w14:textId="4477A11D" w:rsidR="00E5030D" w:rsidRPr="00E5030D" w:rsidRDefault="00E5030D" w:rsidP="00E5030D">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Medicare: Traditional</w:t>
            </w:r>
          </w:p>
        </w:tc>
        <w:tc>
          <w:tcPr>
            <w:tcW w:w="108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2E4B423" w14:textId="77777777" w:rsidR="00E5030D" w:rsidRPr="00E5030D" w:rsidRDefault="00E5030D" w:rsidP="00E5030D">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Private Insurance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DF7A76" w14:textId="77777777" w:rsidR="00E5030D" w:rsidRPr="00E5030D" w:rsidRDefault="00E5030D" w:rsidP="00E5030D">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Military</w:t>
            </w:r>
          </w:p>
        </w:tc>
        <w:tc>
          <w:tcPr>
            <w:tcW w:w="1143" w:type="dxa"/>
            <w:tcBorders>
              <w:top w:val="single" w:sz="4" w:space="0" w:color="auto"/>
              <w:left w:val="single" w:sz="4" w:space="0" w:color="auto"/>
              <w:bottom w:val="single" w:sz="4" w:space="0" w:color="auto"/>
            </w:tcBorders>
            <w:shd w:val="clear" w:color="auto" w:fill="auto"/>
            <w:vAlign w:val="bottom"/>
            <w:hideMark/>
          </w:tcPr>
          <w:p w14:paraId="3A69A8E1" w14:textId="77777777" w:rsidR="00E5030D" w:rsidRPr="00E5030D" w:rsidRDefault="00E5030D" w:rsidP="00E5030D">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Uninsured</w:t>
            </w:r>
          </w:p>
        </w:tc>
      </w:tr>
      <w:tr w:rsidR="00D60B45" w:rsidRPr="00E5030D" w14:paraId="6AD94328" w14:textId="77777777" w:rsidTr="001873FB">
        <w:trPr>
          <w:trHeight w:val="290"/>
        </w:trPr>
        <w:tc>
          <w:tcPr>
            <w:tcW w:w="985" w:type="dxa"/>
            <w:tcBorders>
              <w:top w:val="single" w:sz="4" w:space="0" w:color="auto"/>
              <w:right w:val="single" w:sz="4" w:space="0" w:color="auto"/>
            </w:tcBorders>
            <w:shd w:val="clear" w:color="auto" w:fill="auto"/>
            <w:noWrap/>
            <w:vAlign w:val="bottom"/>
            <w:hideMark/>
          </w:tcPr>
          <w:p w14:paraId="1A8AD4B3" w14:textId="77777777" w:rsidR="00D60B45" w:rsidRPr="00E5030D" w:rsidRDefault="00D60B45" w:rsidP="00D60B45">
            <w:pPr>
              <w:spacing w:line="240" w:lineRule="auto"/>
              <w:rPr>
                <w:rFonts w:ascii="Calibri" w:eastAsia="Times New Roman" w:hAnsi="Calibri" w:cs="Calibri"/>
                <w:color w:val="000000"/>
                <w:lang w:val="en-US"/>
              </w:rPr>
            </w:pPr>
            <w:r w:rsidRPr="00E5030D">
              <w:rPr>
                <w:rFonts w:ascii="Calibri" w:eastAsia="Times New Roman" w:hAnsi="Calibri" w:cs="Calibri"/>
                <w:color w:val="000000"/>
                <w:lang w:val="en-US"/>
              </w:rPr>
              <w:t>0 to 18</w:t>
            </w:r>
          </w:p>
        </w:tc>
        <w:tc>
          <w:tcPr>
            <w:tcW w:w="1344" w:type="dxa"/>
            <w:tcBorders>
              <w:top w:val="single" w:sz="4" w:space="0" w:color="auto"/>
            </w:tcBorders>
            <w:vAlign w:val="bottom"/>
          </w:tcPr>
          <w:p w14:paraId="3EB49040" w14:textId="56D2192A"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1.5%</w:t>
            </w:r>
          </w:p>
        </w:tc>
        <w:tc>
          <w:tcPr>
            <w:tcW w:w="1224" w:type="dxa"/>
            <w:tcBorders>
              <w:top w:val="single" w:sz="4" w:space="0" w:color="auto"/>
              <w:left w:val="single" w:sz="4" w:space="0" w:color="auto"/>
              <w:right w:val="single" w:sz="4" w:space="0" w:color="auto"/>
            </w:tcBorders>
            <w:shd w:val="clear" w:color="auto" w:fill="auto"/>
            <w:noWrap/>
            <w:vAlign w:val="bottom"/>
            <w:hideMark/>
          </w:tcPr>
          <w:p w14:paraId="5B0E924C" w14:textId="6473094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27.6%</w:t>
            </w:r>
          </w:p>
        </w:tc>
        <w:tc>
          <w:tcPr>
            <w:tcW w:w="1224" w:type="dxa"/>
            <w:tcBorders>
              <w:top w:val="single" w:sz="4" w:space="0" w:color="auto"/>
              <w:left w:val="single" w:sz="4" w:space="0" w:color="auto"/>
              <w:right w:val="single" w:sz="4" w:space="0" w:color="auto"/>
            </w:tcBorders>
            <w:shd w:val="clear" w:color="auto" w:fill="auto"/>
            <w:noWrap/>
          </w:tcPr>
          <w:p w14:paraId="590F5216" w14:textId="25CF2F5F" w:rsidR="00D60B45" w:rsidRPr="00E5030D" w:rsidRDefault="00D60B45" w:rsidP="00D60B45">
            <w:pPr>
              <w:spacing w:line="240" w:lineRule="auto"/>
              <w:jc w:val="center"/>
              <w:rPr>
                <w:rFonts w:ascii="Calibri" w:eastAsia="Times New Roman" w:hAnsi="Calibri" w:cs="Calibri"/>
                <w:color w:val="000000"/>
                <w:lang w:val="en-US"/>
              </w:rPr>
            </w:pPr>
            <w:r w:rsidRPr="00897771">
              <w:rPr>
                <w:rFonts w:ascii="Calibri" w:eastAsia="Times New Roman" w:hAnsi="Calibri" w:cs="Calibri"/>
                <w:color w:val="000000"/>
                <w:lang w:val="en-US"/>
              </w:rPr>
              <w:t>-</w:t>
            </w:r>
          </w:p>
        </w:tc>
        <w:tc>
          <w:tcPr>
            <w:tcW w:w="1224" w:type="dxa"/>
            <w:tcBorders>
              <w:top w:val="single" w:sz="4" w:space="0" w:color="auto"/>
              <w:left w:val="single" w:sz="4" w:space="0" w:color="auto"/>
              <w:right w:val="single" w:sz="4" w:space="0" w:color="auto"/>
            </w:tcBorders>
            <w:shd w:val="clear" w:color="auto" w:fill="auto"/>
            <w:noWrap/>
            <w:vAlign w:val="bottom"/>
            <w:hideMark/>
          </w:tcPr>
          <w:p w14:paraId="3BCD0616" w14:textId="18591EA4"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5.8%</w:t>
            </w:r>
          </w:p>
        </w:tc>
        <w:tc>
          <w:tcPr>
            <w:tcW w:w="1224" w:type="dxa"/>
            <w:tcBorders>
              <w:top w:val="single" w:sz="4" w:space="0" w:color="auto"/>
              <w:left w:val="single" w:sz="4" w:space="0" w:color="auto"/>
              <w:right w:val="single" w:sz="4" w:space="0" w:color="auto"/>
            </w:tcBorders>
            <w:shd w:val="clear" w:color="auto" w:fill="auto"/>
            <w:noWrap/>
            <w:vAlign w:val="bottom"/>
            <w:hideMark/>
          </w:tcPr>
          <w:p w14:paraId="436F49A4"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0.4%</w:t>
            </w:r>
          </w:p>
        </w:tc>
        <w:tc>
          <w:tcPr>
            <w:tcW w:w="1089" w:type="dxa"/>
            <w:tcBorders>
              <w:top w:val="single" w:sz="4" w:space="0" w:color="auto"/>
              <w:left w:val="single" w:sz="4" w:space="0" w:color="auto"/>
              <w:right w:val="single" w:sz="4" w:space="0" w:color="auto"/>
            </w:tcBorders>
            <w:shd w:val="clear" w:color="auto" w:fill="auto"/>
            <w:noWrap/>
            <w:vAlign w:val="bottom"/>
            <w:hideMark/>
          </w:tcPr>
          <w:p w14:paraId="18A45EFC"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56.7%</w:t>
            </w:r>
          </w:p>
        </w:tc>
        <w:tc>
          <w:tcPr>
            <w:tcW w:w="1080" w:type="dxa"/>
            <w:tcBorders>
              <w:top w:val="single" w:sz="4" w:space="0" w:color="auto"/>
              <w:left w:val="single" w:sz="4" w:space="0" w:color="auto"/>
              <w:right w:val="single" w:sz="4" w:space="0" w:color="auto"/>
            </w:tcBorders>
            <w:shd w:val="clear" w:color="auto" w:fill="auto"/>
            <w:noWrap/>
            <w:vAlign w:val="bottom"/>
            <w:hideMark/>
          </w:tcPr>
          <w:p w14:paraId="74DCAB2E"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2.9%</w:t>
            </w:r>
          </w:p>
        </w:tc>
        <w:tc>
          <w:tcPr>
            <w:tcW w:w="1143" w:type="dxa"/>
            <w:tcBorders>
              <w:top w:val="single" w:sz="4" w:space="0" w:color="auto"/>
              <w:left w:val="single" w:sz="4" w:space="0" w:color="auto"/>
            </w:tcBorders>
            <w:shd w:val="clear" w:color="auto" w:fill="auto"/>
            <w:noWrap/>
            <w:vAlign w:val="bottom"/>
            <w:hideMark/>
          </w:tcPr>
          <w:p w14:paraId="50A00869"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5.1%</w:t>
            </w:r>
          </w:p>
        </w:tc>
      </w:tr>
      <w:tr w:rsidR="00D60B45" w:rsidRPr="00E5030D" w14:paraId="2FFE1619" w14:textId="77777777" w:rsidTr="001873FB">
        <w:trPr>
          <w:trHeight w:val="290"/>
        </w:trPr>
        <w:tc>
          <w:tcPr>
            <w:tcW w:w="985" w:type="dxa"/>
            <w:tcBorders>
              <w:right w:val="single" w:sz="4" w:space="0" w:color="auto"/>
            </w:tcBorders>
            <w:shd w:val="clear" w:color="auto" w:fill="auto"/>
            <w:noWrap/>
            <w:vAlign w:val="bottom"/>
            <w:hideMark/>
          </w:tcPr>
          <w:p w14:paraId="1C7512EA" w14:textId="77777777" w:rsidR="00D60B45" w:rsidRPr="00E5030D" w:rsidRDefault="00D60B45" w:rsidP="00D60B45">
            <w:pPr>
              <w:spacing w:line="240" w:lineRule="auto"/>
              <w:rPr>
                <w:rFonts w:ascii="Calibri" w:eastAsia="Times New Roman" w:hAnsi="Calibri" w:cs="Calibri"/>
                <w:color w:val="000000"/>
                <w:lang w:val="en-US"/>
              </w:rPr>
            </w:pPr>
            <w:r w:rsidRPr="00E5030D">
              <w:rPr>
                <w:rFonts w:ascii="Calibri" w:eastAsia="Times New Roman" w:hAnsi="Calibri" w:cs="Calibri"/>
                <w:color w:val="000000"/>
                <w:lang w:val="en-US"/>
              </w:rPr>
              <w:t>19 to 25</w:t>
            </w:r>
          </w:p>
        </w:tc>
        <w:tc>
          <w:tcPr>
            <w:tcW w:w="1344" w:type="dxa"/>
            <w:vAlign w:val="bottom"/>
          </w:tcPr>
          <w:p w14:paraId="408B471B" w14:textId="551C328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4.4%</w:t>
            </w:r>
          </w:p>
        </w:tc>
        <w:tc>
          <w:tcPr>
            <w:tcW w:w="1224" w:type="dxa"/>
            <w:tcBorders>
              <w:left w:val="single" w:sz="4" w:space="0" w:color="auto"/>
              <w:right w:val="single" w:sz="4" w:space="0" w:color="auto"/>
            </w:tcBorders>
            <w:shd w:val="clear" w:color="auto" w:fill="auto"/>
            <w:noWrap/>
            <w:vAlign w:val="bottom"/>
            <w:hideMark/>
          </w:tcPr>
          <w:p w14:paraId="5263553A" w14:textId="76AA9F0C"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13.2%</w:t>
            </w:r>
          </w:p>
        </w:tc>
        <w:tc>
          <w:tcPr>
            <w:tcW w:w="1224" w:type="dxa"/>
            <w:tcBorders>
              <w:left w:val="single" w:sz="4" w:space="0" w:color="auto"/>
              <w:right w:val="single" w:sz="4" w:space="0" w:color="auto"/>
            </w:tcBorders>
            <w:shd w:val="clear" w:color="auto" w:fill="auto"/>
            <w:noWrap/>
          </w:tcPr>
          <w:p w14:paraId="47C97114" w14:textId="2DF925DD" w:rsidR="00D60B45" w:rsidRPr="00E5030D" w:rsidRDefault="00D60B45" w:rsidP="00D60B45">
            <w:pPr>
              <w:spacing w:line="240" w:lineRule="auto"/>
              <w:jc w:val="center"/>
              <w:rPr>
                <w:rFonts w:ascii="Calibri" w:eastAsia="Times New Roman" w:hAnsi="Calibri" w:cs="Calibri"/>
                <w:color w:val="000000"/>
                <w:lang w:val="en-US"/>
              </w:rPr>
            </w:pPr>
            <w:r w:rsidRPr="00897771">
              <w:rPr>
                <w:rFonts w:ascii="Calibri" w:eastAsia="Times New Roman" w:hAnsi="Calibri" w:cs="Calibri"/>
                <w:color w:val="000000"/>
                <w:lang w:val="en-US"/>
              </w:rPr>
              <w:t>-</w:t>
            </w:r>
          </w:p>
        </w:tc>
        <w:tc>
          <w:tcPr>
            <w:tcW w:w="1224" w:type="dxa"/>
            <w:tcBorders>
              <w:left w:val="single" w:sz="4" w:space="0" w:color="auto"/>
              <w:right w:val="single" w:sz="4" w:space="0" w:color="auto"/>
            </w:tcBorders>
            <w:shd w:val="clear" w:color="auto" w:fill="auto"/>
            <w:noWrap/>
            <w:vAlign w:val="bottom"/>
            <w:hideMark/>
          </w:tcPr>
          <w:p w14:paraId="1603F265" w14:textId="4A2E502C"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2.9%</w:t>
            </w:r>
          </w:p>
        </w:tc>
        <w:tc>
          <w:tcPr>
            <w:tcW w:w="1224" w:type="dxa"/>
            <w:tcBorders>
              <w:left w:val="single" w:sz="4" w:space="0" w:color="auto"/>
              <w:right w:val="single" w:sz="4" w:space="0" w:color="auto"/>
            </w:tcBorders>
            <w:shd w:val="clear" w:color="auto" w:fill="auto"/>
            <w:noWrap/>
            <w:vAlign w:val="bottom"/>
            <w:hideMark/>
          </w:tcPr>
          <w:p w14:paraId="3076D646"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1.5%</w:t>
            </w:r>
          </w:p>
        </w:tc>
        <w:tc>
          <w:tcPr>
            <w:tcW w:w="1089" w:type="dxa"/>
            <w:tcBorders>
              <w:left w:val="single" w:sz="4" w:space="0" w:color="auto"/>
              <w:right w:val="single" w:sz="4" w:space="0" w:color="auto"/>
            </w:tcBorders>
            <w:shd w:val="clear" w:color="auto" w:fill="auto"/>
            <w:noWrap/>
            <w:vAlign w:val="bottom"/>
            <w:hideMark/>
          </w:tcPr>
          <w:p w14:paraId="592A3361"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61.8%</w:t>
            </w:r>
          </w:p>
        </w:tc>
        <w:tc>
          <w:tcPr>
            <w:tcW w:w="1080" w:type="dxa"/>
            <w:tcBorders>
              <w:left w:val="single" w:sz="4" w:space="0" w:color="auto"/>
              <w:right w:val="single" w:sz="4" w:space="0" w:color="auto"/>
            </w:tcBorders>
            <w:shd w:val="clear" w:color="auto" w:fill="auto"/>
            <w:noWrap/>
            <w:vAlign w:val="bottom"/>
            <w:hideMark/>
          </w:tcPr>
          <w:p w14:paraId="43020042"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2.2%</w:t>
            </w:r>
          </w:p>
        </w:tc>
        <w:tc>
          <w:tcPr>
            <w:tcW w:w="1143" w:type="dxa"/>
            <w:tcBorders>
              <w:left w:val="single" w:sz="4" w:space="0" w:color="auto"/>
            </w:tcBorders>
            <w:shd w:val="clear" w:color="auto" w:fill="auto"/>
            <w:noWrap/>
            <w:vAlign w:val="bottom"/>
            <w:hideMark/>
          </w:tcPr>
          <w:p w14:paraId="3ED0ACA8"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14.0%</w:t>
            </w:r>
          </w:p>
        </w:tc>
      </w:tr>
      <w:tr w:rsidR="00D60B45" w:rsidRPr="00E5030D" w14:paraId="3A68B791" w14:textId="77777777" w:rsidTr="001873FB">
        <w:trPr>
          <w:trHeight w:val="290"/>
        </w:trPr>
        <w:tc>
          <w:tcPr>
            <w:tcW w:w="985" w:type="dxa"/>
            <w:tcBorders>
              <w:right w:val="single" w:sz="4" w:space="0" w:color="auto"/>
            </w:tcBorders>
            <w:shd w:val="clear" w:color="auto" w:fill="auto"/>
            <w:noWrap/>
            <w:vAlign w:val="bottom"/>
            <w:hideMark/>
          </w:tcPr>
          <w:p w14:paraId="52CF2A02" w14:textId="77777777" w:rsidR="00D60B45" w:rsidRPr="00E5030D" w:rsidRDefault="00D60B45" w:rsidP="00D60B45">
            <w:pPr>
              <w:spacing w:line="240" w:lineRule="auto"/>
              <w:rPr>
                <w:rFonts w:ascii="Calibri" w:eastAsia="Times New Roman" w:hAnsi="Calibri" w:cs="Calibri"/>
                <w:color w:val="000000"/>
                <w:lang w:val="en-US"/>
              </w:rPr>
            </w:pPr>
            <w:r w:rsidRPr="00E5030D">
              <w:rPr>
                <w:rFonts w:ascii="Calibri" w:eastAsia="Times New Roman" w:hAnsi="Calibri" w:cs="Calibri"/>
                <w:color w:val="000000"/>
                <w:lang w:val="en-US"/>
              </w:rPr>
              <w:t>26 to 34</w:t>
            </w:r>
          </w:p>
        </w:tc>
        <w:tc>
          <w:tcPr>
            <w:tcW w:w="1344" w:type="dxa"/>
            <w:vAlign w:val="bottom"/>
          </w:tcPr>
          <w:p w14:paraId="6C433F84" w14:textId="35CB4FD1"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3.7%</w:t>
            </w:r>
          </w:p>
        </w:tc>
        <w:tc>
          <w:tcPr>
            <w:tcW w:w="1224" w:type="dxa"/>
            <w:tcBorders>
              <w:left w:val="single" w:sz="4" w:space="0" w:color="auto"/>
              <w:right w:val="single" w:sz="4" w:space="0" w:color="auto"/>
            </w:tcBorders>
            <w:shd w:val="clear" w:color="auto" w:fill="auto"/>
            <w:noWrap/>
            <w:vAlign w:val="bottom"/>
            <w:hideMark/>
          </w:tcPr>
          <w:p w14:paraId="708B7A3F" w14:textId="677D498A"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12.5%</w:t>
            </w:r>
          </w:p>
        </w:tc>
        <w:tc>
          <w:tcPr>
            <w:tcW w:w="1224" w:type="dxa"/>
            <w:tcBorders>
              <w:left w:val="single" w:sz="4" w:space="0" w:color="auto"/>
              <w:right w:val="single" w:sz="4" w:space="0" w:color="auto"/>
            </w:tcBorders>
            <w:shd w:val="clear" w:color="auto" w:fill="auto"/>
            <w:noWrap/>
          </w:tcPr>
          <w:p w14:paraId="31DDB5D4" w14:textId="6DC68D5C" w:rsidR="00D60B45" w:rsidRPr="00E5030D" w:rsidRDefault="00D60B45" w:rsidP="00D60B45">
            <w:pPr>
              <w:spacing w:line="240" w:lineRule="auto"/>
              <w:jc w:val="center"/>
              <w:rPr>
                <w:rFonts w:ascii="Calibri" w:eastAsia="Times New Roman" w:hAnsi="Calibri" w:cs="Calibri"/>
                <w:color w:val="000000"/>
                <w:lang w:val="en-US"/>
              </w:rPr>
            </w:pPr>
            <w:r w:rsidRPr="00897771">
              <w:rPr>
                <w:rFonts w:ascii="Calibri" w:eastAsia="Times New Roman" w:hAnsi="Calibri" w:cs="Calibri"/>
                <w:color w:val="000000"/>
                <w:lang w:val="en-US"/>
              </w:rPr>
              <w:t>-</w:t>
            </w:r>
          </w:p>
        </w:tc>
        <w:tc>
          <w:tcPr>
            <w:tcW w:w="1224" w:type="dxa"/>
            <w:tcBorders>
              <w:left w:val="single" w:sz="4" w:space="0" w:color="auto"/>
              <w:right w:val="single" w:sz="4" w:space="0" w:color="auto"/>
            </w:tcBorders>
            <w:shd w:val="clear" w:color="auto" w:fill="auto"/>
            <w:noWrap/>
            <w:vAlign w:val="bottom"/>
            <w:hideMark/>
          </w:tcPr>
          <w:p w14:paraId="21955212" w14:textId="7529F968"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2.9%</w:t>
            </w:r>
          </w:p>
        </w:tc>
        <w:tc>
          <w:tcPr>
            <w:tcW w:w="1224" w:type="dxa"/>
            <w:tcBorders>
              <w:left w:val="single" w:sz="4" w:space="0" w:color="auto"/>
              <w:right w:val="single" w:sz="4" w:space="0" w:color="auto"/>
            </w:tcBorders>
            <w:shd w:val="clear" w:color="auto" w:fill="auto"/>
            <w:noWrap/>
            <w:vAlign w:val="bottom"/>
            <w:hideMark/>
          </w:tcPr>
          <w:p w14:paraId="787A3E06"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1.5%</w:t>
            </w:r>
          </w:p>
        </w:tc>
        <w:tc>
          <w:tcPr>
            <w:tcW w:w="1089" w:type="dxa"/>
            <w:tcBorders>
              <w:left w:val="single" w:sz="4" w:space="0" w:color="auto"/>
              <w:right w:val="single" w:sz="4" w:space="0" w:color="auto"/>
            </w:tcBorders>
            <w:shd w:val="clear" w:color="auto" w:fill="auto"/>
            <w:noWrap/>
            <w:vAlign w:val="bottom"/>
            <w:hideMark/>
          </w:tcPr>
          <w:p w14:paraId="17A28DA5"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62.5%</w:t>
            </w:r>
          </w:p>
        </w:tc>
        <w:tc>
          <w:tcPr>
            <w:tcW w:w="1080" w:type="dxa"/>
            <w:tcBorders>
              <w:left w:val="single" w:sz="4" w:space="0" w:color="auto"/>
              <w:right w:val="single" w:sz="4" w:space="0" w:color="auto"/>
            </w:tcBorders>
            <w:shd w:val="clear" w:color="auto" w:fill="auto"/>
            <w:noWrap/>
            <w:vAlign w:val="bottom"/>
            <w:hideMark/>
          </w:tcPr>
          <w:p w14:paraId="5220C177"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2.9%</w:t>
            </w:r>
          </w:p>
        </w:tc>
        <w:tc>
          <w:tcPr>
            <w:tcW w:w="1143" w:type="dxa"/>
            <w:tcBorders>
              <w:left w:val="single" w:sz="4" w:space="0" w:color="auto"/>
            </w:tcBorders>
            <w:shd w:val="clear" w:color="auto" w:fill="auto"/>
            <w:noWrap/>
            <w:vAlign w:val="bottom"/>
            <w:hideMark/>
          </w:tcPr>
          <w:p w14:paraId="4DAAD9DB"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14.0%</w:t>
            </w:r>
          </w:p>
        </w:tc>
      </w:tr>
      <w:tr w:rsidR="00D60B45" w:rsidRPr="00E5030D" w14:paraId="79182C21" w14:textId="77777777" w:rsidTr="001873FB">
        <w:trPr>
          <w:trHeight w:val="290"/>
        </w:trPr>
        <w:tc>
          <w:tcPr>
            <w:tcW w:w="985" w:type="dxa"/>
            <w:tcBorders>
              <w:right w:val="single" w:sz="4" w:space="0" w:color="auto"/>
            </w:tcBorders>
            <w:shd w:val="clear" w:color="auto" w:fill="auto"/>
            <w:noWrap/>
            <w:vAlign w:val="bottom"/>
            <w:hideMark/>
          </w:tcPr>
          <w:p w14:paraId="47A22CE3" w14:textId="77777777" w:rsidR="00D60B45" w:rsidRPr="00E5030D" w:rsidRDefault="00D60B45" w:rsidP="00D60B45">
            <w:pPr>
              <w:spacing w:line="240" w:lineRule="auto"/>
              <w:rPr>
                <w:rFonts w:ascii="Calibri" w:eastAsia="Times New Roman" w:hAnsi="Calibri" w:cs="Calibri"/>
                <w:color w:val="000000"/>
                <w:lang w:val="en-US"/>
              </w:rPr>
            </w:pPr>
            <w:r w:rsidRPr="00E5030D">
              <w:rPr>
                <w:rFonts w:ascii="Calibri" w:eastAsia="Times New Roman" w:hAnsi="Calibri" w:cs="Calibri"/>
                <w:color w:val="000000"/>
                <w:lang w:val="en-US"/>
              </w:rPr>
              <w:t>35 to 44</w:t>
            </w:r>
          </w:p>
        </w:tc>
        <w:tc>
          <w:tcPr>
            <w:tcW w:w="1344" w:type="dxa"/>
            <w:vAlign w:val="bottom"/>
          </w:tcPr>
          <w:p w14:paraId="7AAD52B1" w14:textId="53C1D88B"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4.4%</w:t>
            </w:r>
          </w:p>
        </w:tc>
        <w:tc>
          <w:tcPr>
            <w:tcW w:w="1224" w:type="dxa"/>
            <w:tcBorders>
              <w:left w:val="single" w:sz="4" w:space="0" w:color="auto"/>
              <w:right w:val="single" w:sz="4" w:space="0" w:color="auto"/>
            </w:tcBorders>
            <w:shd w:val="clear" w:color="auto" w:fill="auto"/>
            <w:noWrap/>
            <w:vAlign w:val="bottom"/>
            <w:hideMark/>
          </w:tcPr>
          <w:p w14:paraId="33A0ED43" w14:textId="29488BA3"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10.9%</w:t>
            </w:r>
          </w:p>
        </w:tc>
        <w:tc>
          <w:tcPr>
            <w:tcW w:w="1224" w:type="dxa"/>
            <w:tcBorders>
              <w:left w:val="single" w:sz="4" w:space="0" w:color="auto"/>
              <w:right w:val="single" w:sz="4" w:space="0" w:color="auto"/>
            </w:tcBorders>
            <w:shd w:val="clear" w:color="auto" w:fill="auto"/>
            <w:noWrap/>
          </w:tcPr>
          <w:p w14:paraId="3FBAF34A" w14:textId="6651F5B4" w:rsidR="00D60B45" w:rsidRPr="00E5030D" w:rsidRDefault="00D60B45" w:rsidP="00D60B45">
            <w:pPr>
              <w:spacing w:line="240" w:lineRule="auto"/>
              <w:jc w:val="center"/>
              <w:rPr>
                <w:rFonts w:ascii="Calibri" w:eastAsia="Times New Roman" w:hAnsi="Calibri" w:cs="Calibri"/>
                <w:color w:val="000000"/>
                <w:lang w:val="en-US"/>
              </w:rPr>
            </w:pPr>
            <w:r w:rsidRPr="00897771">
              <w:rPr>
                <w:rFonts w:ascii="Calibri" w:eastAsia="Times New Roman" w:hAnsi="Calibri" w:cs="Calibri"/>
                <w:color w:val="000000"/>
                <w:lang w:val="en-US"/>
              </w:rPr>
              <w:t>-</w:t>
            </w:r>
          </w:p>
        </w:tc>
        <w:tc>
          <w:tcPr>
            <w:tcW w:w="1224" w:type="dxa"/>
            <w:tcBorders>
              <w:left w:val="single" w:sz="4" w:space="0" w:color="auto"/>
              <w:right w:val="single" w:sz="4" w:space="0" w:color="auto"/>
            </w:tcBorders>
            <w:shd w:val="clear" w:color="auto" w:fill="auto"/>
            <w:noWrap/>
            <w:vAlign w:val="bottom"/>
            <w:hideMark/>
          </w:tcPr>
          <w:p w14:paraId="02143075" w14:textId="714BDC05"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2.2%</w:t>
            </w:r>
          </w:p>
        </w:tc>
        <w:tc>
          <w:tcPr>
            <w:tcW w:w="1224" w:type="dxa"/>
            <w:tcBorders>
              <w:left w:val="single" w:sz="4" w:space="0" w:color="auto"/>
              <w:right w:val="single" w:sz="4" w:space="0" w:color="auto"/>
            </w:tcBorders>
            <w:shd w:val="clear" w:color="auto" w:fill="auto"/>
            <w:noWrap/>
            <w:vAlign w:val="bottom"/>
            <w:hideMark/>
          </w:tcPr>
          <w:p w14:paraId="5B93B26C"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2.2%</w:t>
            </w:r>
          </w:p>
        </w:tc>
        <w:tc>
          <w:tcPr>
            <w:tcW w:w="1089" w:type="dxa"/>
            <w:tcBorders>
              <w:left w:val="single" w:sz="4" w:space="0" w:color="auto"/>
              <w:right w:val="single" w:sz="4" w:space="0" w:color="auto"/>
            </w:tcBorders>
            <w:shd w:val="clear" w:color="auto" w:fill="auto"/>
            <w:noWrap/>
            <w:vAlign w:val="bottom"/>
            <w:hideMark/>
          </w:tcPr>
          <w:p w14:paraId="05AB8D8D"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65.7%</w:t>
            </w:r>
          </w:p>
        </w:tc>
        <w:tc>
          <w:tcPr>
            <w:tcW w:w="1080" w:type="dxa"/>
            <w:tcBorders>
              <w:left w:val="single" w:sz="4" w:space="0" w:color="auto"/>
              <w:right w:val="single" w:sz="4" w:space="0" w:color="auto"/>
            </w:tcBorders>
            <w:shd w:val="clear" w:color="auto" w:fill="auto"/>
            <w:noWrap/>
            <w:vAlign w:val="bottom"/>
            <w:hideMark/>
          </w:tcPr>
          <w:p w14:paraId="2162193D"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2.9%</w:t>
            </w:r>
          </w:p>
        </w:tc>
        <w:tc>
          <w:tcPr>
            <w:tcW w:w="1143" w:type="dxa"/>
            <w:tcBorders>
              <w:left w:val="single" w:sz="4" w:space="0" w:color="auto"/>
            </w:tcBorders>
            <w:shd w:val="clear" w:color="auto" w:fill="auto"/>
            <w:noWrap/>
            <w:vAlign w:val="bottom"/>
            <w:hideMark/>
          </w:tcPr>
          <w:p w14:paraId="4B6F09C8"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11.7%</w:t>
            </w:r>
          </w:p>
        </w:tc>
      </w:tr>
      <w:tr w:rsidR="00D60B45" w:rsidRPr="00E5030D" w14:paraId="6591CD32" w14:textId="77777777" w:rsidTr="001873FB">
        <w:trPr>
          <w:trHeight w:val="290"/>
        </w:trPr>
        <w:tc>
          <w:tcPr>
            <w:tcW w:w="985" w:type="dxa"/>
            <w:tcBorders>
              <w:right w:val="single" w:sz="4" w:space="0" w:color="auto"/>
            </w:tcBorders>
            <w:shd w:val="clear" w:color="auto" w:fill="auto"/>
            <w:noWrap/>
            <w:vAlign w:val="bottom"/>
            <w:hideMark/>
          </w:tcPr>
          <w:p w14:paraId="423C9753" w14:textId="77777777" w:rsidR="00D60B45" w:rsidRPr="00E5030D" w:rsidRDefault="00D60B45" w:rsidP="00D60B45">
            <w:pPr>
              <w:spacing w:line="240" w:lineRule="auto"/>
              <w:rPr>
                <w:rFonts w:ascii="Calibri" w:eastAsia="Times New Roman" w:hAnsi="Calibri" w:cs="Calibri"/>
                <w:color w:val="000000"/>
                <w:lang w:val="en-US"/>
              </w:rPr>
            </w:pPr>
            <w:r w:rsidRPr="00E5030D">
              <w:rPr>
                <w:rFonts w:ascii="Calibri" w:eastAsia="Times New Roman" w:hAnsi="Calibri" w:cs="Calibri"/>
                <w:color w:val="000000"/>
                <w:lang w:val="en-US"/>
              </w:rPr>
              <w:t>45 to 54</w:t>
            </w:r>
          </w:p>
        </w:tc>
        <w:tc>
          <w:tcPr>
            <w:tcW w:w="1344" w:type="dxa"/>
            <w:vAlign w:val="bottom"/>
          </w:tcPr>
          <w:p w14:paraId="4B5E3DDA" w14:textId="4E9D419C"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5.8%</w:t>
            </w:r>
          </w:p>
        </w:tc>
        <w:tc>
          <w:tcPr>
            <w:tcW w:w="1224" w:type="dxa"/>
            <w:tcBorders>
              <w:left w:val="single" w:sz="4" w:space="0" w:color="auto"/>
              <w:right w:val="single" w:sz="4" w:space="0" w:color="auto"/>
            </w:tcBorders>
            <w:shd w:val="clear" w:color="auto" w:fill="auto"/>
            <w:noWrap/>
            <w:vAlign w:val="bottom"/>
            <w:hideMark/>
          </w:tcPr>
          <w:p w14:paraId="298611D0" w14:textId="1A363C64" w:rsidR="00D60B45" w:rsidRPr="00E5030D" w:rsidRDefault="00D60B45" w:rsidP="00D60B45">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 xml:space="preserve">  </w:t>
            </w:r>
            <w:r w:rsidRPr="00E5030D">
              <w:rPr>
                <w:rFonts w:ascii="Calibri" w:eastAsia="Times New Roman" w:hAnsi="Calibri" w:cs="Calibri"/>
                <w:color w:val="000000"/>
                <w:lang w:val="en-US"/>
              </w:rPr>
              <w:t>9.4%</w:t>
            </w:r>
          </w:p>
        </w:tc>
        <w:tc>
          <w:tcPr>
            <w:tcW w:w="1224" w:type="dxa"/>
            <w:tcBorders>
              <w:left w:val="single" w:sz="4" w:space="0" w:color="auto"/>
              <w:right w:val="single" w:sz="4" w:space="0" w:color="auto"/>
            </w:tcBorders>
            <w:shd w:val="clear" w:color="auto" w:fill="auto"/>
            <w:noWrap/>
          </w:tcPr>
          <w:p w14:paraId="1766170E" w14:textId="06449FA9" w:rsidR="00D60B45" w:rsidRPr="00E5030D" w:rsidRDefault="00D60B45" w:rsidP="00D60B45">
            <w:pPr>
              <w:spacing w:line="240" w:lineRule="auto"/>
              <w:jc w:val="center"/>
              <w:rPr>
                <w:rFonts w:ascii="Calibri" w:eastAsia="Times New Roman" w:hAnsi="Calibri" w:cs="Calibri"/>
                <w:color w:val="000000"/>
                <w:lang w:val="en-US"/>
              </w:rPr>
            </w:pPr>
            <w:r w:rsidRPr="00897771">
              <w:rPr>
                <w:rFonts w:ascii="Calibri" w:eastAsia="Times New Roman" w:hAnsi="Calibri" w:cs="Calibri"/>
                <w:color w:val="000000"/>
                <w:lang w:val="en-US"/>
              </w:rPr>
              <w:t>-</w:t>
            </w:r>
          </w:p>
        </w:tc>
        <w:tc>
          <w:tcPr>
            <w:tcW w:w="1224" w:type="dxa"/>
            <w:tcBorders>
              <w:left w:val="single" w:sz="4" w:space="0" w:color="auto"/>
              <w:right w:val="single" w:sz="4" w:space="0" w:color="auto"/>
            </w:tcBorders>
            <w:shd w:val="clear" w:color="auto" w:fill="auto"/>
            <w:noWrap/>
            <w:vAlign w:val="bottom"/>
            <w:hideMark/>
          </w:tcPr>
          <w:p w14:paraId="428F3A4B" w14:textId="11ADC2FB"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2.2%</w:t>
            </w:r>
          </w:p>
        </w:tc>
        <w:tc>
          <w:tcPr>
            <w:tcW w:w="1224" w:type="dxa"/>
            <w:tcBorders>
              <w:left w:val="single" w:sz="4" w:space="0" w:color="auto"/>
              <w:right w:val="single" w:sz="4" w:space="0" w:color="auto"/>
            </w:tcBorders>
            <w:shd w:val="clear" w:color="auto" w:fill="auto"/>
            <w:noWrap/>
            <w:vAlign w:val="bottom"/>
            <w:hideMark/>
          </w:tcPr>
          <w:p w14:paraId="0BBC30A8"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3.6%</w:t>
            </w:r>
          </w:p>
        </w:tc>
        <w:tc>
          <w:tcPr>
            <w:tcW w:w="1089" w:type="dxa"/>
            <w:tcBorders>
              <w:left w:val="single" w:sz="4" w:space="0" w:color="auto"/>
              <w:right w:val="single" w:sz="4" w:space="0" w:color="auto"/>
            </w:tcBorders>
            <w:shd w:val="clear" w:color="auto" w:fill="auto"/>
            <w:noWrap/>
            <w:vAlign w:val="bottom"/>
            <w:hideMark/>
          </w:tcPr>
          <w:p w14:paraId="0E17D41C"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65.9%</w:t>
            </w:r>
          </w:p>
        </w:tc>
        <w:tc>
          <w:tcPr>
            <w:tcW w:w="1080" w:type="dxa"/>
            <w:tcBorders>
              <w:left w:val="single" w:sz="4" w:space="0" w:color="auto"/>
              <w:right w:val="single" w:sz="4" w:space="0" w:color="auto"/>
            </w:tcBorders>
            <w:shd w:val="clear" w:color="auto" w:fill="auto"/>
            <w:noWrap/>
            <w:vAlign w:val="bottom"/>
            <w:hideMark/>
          </w:tcPr>
          <w:p w14:paraId="4330DD82"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2.9%</w:t>
            </w:r>
          </w:p>
        </w:tc>
        <w:tc>
          <w:tcPr>
            <w:tcW w:w="1143" w:type="dxa"/>
            <w:tcBorders>
              <w:left w:val="single" w:sz="4" w:space="0" w:color="auto"/>
            </w:tcBorders>
            <w:shd w:val="clear" w:color="auto" w:fill="auto"/>
            <w:noWrap/>
            <w:vAlign w:val="bottom"/>
            <w:hideMark/>
          </w:tcPr>
          <w:p w14:paraId="44AEABED"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10.1%</w:t>
            </w:r>
          </w:p>
        </w:tc>
      </w:tr>
      <w:tr w:rsidR="00D60B45" w:rsidRPr="00E5030D" w14:paraId="5C922376" w14:textId="77777777" w:rsidTr="00E5030D">
        <w:trPr>
          <w:trHeight w:val="290"/>
        </w:trPr>
        <w:tc>
          <w:tcPr>
            <w:tcW w:w="985" w:type="dxa"/>
            <w:tcBorders>
              <w:right w:val="single" w:sz="4" w:space="0" w:color="auto"/>
            </w:tcBorders>
            <w:shd w:val="clear" w:color="auto" w:fill="auto"/>
            <w:noWrap/>
            <w:vAlign w:val="bottom"/>
            <w:hideMark/>
          </w:tcPr>
          <w:p w14:paraId="2232BAFF" w14:textId="77777777" w:rsidR="00D60B45" w:rsidRPr="00E5030D" w:rsidRDefault="00D60B45" w:rsidP="00D60B45">
            <w:pPr>
              <w:spacing w:line="240" w:lineRule="auto"/>
              <w:rPr>
                <w:rFonts w:ascii="Calibri" w:eastAsia="Times New Roman" w:hAnsi="Calibri" w:cs="Calibri"/>
                <w:color w:val="000000"/>
                <w:lang w:val="en-US"/>
              </w:rPr>
            </w:pPr>
            <w:r w:rsidRPr="00E5030D">
              <w:rPr>
                <w:rFonts w:ascii="Calibri" w:eastAsia="Times New Roman" w:hAnsi="Calibri" w:cs="Calibri"/>
                <w:color w:val="000000"/>
                <w:lang w:val="en-US"/>
              </w:rPr>
              <w:t>55 to 64</w:t>
            </w:r>
          </w:p>
        </w:tc>
        <w:tc>
          <w:tcPr>
            <w:tcW w:w="1344" w:type="dxa"/>
            <w:vAlign w:val="bottom"/>
          </w:tcPr>
          <w:p w14:paraId="006D74A9" w14:textId="01EAD3D8"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6.6%</w:t>
            </w:r>
          </w:p>
        </w:tc>
        <w:tc>
          <w:tcPr>
            <w:tcW w:w="1224" w:type="dxa"/>
            <w:tcBorders>
              <w:left w:val="single" w:sz="4" w:space="0" w:color="auto"/>
              <w:right w:val="single" w:sz="4" w:space="0" w:color="auto"/>
            </w:tcBorders>
            <w:shd w:val="clear" w:color="auto" w:fill="auto"/>
            <w:noWrap/>
            <w:vAlign w:val="bottom"/>
            <w:hideMark/>
          </w:tcPr>
          <w:p w14:paraId="0F3C8F99" w14:textId="042B3326"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10.3%</w:t>
            </w:r>
          </w:p>
        </w:tc>
        <w:tc>
          <w:tcPr>
            <w:tcW w:w="1224" w:type="dxa"/>
            <w:tcBorders>
              <w:left w:val="single" w:sz="4" w:space="0" w:color="auto"/>
              <w:right w:val="single" w:sz="4" w:space="0" w:color="auto"/>
            </w:tcBorders>
            <w:shd w:val="clear" w:color="auto" w:fill="auto"/>
            <w:noWrap/>
            <w:vAlign w:val="bottom"/>
            <w:hideMark/>
          </w:tcPr>
          <w:p w14:paraId="215D9496" w14:textId="521DCD95" w:rsidR="00D60B45" w:rsidRPr="00E5030D" w:rsidRDefault="00D60B45" w:rsidP="00D60B45">
            <w:pPr>
              <w:spacing w:line="240" w:lineRule="auto"/>
              <w:jc w:val="center"/>
              <w:rPr>
                <w:rFonts w:ascii="Calibri" w:eastAsia="Times New Roman" w:hAnsi="Calibri" w:cs="Calibri"/>
                <w:color w:val="000000"/>
                <w:lang w:val="en-US"/>
              </w:rPr>
            </w:pPr>
            <w:r>
              <w:rPr>
                <w:rFonts w:ascii="Calibri" w:eastAsia="Times New Roman" w:hAnsi="Calibri" w:cs="Calibri"/>
                <w:color w:val="000000"/>
                <w:lang w:val="en-US"/>
              </w:rPr>
              <w:t xml:space="preserve">  </w:t>
            </w:r>
            <w:r w:rsidRPr="00E5030D">
              <w:rPr>
                <w:rFonts w:ascii="Calibri" w:eastAsia="Times New Roman" w:hAnsi="Calibri" w:cs="Calibri"/>
                <w:color w:val="000000"/>
                <w:lang w:val="en-US"/>
              </w:rPr>
              <w:t>0.4%</w:t>
            </w:r>
          </w:p>
        </w:tc>
        <w:tc>
          <w:tcPr>
            <w:tcW w:w="1224" w:type="dxa"/>
            <w:tcBorders>
              <w:left w:val="single" w:sz="4" w:space="0" w:color="auto"/>
              <w:right w:val="single" w:sz="4" w:space="0" w:color="auto"/>
            </w:tcBorders>
            <w:shd w:val="clear" w:color="auto" w:fill="auto"/>
            <w:noWrap/>
            <w:vAlign w:val="bottom"/>
            <w:hideMark/>
          </w:tcPr>
          <w:p w14:paraId="1E19F438" w14:textId="5C64A205"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2.2%</w:t>
            </w:r>
          </w:p>
        </w:tc>
        <w:tc>
          <w:tcPr>
            <w:tcW w:w="1224" w:type="dxa"/>
            <w:tcBorders>
              <w:left w:val="single" w:sz="4" w:space="0" w:color="auto"/>
              <w:right w:val="single" w:sz="4" w:space="0" w:color="auto"/>
            </w:tcBorders>
            <w:shd w:val="clear" w:color="auto" w:fill="auto"/>
            <w:noWrap/>
            <w:vAlign w:val="bottom"/>
            <w:hideMark/>
          </w:tcPr>
          <w:p w14:paraId="64BAC4E2"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7.4%</w:t>
            </w:r>
          </w:p>
        </w:tc>
        <w:tc>
          <w:tcPr>
            <w:tcW w:w="1089" w:type="dxa"/>
            <w:tcBorders>
              <w:left w:val="single" w:sz="4" w:space="0" w:color="auto"/>
              <w:right w:val="single" w:sz="4" w:space="0" w:color="auto"/>
            </w:tcBorders>
            <w:shd w:val="clear" w:color="auto" w:fill="auto"/>
            <w:noWrap/>
            <w:vAlign w:val="bottom"/>
            <w:hideMark/>
          </w:tcPr>
          <w:p w14:paraId="24121B87"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62.0%</w:t>
            </w:r>
          </w:p>
        </w:tc>
        <w:tc>
          <w:tcPr>
            <w:tcW w:w="1080" w:type="dxa"/>
            <w:tcBorders>
              <w:left w:val="single" w:sz="4" w:space="0" w:color="auto"/>
              <w:right w:val="single" w:sz="4" w:space="0" w:color="auto"/>
            </w:tcBorders>
            <w:shd w:val="clear" w:color="auto" w:fill="auto"/>
            <w:noWrap/>
            <w:vAlign w:val="bottom"/>
            <w:hideMark/>
          </w:tcPr>
          <w:p w14:paraId="65B6DF62"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3.0%</w:t>
            </w:r>
          </w:p>
        </w:tc>
        <w:tc>
          <w:tcPr>
            <w:tcW w:w="1143" w:type="dxa"/>
            <w:tcBorders>
              <w:left w:val="single" w:sz="4" w:space="0" w:color="auto"/>
            </w:tcBorders>
            <w:shd w:val="clear" w:color="auto" w:fill="auto"/>
            <w:noWrap/>
            <w:vAlign w:val="bottom"/>
            <w:hideMark/>
          </w:tcPr>
          <w:p w14:paraId="33A4AE89"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8.1%</w:t>
            </w:r>
          </w:p>
        </w:tc>
      </w:tr>
      <w:tr w:rsidR="00D60B45" w:rsidRPr="00E5030D" w14:paraId="1A49B0FD" w14:textId="77777777" w:rsidTr="00E5030D">
        <w:trPr>
          <w:trHeight w:val="290"/>
        </w:trPr>
        <w:tc>
          <w:tcPr>
            <w:tcW w:w="985" w:type="dxa"/>
            <w:tcBorders>
              <w:right w:val="single" w:sz="4" w:space="0" w:color="auto"/>
            </w:tcBorders>
            <w:shd w:val="clear" w:color="auto" w:fill="auto"/>
            <w:noWrap/>
            <w:vAlign w:val="bottom"/>
            <w:hideMark/>
          </w:tcPr>
          <w:p w14:paraId="5A2B72D9" w14:textId="77777777" w:rsidR="00D60B45" w:rsidRPr="00E5030D" w:rsidRDefault="00D60B45" w:rsidP="00D60B45">
            <w:pPr>
              <w:spacing w:line="240" w:lineRule="auto"/>
              <w:rPr>
                <w:rFonts w:ascii="Calibri" w:eastAsia="Times New Roman" w:hAnsi="Calibri" w:cs="Calibri"/>
                <w:color w:val="000000"/>
                <w:lang w:val="en-US"/>
              </w:rPr>
            </w:pPr>
            <w:r w:rsidRPr="00E5030D">
              <w:rPr>
                <w:rFonts w:ascii="Calibri" w:eastAsia="Times New Roman" w:hAnsi="Calibri" w:cs="Calibri"/>
                <w:color w:val="000000"/>
                <w:lang w:val="en-US"/>
              </w:rPr>
              <w:t>65 +</w:t>
            </w:r>
          </w:p>
        </w:tc>
        <w:tc>
          <w:tcPr>
            <w:tcW w:w="1344" w:type="dxa"/>
            <w:vAlign w:val="bottom"/>
          </w:tcPr>
          <w:p w14:paraId="4C3A4CE9" w14:textId="28CDB49A"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w:t>
            </w:r>
          </w:p>
        </w:tc>
        <w:tc>
          <w:tcPr>
            <w:tcW w:w="1224" w:type="dxa"/>
            <w:tcBorders>
              <w:left w:val="single" w:sz="4" w:space="0" w:color="auto"/>
              <w:bottom w:val="single" w:sz="4" w:space="0" w:color="auto"/>
              <w:right w:val="single" w:sz="4" w:space="0" w:color="auto"/>
            </w:tcBorders>
            <w:shd w:val="clear" w:color="auto" w:fill="auto"/>
            <w:noWrap/>
            <w:vAlign w:val="bottom"/>
            <w:hideMark/>
          </w:tcPr>
          <w:p w14:paraId="4FE1CE11" w14:textId="644AACD5"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w:t>
            </w:r>
          </w:p>
        </w:tc>
        <w:tc>
          <w:tcPr>
            <w:tcW w:w="1224" w:type="dxa"/>
            <w:tcBorders>
              <w:left w:val="single" w:sz="4" w:space="0" w:color="auto"/>
              <w:right w:val="single" w:sz="4" w:space="0" w:color="auto"/>
            </w:tcBorders>
            <w:shd w:val="clear" w:color="auto" w:fill="auto"/>
            <w:noWrap/>
            <w:vAlign w:val="bottom"/>
            <w:hideMark/>
          </w:tcPr>
          <w:p w14:paraId="24AB36D9" w14:textId="1BA8924E"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25.2%</w:t>
            </w:r>
          </w:p>
        </w:tc>
        <w:tc>
          <w:tcPr>
            <w:tcW w:w="1224" w:type="dxa"/>
            <w:tcBorders>
              <w:left w:val="single" w:sz="4" w:space="0" w:color="auto"/>
              <w:bottom w:val="single" w:sz="4" w:space="0" w:color="auto"/>
              <w:right w:val="single" w:sz="4" w:space="0" w:color="auto"/>
            </w:tcBorders>
            <w:shd w:val="clear" w:color="auto" w:fill="auto"/>
            <w:noWrap/>
            <w:vAlign w:val="bottom"/>
            <w:hideMark/>
          </w:tcPr>
          <w:p w14:paraId="5763E00C" w14:textId="2D0170CF" w:rsidR="00D60B45" w:rsidRPr="00E5030D" w:rsidRDefault="00D60B45" w:rsidP="00D60B45">
            <w:pPr>
              <w:spacing w:line="240" w:lineRule="auto"/>
              <w:jc w:val="center"/>
              <w:rPr>
                <w:rFonts w:ascii="Calibri" w:eastAsia="Times New Roman" w:hAnsi="Calibri" w:cs="Calibri"/>
                <w:color w:val="000000"/>
                <w:lang w:val="en-US"/>
              </w:rPr>
            </w:pPr>
          </w:p>
        </w:tc>
        <w:tc>
          <w:tcPr>
            <w:tcW w:w="1224" w:type="dxa"/>
            <w:tcBorders>
              <w:left w:val="single" w:sz="4" w:space="0" w:color="auto"/>
              <w:right w:val="single" w:sz="4" w:space="0" w:color="auto"/>
            </w:tcBorders>
            <w:shd w:val="clear" w:color="auto" w:fill="auto"/>
            <w:noWrap/>
            <w:vAlign w:val="bottom"/>
            <w:hideMark/>
          </w:tcPr>
          <w:p w14:paraId="2D97158F"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49.2%</w:t>
            </w:r>
          </w:p>
        </w:tc>
        <w:tc>
          <w:tcPr>
            <w:tcW w:w="1089" w:type="dxa"/>
            <w:tcBorders>
              <w:left w:val="single" w:sz="4" w:space="0" w:color="auto"/>
              <w:right w:val="single" w:sz="4" w:space="0" w:color="auto"/>
            </w:tcBorders>
            <w:shd w:val="clear" w:color="auto" w:fill="auto"/>
            <w:noWrap/>
            <w:vAlign w:val="bottom"/>
            <w:hideMark/>
          </w:tcPr>
          <w:p w14:paraId="0E6BDD82"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24.5%</w:t>
            </w:r>
          </w:p>
        </w:tc>
        <w:tc>
          <w:tcPr>
            <w:tcW w:w="1080" w:type="dxa"/>
            <w:tcBorders>
              <w:left w:val="single" w:sz="4" w:space="0" w:color="auto"/>
              <w:bottom w:val="single" w:sz="4" w:space="0" w:color="auto"/>
              <w:right w:val="single" w:sz="4" w:space="0" w:color="auto"/>
            </w:tcBorders>
            <w:shd w:val="clear" w:color="auto" w:fill="auto"/>
            <w:noWrap/>
            <w:vAlign w:val="bottom"/>
            <w:hideMark/>
          </w:tcPr>
          <w:p w14:paraId="5B1D6C29"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w:t>
            </w:r>
          </w:p>
        </w:tc>
        <w:tc>
          <w:tcPr>
            <w:tcW w:w="1143" w:type="dxa"/>
            <w:tcBorders>
              <w:left w:val="single" w:sz="4" w:space="0" w:color="auto"/>
            </w:tcBorders>
            <w:shd w:val="clear" w:color="auto" w:fill="auto"/>
            <w:noWrap/>
            <w:vAlign w:val="bottom"/>
            <w:hideMark/>
          </w:tcPr>
          <w:p w14:paraId="12CB59FB" w14:textId="77777777" w:rsidR="00D60B45" w:rsidRPr="00E5030D" w:rsidRDefault="00D60B45" w:rsidP="00D60B45">
            <w:pPr>
              <w:spacing w:line="240" w:lineRule="auto"/>
              <w:jc w:val="center"/>
              <w:rPr>
                <w:rFonts w:ascii="Calibri" w:eastAsia="Times New Roman" w:hAnsi="Calibri" w:cs="Calibri"/>
                <w:color w:val="000000"/>
                <w:lang w:val="en-US"/>
              </w:rPr>
            </w:pPr>
            <w:r w:rsidRPr="00E5030D">
              <w:rPr>
                <w:rFonts w:ascii="Calibri" w:eastAsia="Times New Roman" w:hAnsi="Calibri" w:cs="Calibri"/>
                <w:color w:val="000000"/>
                <w:lang w:val="en-US"/>
              </w:rPr>
              <w:t>1.1%</w:t>
            </w:r>
          </w:p>
        </w:tc>
      </w:tr>
    </w:tbl>
    <w:p w14:paraId="6B51CB85" w14:textId="25CDF0CC" w:rsidR="00E5030D" w:rsidRDefault="00E5030D" w:rsidP="00E5030D">
      <w:pPr>
        <w:spacing w:line="240" w:lineRule="auto"/>
      </w:pPr>
      <w:r>
        <w:rPr>
          <w:i/>
        </w:rPr>
        <w:t>Table Notes</w:t>
      </w:r>
      <w:r>
        <w:t xml:space="preserve">: </w:t>
      </w:r>
      <w:r w:rsidRPr="00E5030D">
        <w:t>Percentages in the original sources do not sum to 100% due to dual coverage</w:t>
      </w:r>
      <w:r>
        <w:t>; we present normalized percentages (e.g., rescaled to s</w:t>
      </w:r>
      <w:r w:rsidRPr="00E5030D">
        <w:t>um to 100%</w:t>
      </w:r>
      <w:r>
        <w:t xml:space="preserve">) </w:t>
      </w:r>
      <w:proofErr w:type="gramStart"/>
      <w:r>
        <w:t>in order to</w:t>
      </w:r>
      <w:proofErr w:type="gramEnd"/>
      <w:r>
        <w:t xml:space="preserve"> highlight </w:t>
      </w:r>
      <w:r w:rsidRPr="00E5030D">
        <w:t>relative importance. Dual enrollment in Medicaid or Department of Veteran's Affairs coverage together with other coverage are ignored. Supplemental Medicare ("Medigap") and Medicaid coverage for Medicare eligibles play important roles but are not shown here. Employer sponsored Medicare Advantage was classified as Private insurance for over age 65 sample.</w:t>
      </w:r>
    </w:p>
    <w:p w14:paraId="689B93C7" w14:textId="77777777" w:rsidR="002B27AD" w:rsidRPr="001873FB" w:rsidRDefault="002B27AD" w:rsidP="00E5030D">
      <w:pPr>
        <w:spacing w:line="240" w:lineRule="auto"/>
        <w:rPr>
          <w:sz w:val="12"/>
          <w:szCs w:val="12"/>
        </w:rPr>
      </w:pPr>
    </w:p>
    <w:p w14:paraId="43AD9646" w14:textId="7F249274" w:rsidR="00E5030D" w:rsidRDefault="00E5030D" w:rsidP="00E5030D">
      <w:pPr>
        <w:spacing w:line="240" w:lineRule="auto"/>
      </w:pPr>
      <w:r w:rsidRPr="001873FB">
        <w:rPr>
          <w:i/>
          <w:iCs/>
        </w:rPr>
        <w:t>Abbreviations</w:t>
      </w:r>
      <w:r w:rsidRPr="00E5030D">
        <w:t>: CHIP = Children's Health Insurance Program, MCO = Managed Care Organization, FFS = Fee-for-service, ACA = Accountable Care Act</w:t>
      </w:r>
    </w:p>
    <w:p w14:paraId="3913569D" w14:textId="77777777" w:rsidR="002B27AD" w:rsidRPr="001873FB" w:rsidRDefault="002B27AD" w:rsidP="00E5030D">
      <w:pPr>
        <w:spacing w:line="240" w:lineRule="auto"/>
        <w:rPr>
          <w:sz w:val="12"/>
          <w:szCs w:val="12"/>
        </w:rPr>
      </w:pPr>
    </w:p>
    <w:p w14:paraId="07DEE031" w14:textId="12212FE0" w:rsidR="00E5030D" w:rsidRDefault="00E5030D" w:rsidP="001873FB">
      <w:pPr>
        <w:spacing w:after="240" w:line="240" w:lineRule="auto"/>
      </w:pPr>
      <w:r w:rsidRPr="001873FB">
        <w:rPr>
          <w:i/>
          <w:iCs/>
        </w:rPr>
        <w:t>Sources</w:t>
      </w:r>
      <w:r w:rsidRPr="00E5030D">
        <w:t>: Kaiser Family Foundation 2021a, US Census Bureau 2021.</w:t>
      </w:r>
    </w:p>
    <w:p w14:paraId="6478252E" w14:textId="033C0223" w:rsidR="00810087" w:rsidRPr="009E43F2" w:rsidRDefault="00726948" w:rsidP="00E5030D">
      <w:pPr>
        <w:spacing w:line="360" w:lineRule="auto"/>
        <w:ind w:firstLine="720"/>
        <w:rPr>
          <w:sz w:val="24"/>
          <w:szCs w:val="24"/>
        </w:rPr>
      </w:pPr>
      <w:r>
        <w:rPr>
          <w:sz w:val="24"/>
          <w:szCs w:val="24"/>
        </w:rPr>
        <w:t>Table</w:t>
      </w:r>
      <w:r w:rsidRPr="009E43F2">
        <w:rPr>
          <w:sz w:val="24"/>
          <w:szCs w:val="24"/>
        </w:rPr>
        <w:t xml:space="preserve"> </w:t>
      </w:r>
      <w:r w:rsidR="00AD437C" w:rsidRPr="009E43F2">
        <w:rPr>
          <w:sz w:val="24"/>
          <w:szCs w:val="24"/>
        </w:rPr>
        <w:t xml:space="preserve">1 summarizes this heterogeneity in insurance coverage across age groups in 2020. </w:t>
      </w:r>
      <w:r w:rsidR="00E51A64" w:rsidRPr="009E43F2">
        <w:rPr>
          <w:sz w:val="24"/>
          <w:szCs w:val="24"/>
        </w:rPr>
        <w:t>Similar variations could be documented across income, employment</w:t>
      </w:r>
      <w:r w:rsidR="00936FA3" w:rsidRPr="009E43F2">
        <w:rPr>
          <w:sz w:val="24"/>
          <w:szCs w:val="24"/>
        </w:rPr>
        <w:t xml:space="preserve">, </w:t>
      </w:r>
      <w:r w:rsidR="00810087" w:rsidRPr="009E43F2">
        <w:rPr>
          <w:sz w:val="24"/>
          <w:szCs w:val="24"/>
        </w:rPr>
        <w:t>family type (single/married/with children)</w:t>
      </w:r>
      <w:r w:rsidR="00E51A64" w:rsidRPr="009E43F2">
        <w:rPr>
          <w:sz w:val="24"/>
          <w:szCs w:val="24"/>
        </w:rPr>
        <w:t xml:space="preserve">, and states. </w:t>
      </w:r>
      <w:r w:rsidR="00E5030D">
        <w:rPr>
          <w:sz w:val="24"/>
          <w:szCs w:val="24"/>
        </w:rPr>
        <w:t>Of particular interest</w:t>
      </w:r>
      <w:r w:rsidR="00D60B45">
        <w:rPr>
          <w:sz w:val="24"/>
          <w:szCs w:val="24"/>
        </w:rPr>
        <w:t xml:space="preserve"> are </w:t>
      </w:r>
      <w:r w:rsidR="00936FA3" w:rsidRPr="009E43F2">
        <w:rPr>
          <w:sz w:val="24"/>
          <w:szCs w:val="24"/>
        </w:rPr>
        <w:t xml:space="preserve">three types of regulated competition, corresponding to </w:t>
      </w:r>
      <w:r w:rsidR="008629F4">
        <w:rPr>
          <w:sz w:val="24"/>
          <w:szCs w:val="24"/>
        </w:rPr>
        <w:t xml:space="preserve">the </w:t>
      </w:r>
      <w:r w:rsidR="007B0D3D">
        <w:rPr>
          <w:sz w:val="24"/>
          <w:szCs w:val="24"/>
        </w:rPr>
        <w:t xml:space="preserve">2010 </w:t>
      </w:r>
      <w:r w:rsidR="008629F4">
        <w:rPr>
          <w:sz w:val="24"/>
          <w:szCs w:val="24"/>
        </w:rPr>
        <w:t xml:space="preserve">ACA </w:t>
      </w:r>
      <w:r w:rsidR="001F36AE">
        <w:rPr>
          <w:sz w:val="24"/>
          <w:szCs w:val="24"/>
        </w:rPr>
        <w:t>Marketplace</w:t>
      </w:r>
      <w:r w:rsidR="00936FA3" w:rsidRPr="009E43F2">
        <w:rPr>
          <w:sz w:val="24"/>
          <w:szCs w:val="24"/>
        </w:rPr>
        <w:t xml:space="preserve">, </w:t>
      </w:r>
      <w:r w:rsidR="001F36AE">
        <w:rPr>
          <w:sz w:val="24"/>
          <w:szCs w:val="24"/>
        </w:rPr>
        <w:t>Medicaid</w:t>
      </w:r>
      <w:r w:rsidR="00D60B45">
        <w:rPr>
          <w:sz w:val="24"/>
          <w:szCs w:val="24"/>
        </w:rPr>
        <w:t xml:space="preserve"> MCOs, a</w:t>
      </w:r>
      <w:r w:rsidR="001F36AE">
        <w:rPr>
          <w:sz w:val="24"/>
          <w:szCs w:val="24"/>
        </w:rPr>
        <w:t>nd Medicare Advantage</w:t>
      </w:r>
      <w:r w:rsidR="00936FA3" w:rsidRPr="009E43F2">
        <w:rPr>
          <w:sz w:val="24"/>
          <w:szCs w:val="24"/>
        </w:rPr>
        <w:t xml:space="preserve">. </w:t>
      </w:r>
      <w:r w:rsidR="008629F4">
        <w:rPr>
          <w:sz w:val="24"/>
          <w:szCs w:val="24"/>
        </w:rPr>
        <w:t>T</w:t>
      </w:r>
      <w:r w:rsidR="001F36AE">
        <w:rPr>
          <w:sz w:val="24"/>
          <w:szCs w:val="24"/>
        </w:rPr>
        <w:t xml:space="preserve">he ACA </w:t>
      </w:r>
      <w:r w:rsidR="008629F4">
        <w:rPr>
          <w:sz w:val="24"/>
          <w:szCs w:val="24"/>
        </w:rPr>
        <w:t>Marketplace was a signature new form of plan competition</w:t>
      </w:r>
      <w:r w:rsidR="00082EA8">
        <w:rPr>
          <w:sz w:val="24"/>
          <w:szCs w:val="24"/>
        </w:rPr>
        <w:t xml:space="preserve">; </w:t>
      </w:r>
      <w:r w:rsidR="007B0D3D">
        <w:rPr>
          <w:sz w:val="24"/>
          <w:szCs w:val="24"/>
        </w:rPr>
        <w:t>in 2020</w:t>
      </w:r>
      <w:r w:rsidR="00082EA8">
        <w:rPr>
          <w:sz w:val="24"/>
          <w:szCs w:val="24"/>
        </w:rPr>
        <w:t>, however,</w:t>
      </w:r>
      <w:r w:rsidR="007B0D3D">
        <w:rPr>
          <w:sz w:val="24"/>
          <w:szCs w:val="24"/>
        </w:rPr>
        <w:t xml:space="preserve"> </w:t>
      </w:r>
      <w:r w:rsidR="008629F4">
        <w:rPr>
          <w:sz w:val="24"/>
          <w:szCs w:val="24"/>
        </w:rPr>
        <w:t xml:space="preserve">only one to six percent of </w:t>
      </w:r>
      <w:r w:rsidR="00082EA8">
        <w:rPr>
          <w:sz w:val="24"/>
          <w:szCs w:val="24"/>
        </w:rPr>
        <w:t>the</w:t>
      </w:r>
      <w:r w:rsidR="008629F4">
        <w:rPr>
          <w:sz w:val="24"/>
          <w:szCs w:val="24"/>
        </w:rPr>
        <w:t xml:space="preserve"> </w:t>
      </w:r>
      <w:proofErr w:type="spellStart"/>
      <w:proofErr w:type="gramStart"/>
      <w:r w:rsidR="008629F4">
        <w:rPr>
          <w:sz w:val="24"/>
          <w:szCs w:val="24"/>
        </w:rPr>
        <w:t>under age</w:t>
      </w:r>
      <w:proofErr w:type="spellEnd"/>
      <w:proofErr w:type="gramEnd"/>
      <w:r w:rsidR="00082EA8">
        <w:rPr>
          <w:sz w:val="24"/>
          <w:szCs w:val="24"/>
        </w:rPr>
        <w:t>-</w:t>
      </w:r>
      <w:r w:rsidR="008629F4">
        <w:rPr>
          <w:sz w:val="24"/>
          <w:szCs w:val="24"/>
        </w:rPr>
        <w:t>65 population</w:t>
      </w:r>
      <w:r w:rsidR="00082EA8">
        <w:rPr>
          <w:sz w:val="24"/>
          <w:szCs w:val="24"/>
        </w:rPr>
        <w:t xml:space="preserve"> were enrolled through these exchanges</w:t>
      </w:r>
      <w:r w:rsidR="008629F4">
        <w:rPr>
          <w:sz w:val="24"/>
          <w:szCs w:val="24"/>
        </w:rPr>
        <w:t xml:space="preserve">. Although </w:t>
      </w:r>
      <w:r w:rsidR="00AD437C" w:rsidRPr="009E43F2">
        <w:rPr>
          <w:sz w:val="24"/>
          <w:szCs w:val="24"/>
        </w:rPr>
        <w:t xml:space="preserve">the percentage of people without health insurance </w:t>
      </w:r>
      <w:r w:rsidR="007B0D3D">
        <w:rPr>
          <w:sz w:val="24"/>
          <w:szCs w:val="24"/>
        </w:rPr>
        <w:t xml:space="preserve">remains lower than its high of 17 percent in 2009, </w:t>
      </w:r>
      <w:r w:rsidR="008629F4">
        <w:rPr>
          <w:sz w:val="24"/>
          <w:szCs w:val="24"/>
        </w:rPr>
        <w:t xml:space="preserve">by 2020 the uninsured population </w:t>
      </w:r>
      <w:r w:rsidR="007B0D3D">
        <w:rPr>
          <w:sz w:val="24"/>
          <w:szCs w:val="24"/>
        </w:rPr>
        <w:t xml:space="preserve">remains above </w:t>
      </w:r>
      <w:r w:rsidR="00AD437C" w:rsidRPr="009E43F2">
        <w:rPr>
          <w:sz w:val="24"/>
          <w:szCs w:val="24"/>
        </w:rPr>
        <w:t>10</w:t>
      </w:r>
      <w:r w:rsidR="007B0D3D">
        <w:rPr>
          <w:sz w:val="24"/>
          <w:szCs w:val="24"/>
        </w:rPr>
        <w:t>%</w:t>
      </w:r>
      <w:r w:rsidR="00AD437C" w:rsidRPr="009E43F2">
        <w:rPr>
          <w:sz w:val="24"/>
          <w:szCs w:val="24"/>
        </w:rPr>
        <w:t xml:space="preserve"> </w:t>
      </w:r>
      <w:r w:rsidR="007B0D3D">
        <w:rPr>
          <w:sz w:val="24"/>
          <w:szCs w:val="24"/>
        </w:rPr>
        <w:t xml:space="preserve">for </w:t>
      </w:r>
      <w:r w:rsidR="00AD437C" w:rsidRPr="009E43F2">
        <w:rPr>
          <w:sz w:val="24"/>
          <w:szCs w:val="24"/>
        </w:rPr>
        <w:t xml:space="preserve">of people aged 19 to 44. </w:t>
      </w:r>
      <w:r w:rsidR="007B0D3D">
        <w:rPr>
          <w:sz w:val="24"/>
          <w:szCs w:val="24"/>
        </w:rPr>
        <w:t xml:space="preserve">The largest </w:t>
      </w:r>
      <w:r w:rsidR="001873FB">
        <w:rPr>
          <w:sz w:val="24"/>
          <w:szCs w:val="24"/>
        </w:rPr>
        <w:t>block (</w:t>
      </w:r>
      <w:r w:rsidR="007B0D3D">
        <w:rPr>
          <w:sz w:val="24"/>
          <w:szCs w:val="24"/>
        </w:rPr>
        <w:t xml:space="preserve">55% or more) of the </w:t>
      </w:r>
      <w:proofErr w:type="spellStart"/>
      <w:proofErr w:type="gramStart"/>
      <w:r w:rsidR="00AD437C" w:rsidRPr="009E43F2">
        <w:rPr>
          <w:sz w:val="24"/>
          <w:szCs w:val="24"/>
        </w:rPr>
        <w:t>under</w:t>
      </w:r>
      <w:r w:rsidR="00082EA8">
        <w:rPr>
          <w:sz w:val="24"/>
          <w:szCs w:val="24"/>
        </w:rPr>
        <w:t xml:space="preserve"> </w:t>
      </w:r>
      <w:r w:rsidR="00AD437C" w:rsidRPr="009E43F2">
        <w:rPr>
          <w:sz w:val="24"/>
          <w:szCs w:val="24"/>
        </w:rPr>
        <w:t>age</w:t>
      </w:r>
      <w:proofErr w:type="spellEnd"/>
      <w:proofErr w:type="gramEnd"/>
      <w:r w:rsidR="00082EA8">
        <w:rPr>
          <w:sz w:val="24"/>
          <w:szCs w:val="24"/>
        </w:rPr>
        <w:t>-</w:t>
      </w:r>
      <w:r w:rsidR="00AD437C" w:rsidRPr="009E43F2">
        <w:rPr>
          <w:sz w:val="24"/>
          <w:szCs w:val="24"/>
        </w:rPr>
        <w:t xml:space="preserve">65 population </w:t>
      </w:r>
      <w:r w:rsidR="007B0D3D">
        <w:rPr>
          <w:sz w:val="24"/>
          <w:szCs w:val="24"/>
        </w:rPr>
        <w:t xml:space="preserve">has primary coverage </w:t>
      </w:r>
      <w:r w:rsidR="00082EA8">
        <w:rPr>
          <w:sz w:val="24"/>
          <w:szCs w:val="24"/>
        </w:rPr>
        <w:t xml:space="preserve">either </w:t>
      </w:r>
      <w:r w:rsidR="00AD437C" w:rsidRPr="009E43F2">
        <w:rPr>
          <w:sz w:val="24"/>
          <w:szCs w:val="24"/>
        </w:rPr>
        <w:t xml:space="preserve">through </w:t>
      </w:r>
      <w:r w:rsidR="007B0D3D">
        <w:rPr>
          <w:sz w:val="24"/>
          <w:szCs w:val="24"/>
        </w:rPr>
        <w:t xml:space="preserve">their </w:t>
      </w:r>
      <w:r w:rsidR="00AD437C" w:rsidRPr="009E43F2">
        <w:rPr>
          <w:sz w:val="24"/>
          <w:szCs w:val="24"/>
        </w:rPr>
        <w:t xml:space="preserve">employer </w:t>
      </w:r>
      <w:r w:rsidR="005A3C78">
        <w:rPr>
          <w:sz w:val="24"/>
          <w:szCs w:val="24"/>
        </w:rPr>
        <w:t xml:space="preserve">or </w:t>
      </w:r>
      <w:r w:rsidR="00082EA8">
        <w:rPr>
          <w:sz w:val="24"/>
          <w:szCs w:val="24"/>
        </w:rPr>
        <w:t xml:space="preserve">through direct consumer </w:t>
      </w:r>
      <w:r w:rsidR="005A3C78">
        <w:rPr>
          <w:sz w:val="24"/>
          <w:szCs w:val="24"/>
        </w:rPr>
        <w:t>purchase</w:t>
      </w:r>
      <w:r w:rsidR="00AD437C" w:rsidRPr="009E43F2">
        <w:rPr>
          <w:sz w:val="24"/>
          <w:szCs w:val="24"/>
        </w:rPr>
        <w:t xml:space="preserve">. </w:t>
      </w:r>
    </w:p>
    <w:p w14:paraId="0C396807" w14:textId="792EFB9F" w:rsidR="001F36AE" w:rsidRDefault="00810087">
      <w:pPr>
        <w:spacing w:line="360" w:lineRule="auto"/>
        <w:ind w:firstLine="720"/>
        <w:rPr>
          <w:sz w:val="24"/>
          <w:szCs w:val="24"/>
        </w:rPr>
      </w:pPr>
      <w:r w:rsidRPr="009E43F2">
        <w:rPr>
          <w:sz w:val="24"/>
          <w:szCs w:val="24"/>
        </w:rPr>
        <w:t>Medicaid</w:t>
      </w:r>
      <w:r w:rsidR="001F36AE">
        <w:rPr>
          <w:sz w:val="24"/>
          <w:szCs w:val="24"/>
        </w:rPr>
        <w:t xml:space="preserve"> </w:t>
      </w:r>
      <w:r w:rsidR="007B0D3D">
        <w:rPr>
          <w:sz w:val="24"/>
          <w:szCs w:val="24"/>
        </w:rPr>
        <w:t>(</w:t>
      </w:r>
      <w:r w:rsidR="001F36AE">
        <w:rPr>
          <w:sz w:val="24"/>
          <w:szCs w:val="24"/>
        </w:rPr>
        <w:t xml:space="preserve">and </w:t>
      </w:r>
      <w:r w:rsidR="00EE53E2">
        <w:rPr>
          <w:sz w:val="24"/>
          <w:szCs w:val="24"/>
        </w:rPr>
        <w:t>CHIP</w:t>
      </w:r>
      <w:r w:rsidR="007B0D3D">
        <w:rPr>
          <w:sz w:val="24"/>
          <w:szCs w:val="24"/>
        </w:rPr>
        <w:t>)</w:t>
      </w:r>
      <w:r w:rsidRPr="009E43F2">
        <w:rPr>
          <w:sz w:val="24"/>
          <w:szCs w:val="24"/>
        </w:rPr>
        <w:t xml:space="preserve"> </w:t>
      </w:r>
      <w:r w:rsidR="007B0D3D">
        <w:rPr>
          <w:sz w:val="24"/>
          <w:szCs w:val="24"/>
        </w:rPr>
        <w:t xml:space="preserve">MCOs </w:t>
      </w:r>
      <w:r w:rsidRPr="009E43F2">
        <w:rPr>
          <w:sz w:val="24"/>
          <w:szCs w:val="24"/>
        </w:rPr>
        <w:t xml:space="preserve">cover </w:t>
      </w:r>
      <w:r w:rsidR="007B0D3D">
        <w:rPr>
          <w:sz w:val="24"/>
          <w:szCs w:val="24"/>
        </w:rPr>
        <w:t>27.6%</w:t>
      </w:r>
      <w:r w:rsidR="00AD437C" w:rsidRPr="009E43F2">
        <w:rPr>
          <w:sz w:val="24"/>
          <w:szCs w:val="24"/>
        </w:rPr>
        <w:t xml:space="preserve"> of </w:t>
      </w:r>
      <w:r w:rsidR="009F2C37" w:rsidRPr="009E43F2">
        <w:rPr>
          <w:sz w:val="24"/>
          <w:szCs w:val="24"/>
        </w:rPr>
        <w:t>children</w:t>
      </w:r>
      <w:r w:rsidR="007B0D3D">
        <w:rPr>
          <w:sz w:val="24"/>
          <w:szCs w:val="24"/>
        </w:rPr>
        <w:t xml:space="preserve"> aged 0 to 18</w:t>
      </w:r>
      <w:r w:rsidR="009A16C6" w:rsidRPr="009E43F2">
        <w:rPr>
          <w:sz w:val="24"/>
          <w:szCs w:val="24"/>
        </w:rPr>
        <w:t xml:space="preserve">, </w:t>
      </w:r>
      <w:r w:rsidR="007B0D3D">
        <w:rPr>
          <w:sz w:val="24"/>
          <w:szCs w:val="24"/>
        </w:rPr>
        <w:t xml:space="preserve">and about 10% of adults under age 65, </w:t>
      </w:r>
      <w:r w:rsidR="009A16C6" w:rsidRPr="009E43F2">
        <w:rPr>
          <w:sz w:val="24"/>
          <w:szCs w:val="24"/>
        </w:rPr>
        <w:t xml:space="preserve">with states sharing the costs of both programs. </w:t>
      </w:r>
      <w:r w:rsidR="00194B85">
        <w:rPr>
          <w:sz w:val="24"/>
          <w:szCs w:val="24"/>
        </w:rPr>
        <w:t xml:space="preserve">In many regions of the US, Medicaid MCOs typically offer low-cost enrollment options for qualifying individuals, expanding choice and access for low-income households. In </w:t>
      </w:r>
      <w:r w:rsidR="00194B85">
        <w:rPr>
          <w:sz w:val="24"/>
          <w:szCs w:val="24"/>
        </w:rPr>
        <w:lastRenderedPageBreak/>
        <w:t xml:space="preserve">2020, Medicaid MCOs </w:t>
      </w:r>
      <w:r w:rsidR="00AD437C" w:rsidRPr="009E43F2">
        <w:rPr>
          <w:sz w:val="24"/>
          <w:szCs w:val="24"/>
        </w:rPr>
        <w:t>accounted for over 80 percent of Medicaid enrollment</w:t>
      </w:r>
      <w:r w:rsidR="009A16C6" w:rsidRPr="009E43F2">
        <w:rPr>
          <w:sz w:val="24"/>
          <w:szCs w:val="24"/>
        </w:rPr>
        <w:t xml:space="preserve"> (KFF, 2021a)</w:t>
      </w:r>
      <w:r w:rsidR="00AD437C" w:rsidRPr="009E43F2">
        <w:rPr>
          <w:sz w:val="24"/>
          <w:szCs w:val="24"/>
        </w:rPr>
        <w:t xml:space="preserve">. </w:t>
      </w:r>
    </w:p>
    <w:p w14:paraId="686DE14E" w14:textId="0BD13A61" w:rsidR="00194B85" w:rsidRDefault="005A3C78">
      <w:pPr>
        <w:spacing w:line="360" w:lineRule="auto"/>
        <w:ind w:firstLine="720"/>
        <w:rPr>
          <w:sz w:val="24"/>
          <w:szCs w:val="24"/>
        </w:rPr>
      </w:pPr>
      <w:r>
        <w:rPr>
          <w:sz w:val="24"/>
          <w:szCs w:val="24"/>
        </w:rPr>
        <w:t>The final market using regulated competition is the</w:t>
      </w:r>
      <w:r w:rsidR="00194B85">
        <w:rPr>
          <w:sz w:val="24"/>
          <w:szCs w:val="24"/>
        </w:rPr>
        <w:t xml:space="preserve"> </w:t>
      </w:r>
      <w:r w:rsidR="00AD437C" w:rsidRPr="009E43F2">
        <w:rPr>
          <w:sz w:val="24"/>
          <w:szCs w:val="24"/>
        </w:rPr>
        <w:t>Medicare Advantage program</w:t>
      </w:r>
      <w:r>
        <w:rPr>
          <w:sz w:val="24"/>
          <w:szCs w:val="24"/>
        </w:rPr>
        <w:t xml:space="preserve">, now enrolling about half of all seniors but a tiny fraction of the </w:t>
      </w:r>
      <w:proofErr w:type="spellStart"/>
      <w:proofErr w:type="gramStart"/>
      <w:r>
        <w:rPr>
          <w:sz w:val="24"/>
          <w:szCs w:val="24"/>
        </w:rPr>
        <w:t>under age</w:t>
      </w:r>
      <w:proofErr w:type="spellEnd"/>
      <w:proofErr w:type="gramEnd"/>
      <w:r w:rsidR="00082EA8">
        <w:rPr>
          <w:sz w:val="24"/>
          <w:szCs w:val="24"/>
        </w:rPr>
        <w:t>-</w:t>
      </w:r>
      <w:r>
        <w:rPr>
          <w:sz w:val="24"/>
          <w:szCs w:val="24"/>
        </w:rPr>
        <w:t>65 disabled population</w:t>
      </w:r>
      <w:r w:rsidR="00FE5C01">
        <w:rPr>
          <w:sz w:val="24"/>
          <w:szCs w:val="24"/>
        </w:rPr>
        <w:t>. N</w:t>
      </w:r>
      <w:r w:rsidR="00194B85">
        <w:rPr>
          <w:sz w:val="24"/>
          <w:szCs w:val="24"/>
        </w:rPr>
        <w:t xml:space="preserve">ote that </w:t>
      </w:r>
      <w:r w:rsidR="00FE5C01">
        <w:rPr>
          <w:sz w:val="24"/>
          <w:szCs w:val="24"/>
        </w:rPr>
        <w:t xml:space="preserve">some seniors receive MA sponsorship by their current or former employer, </w:t>
      </w:r>
      <w:r w:rsidR="00194B85">
        <w:rPr>
          <w:sz w:val="24"/>
          <w:szCs w:val="24"/>
        </w:rPr>
        <w:t>depicted in the table as a form of private insurance</w:t>
      </w:r>
      <w:r w:rsidR="00AD437C" w:rsidRPr="009E43F2">
        <w:rPr>
          <w:sz w:val="24"/>
          <w:szCs w:val="24"/>
        </w:rPr>
        <w:t xml:space="preserve">. The Medicare Advantage program enables individual choice between </w:t>
      </w:r>
      <w:r w:rsidR="00F61300" w:rsidRPr="009E43F2">
        <w:rPr>
          <w:sz w:val="24"/>
          <w:szCs w:val="24"/>
        </w:rPr>
        <w:t>many</w:t>
      </w:r>
      <w:r w:rsidR="00AD437C" w:rsidRPr="009E43F2">
        <w:rPr>
          <w:sz w:val="24"/>
          <w:szCs w:val="24"/>
        </w:rPr>
        <w:t xml:space="preserve"> competing health plans—mostly managed care plans with relatively generous coverage—and traditional Medicare, which has higher cost sharing on average but also a broader </w:t>
      </w:r>
      <w:r w:rsidR="00F61300" w:rsidRPr="009E43F2">
        <w:rPr>
          <w:sz w:val="24"/>
          <w:szCs w:val="24"/>
        </w:rPr>
        <w:t>choice</w:t>
      </w:r>
      <w:r w:rsidR="00AD437C" w:rsidRPr="009E43F2">
        <w:rPr>
          <w:sz w:val="24"/>
          <w:szCs w:val="24"/>
        </w:rPr>
        <w:t xml:space="preserve"> of providers. </w:t>
      </w:r>
    </w:p>
    <w:p w14:paraId="279E349D" w14:textId="74B9530F" w:rsidR="00ED6425" w:rsidRPr="009E43F2" w:rsidRDefault="00194B85">
      <w:pPr>
        <w:spacing w:line="360" w:lineRule="auto"/>
        <w:ind w:firstLine="720"/>
        <w:rPr>
          <w:sz w:val="24"/>
          <w:szCs w:val="24"/>
        </w:rPr>
      </w:pPr>
      <w:r>
        <w:rPr>
          <w:sz w:val="24"/>
          <w:szCs w:val="24"/>
        </w:rPr>
        <w:t>Collectively, these forms of managed competition have made a significant impact on the insurance patterns of the US population. Notice</w:t>
      </w:r>
      <w:proofErr w:type="gramStart"/>
      <w:r>
        <w:rPr>
          <w:sz w:val="24"/>
          <w:szCs w:val="24"/>
        </w:rPr>
        <w:t xml:space="preserve">, in particular, </w:t>
      </w:r>
      <w:r w:rsidR="00E5030D" w:rsidRPr="009E43F2">
        <w:rPr>
          <w:sz w:val="24"/>
          <w:szCs w:val="24"/>
        </w:rPr>
        <w:t>the</w:t>
      </w:r>
      <w:proofErr w:type="gramEnd"/>
      <w:r w:rsidR="00E5030D" w:rsidRPr="009E43F2">
        <w:rPr>
          <w:sz w:val="24"/>
          <w:szCs w:val="24"/>
        </w:rPr>
        <w:t xml:space="preserve"> jump in the rate of uninsurance at age 18 as many children become ineligible for CHIP or Medicaid coverage, and the decline in rates of uninsurance at age 65 when Medicare becomes a</w:t>
      </w:r>
      <w:r w:rsidR="00E5030D">
        <w:rPr>
          <w:sz w:val="24"/>
          <w:szCs w:val="24"/>
        </w:rPr>
        <w:t xml:space="preserve"> subsidized</w:t>
      </w:r>
      <w:r w:rsidR="00E5030D" w:rsidRPr="009E43F2">
        <w:rPr>
          <w:sz w:val="24"/>
          <w:szCs w:val="24"/>
        </w:rPr>
        <w:t xml:space="preserve"> option available to all.</w:t>
      </w:r>
    </w:p>
    <w:p w14:paraId="7B553B21" w14:textId="77777777" w:rsidR="00ED6425" w:rsidRPr="009E43F2" w:rsidRDefault="00ED6425">
      <w:pPr>
        <w:spacing w:line="360" w:lineRule="auto"/>
        <w:ind w:firstLine="720"/>
        <w:rPr>
          <w:sz w:val="24"/>
          <w:szCs w:val="24"/>
        </w:rPr>
      </w:pPr>
    </w:p>
    <w:p w14:paraId="0FCA67DD" w14:textId="370022B8" w:rsidR="00ED6425" w:rsidRPr="009E43F2" w:rsidRDefault="00AD437C">
      <w:pPr>
        <w:spacing w:line="360" w:lineRule="auto"/>
        <w:rPr>
          <w:sz w:val="24"/>
          <w:szCs w:val="24"/>
        </w:rPr>
      </w:pPr>
      <w:r w:rsidRPr="009E43F2">
        <w:rPr>
          <w:b/>
          <w:sz w:val="24"/>
          <w:szCs w:val="24"/>
        </w:rPr>
        <w:t>3.</w:t>
      </w:r>
      <w:r w:rsidRPr="009E43F2">
        <w:rPr>
          <w:b/>
          <w:sz w:val="24"/>
          <w:szCs w:val="24"/>
        </w:rPr>
        <w:tab/>
      </w:r>
      <w:r w:rsidR="009E43F2">
        <w:rPr>
          <w:b/>
          <w:sz w:val="24"/>
          <w:szCs w:val="24"/>
        </w:rPr>
        <w:t xml:space="preserve">Existing </w:t>
      </w:r>
      <w:r w:rsidRPr="009E43F2">
        <w:rPr>
          <w:b/>
          <w:sz w:val="24"/>
          <w:szCs w:val="24"/>
        </w:rPr>
        <w:t>Managed Competition</w:t>
      </w:r>
      <w:r w:rsidR="009E43F2">
        <w:rPr>
          <w:b/>
          <w:sz w:val="24"/>
          <w:szCs w:val="24"/>
        </w:rPr>
        <w:t xml:space="preserve"> Programs</w:t>
      </w:r>
    </w:p>
    <w:p w14:paraId="62FF3AF6" w14:textId="66BAB9D1" w:rsidR="00ED6425" w:rsidRPr="009E43F2" w:rsidRDefault="00AD437C">
      <w:pPr>
        <w:spacing w:line="360" w:lineRule="auto"/>
        <w:ind w:firstLine="720"/>
        <w:rPr>
          <w:sz w:val="24"/>
          <w:szCs w:val="24"/>
        </w:rPr>
      </w:pPr>
      <w:r w:rsidRPr="009E43F2">
        <w:rPr>
          <w:sz w:val="24"/>
          <w:szCs w:val="24"/>
        </w:rPr>
        <w:t>In this section we</w:t>
      </w:r>
      <w:r w:rsidR="00AB2E60">
        <w:rPr>
          <w:sz w:val="24"/>
          <w:szCs w:val="24"/>
        </w:rPr>
        <w:t xml:space="preserve"> provide more detail about the</w:t>
      </w:r>
      <w:r w:rsidRPr="009E43F2">
        <w:rPr>
          <w:sz w:val="24"/>
          <w:szCs w:val="24"/>
        </w:rPr>
        <w:t xml:space="preserve"> three existing systems of </w:t>
      </w:r>
      <w:r w:rsidR="00B5000D">
        <w:rPr>
          <w:sz w:val="24"/>
          <w:szCs w:val="24"/>
        </w:rPr>
        <w:t>US</w:t>
      </w:r>
      <w:r w:rsidRPr="009E43F2">
        <w:rPr>
          <w:sz w:val="24"/>
          <w:szCs w:val="24"/>
        </w:rPr>
        <w:t xml:space="preserve"> insurance that approximate “regulated” competition: ACA Marketplace, Medicare Advantage, and state Medicaid MCOs. Although each system targets a distinct subset of the population, the programs are similar in that they each regulate access to providers and services </w:t>
      </w:r>
      <w:r w:rsidR="00F61300" w:rsidRPr="009E43F2">
        <w:rPr>
          <w:sz w:val="24"/>
          <w:szCs w:val="24"/>
        </w:rPr>
        <w:t>to</w:t>
      </w:r>
      <w:r w:rsidRPr="009E43F2">
        <w:rPr>
          <w:sz w:val="24"/>
          <w:szCs w:val="24"/>
        </w:rPr>
        <w:t xml:space="preserve"> contain costs. However, given the </w:t>
      </w:r>
      <w:r w:rsidR="00917674" w:rsidRPr="009E43F2">
        <w:rPr>
          <w:sz w:val="24"/>
          <w:szCs w:val="24"/>
        </w:rPr>
        <w:t xml:space="preserve">large </w:t>
      </w:r>
      <w:r w:rsidRPr="009E43F2">
        <w:rPr>
          <w:sz w:val="24"/>
          <w:szCs w:val="24"/>
        </w:rPr>
        <w:t xml:space="preserve">differences across programs, managed competition in the </w:t>
      </w:r>
      <w:r w:rsidR="00B5000D">
        <w:rPr>
          <w:sz w:val="24"/>
          <w:szCs w:val="24"/>
        </w:rPr>
        <w:t>US</w:t>
      </w:r>
      <w:r w:rsidRPr="009E43F2">
        <w:rPr>
          <w:sz w:val="24"/>
          <w:szCs w:val="24"/>
        </w:rPr>
        <w:t xml:space="preserve"> would look very different based on which program was used as the basis for its expansion. In this section, we consider each program in turn, and how an expansion of that program would differentially affect coverage, costs, and access. </w:t>
      </w:r>
    </w:p>
    <w:p w14:paraId="7485D99D" w14:textId="5B86BBDC" w:rsidR="00ED6425" w:rsidRPr="009E43F2" w:rsidRDefault="00AD437C" w:rsidP="00917674">
      <w:pPr>
        <w:spacing w:line="360" w:lineRule="auto"/>
        <w:ind w:firstLine="720"/>
        <w:rPr>
          <w:sz w:val="24"/>
          <w:szCs w:val="24"/>
        </w:rPr>
      </w:pPr>
      <w:r w:rsidRPr="009E43F2">
        <w:rPr>
          <w:sz w:val="24"/>
          <w:szCs w:val="24"/>
        </w:rPr>
        <w:t>By managed competition, we refer to a system that relies on economic incentives, rather than government mandates, to reduce health costs while increasing access to high-quality medical services. The concept of managed competition, where economic incentives are targeted to reward cost-reduction efforts and innovation, was originally conceived by Alain Enthoven (1978, 1993)</w:t>
      </w:r>
      <w:r w:rsidR="00184DD5" w:rsidRPr="009E43F2">
        <w:rPr>
          <w:sz w:val="24"/>
          <w:szCs w:val="24"/>
        </w:rPr>
        <w:t>,</w:t>
      </w:r>
      <w:r w:rsidRPr="009E43F2">
        <w:rPr>
          <w:sz w:val="24"/>
          <w:szCs w:val="24"/>
        </w:rPr>
        <w:t xml:space="preserve"> </w:t>
      </w:r>
      <w:r w:rsidR="007702A9" w:rsidRPr="009E43F2">
        <w:rPr>
          <w:sz w:val="24"/>
          <w:szCs w:val="24"/>
        </w:rPr>
        <w:t xml:space="preserve">and elaborated upon in </w:t>
      </w:r>
      <w:proofErr w:type="spellStart"/>
      <w:r w:rsidR="00184DD5" w:rsidRPr="009E43F2">
        <w:rPr>
          <w:sz w:val="24"/>
          <w:szCs w:val="24"/>
        </w:rPr>
        <w:t>Enthovan</w:t>
      </w:r>
      <w:proofErr w:type="spellEnd"/>
      <w:r w:rsidR="00184DD5" w:rsidRPr="009E43F2">
        <w:rPr>
          <w:sz w:val="24"/>
          <w:szCs w:val="24"/>
        </w:rPr>
        <w:t xml:space="preserve"> </w:t>
      </w:r>
      <w:r w:rsidR="00184DD5" w:rsidRPr="009E43F2">
        <w:rPr>
          <w:sz w:val="24"/>
          <w:szCs w:val="24"/>
        </w:rPr>
        <w:lastRenderedPageBreak/>
        <w:t xml:space="preserve">et al (2001), </w:t>
      </w:r>
      <w:r w:rsidRPr="009E43F2">
        <w:rPr>
          <w:sz w:val="24"/>
          <w:szCs w:val="24"/>
        </w:rPr>
        <w:t xml:space="preserve">van de Ven et al (2013) and </w:t>
      </w:r>
      <w:r w:rsidR="00917674" w:rsidRPr="009E43F2">
        <w:rPr>
          <w:sz w:val="24"/>
          <w:szCs w:val="24"/>
        </w:rPr>
        <w:t>Mc</w:t>
      </w:r>
      <w:r w:rsidR="00F61300" w:rsidRPr="009E43F2">
        <w:rPr>
          <w:sz w:val="24"/>
          <w:szCs w:val="24"/>
        </w:rPr>
        <w:t>G</w:t>
      </w:r>
      <w:r w:rsidR="00917674" w:rsidRPr="009E43F2">
        <w:rPr>
          <w:sz w:val="24"/>
          <w:szCs w:val="24"/>
        </w:rPr>
        <w:t>uire and van Kleef (2018)</w:t>
      </w:r>
      <w:r w:rsidR="007702A9" w:rsidRPr="009E43F2">
        <w:rPr>
          <w:sz w:val="24"/>
          <w:szCs w:val="24"/>
        </w:rPr>
        <w:t xml:space="preserve">. It </w:t>
      </w:r>
      <w:r w:rsidR="00917674" w:rsidRPr="009E43F2">
        <w:rPr>
          <w:sz w:val="24"/>
          <w:szCs w:val="24"/>
        </w:rPr>
        <w:t xml:space="preserve">has </w:t>
      </w:r>
      <w:r w:rsidR="007702A9" w:rsidRPr="009E43F2">
        <w:rPr>
          <w:sz w:val="24"/>
          <w:szCs w:val="24"/>
        </w:rPr>
        <w:t xml:space="preserve">also </w:t>
      </w:r>
      <w:r w:rsidR="00917674" w:rsidRPr="009E43F2">
        <w:rPr>
          <w:sz w:val="24"/>
          <w:szCs w:val="24"/>
        </w:rPr>
        <w:t xml:space="preserve">recently been discussed in a Canadian context </w:t>
      </w:r>
      <w:r w:rsidR="00460A9B" w:rsidRPr="009E43F2">
        <w:rPr>
          <w:sz w:val="24"/>
          <w:szCs w:val="24"/>
        </w:rPr>
        <w:t xml:space="preserve">by </w:t>
      </w:r>
      <w:proofErr w:type="spellStart"/>
      <w:r w:rsidR="00460A9B" w:rsidRPr="009E43F2">
        <w:rPr>
          <w:sz w:val="24"/>
          <w:szCs w:val="24"/>
        </w:rPr>
        <w:t>Bloomqvist</w:t>
      </w:r>
      <w:proofErr w:type="spellEnd"/>
      <w:r w:rsidR="00460A9B" w:rsidRPr="009E43F2">
        <w:rPr>
          <w:sz w:val="24"/>
          <w:szCs w:val="24"/>
        </w:rPr>
        <w:t xml:space="preserve"> (2022</w:t>
      </w:r>
      <w:r w:rsidR="008D6416" w:rsidRPr="009E43F2">
        <w:rPr>
          <w:sz w:val="24"/>
          <w:szCs w:val="24"/>
        </w:rPr>
        <w:t xml:space="preserve">) </w:t>
      </w:r>
      <w:r w:rsidR="00917674" w:rsidRPr="009E43F2">
        <w:rPr>
          <w:sz w:val="24"/>
          <w:szCs w:val="24"/>
        </w:rPr>
        <w:t>a</w:t>
      </w:r>
      <w:r w:rsidR="008D6416" w:rsidRPr="009E43F2">
        <w:rPr>
          <w:sz w:val="24"/>
          <w:szCs w:val="24"/>
        </w:rPr>
        <w:t>nd</w:t>
      </w:r>
      <w:r w:rsidR="00917674" w:rsidRPr="009E43F2">
        <w:rPr>
          <w:sz w:val="24"/>
          <w:szCs w:val="24"/>
        </w:rPr>
        <w:t xml:space="preserve"> for the US</w:t>
      </w:r>
      <w:r w:rsidR="008D6416" w:rsidRPr="009E43F2">
        <w:rPr>
          <w:sz w:val="24"/>
          <w:szCs w:val="24"/>
        </w:rPr>
        <w:t xml:space="preserve"> </w:t>
      </w:r>
      <w:r w:rsidR="007702A9" w:rsidRPr="009E43F2">
        <w:rPr>
          <w:sz w:val="24"/>
          <w:szCs w:val="24"/>
        </w:rPr>
        <w:t xml:space="preserve">in </w:t>
      </w:r>
      <w:r w:rsidR="008D6416" w:rsidRPr="009E43F2">
        <w:rPr>
          <w:sz w:val="24"/>
          <w:szCs w:val="24"/>
        </w:rPr>
        <w:t>Handel and Kolstad (202</w:t>
      </w:r>
      <w:r w:rsidR="00184DD5" w:rsidRPr="009E43F2">
        <w:rPr>
          <w:sz w:val="24"/>
          <w:szCs w:val="24"/>
        </w:rPr>
        <w:t>2</w:t>
      </w:r>
      <w:r w:rsidR="008D6416" w:rsidRPr="009E43F2">
        <w:rPr>
          <w:sz w:val="24"/>
          <w:szCs w:val="24"/>
        </w:rPr>
        <w:t>)</w:t>
      </w:r>
      <w:r w:rsidR="00650CE9" w:rsidRPr="009E43F2">
        <w:rPr>
          <w:sz w:val="24"/>
          <w:szCs w:val="24"/>
        </w:rPr>
        <w:t>.</w:t>
      </w:r>
    </w:p>
    <w:p w14:paraId="4DFA4B9A" w14:textId="614560FF" w:rsidR="00ED6425" w:rsidRPr="009E43F2" w:rsidRDefault="00AD437C">
      <w:pPr>
        <w:spacing w:line="360" w:lineRule="auto"/>
        <w:ind w:firstLine="720"/>
        <w:rPr>
          <w:sz w:val="24"/>
          <w:szCs w:val="24"/>
        </w:rPr>
      </w:pPr>
      <w:r w:rsidRPr="009E43F2">
        <w:rPr>
          <w:sz w:val="24"/>
          <w:szCs w:val="24"/>
        </w:rPr>
        <w:t xml:space="preserve">Echoing Enthoven’s idea of having active </w:t>
      </w:r>
      <w:r w:rsidR="00917674" w:rsidRPr="009E43F2">
        <w:rPr>
          <w:sz w:val="24"/>
          <w:szCs w:val="24"/>
        </w:rPr>
        <w:t xml:space="preserve">consumers </w:t>
      </w:r>
      <w:r w:rsidRPr="009E43F2">
        <w:rPr>
          <w:sz w:val="24"/>
          <w:szCs w:val="24"/>
        </w:rPr>
        <w:t>contract</w:t>
      </w:r>
      <w:r w:rsidR="00AB2E60">
        <w:rPr>
          <w:sz w:val="24"/>
          <w:szCs w:val="24"/>
        </w:rPr>
        <w:t>ing</w:t>
      </w:r>
      <w:r w:rsidRPr="009E43F2">
        <w:rPr>
          <w:sz w:val="24"/>
          <w:szCs w:val="24"/>
        </w:rPr>
        <w:t xml:space="preserve"> </w:t>
      </w:r>
      <w:r w:rsidR="00AB2E60">
        <w:rPr>
          <w:sz w:val="24"/>
          <w:szCs w:val="24"/>
        </w:rPr>
        <w:t xml:space="preserve">individually </w:t>
      </w:r>
      <w:r w:rsidRPr="009E43F2">
        <w:rPr>
          <w:sz w:val="24"/>
          <w:szCs w:val="24"/>
        </w:rPr>
        <w:t xml:space="preserve">with competing health plans, each program we consider contains multiple regulated health plans that compete to enroll patients. </w:t>
      </w:r>
      <w:r w:rsidR="00917674" w:rsidRPr="009E43F2">
        <w:rPr>
          <w:sz w:val="24"/>
          <w:szCs w:val="24"/>
        </w:rPr>
        <w:t>In each program p</w:t>
      </w:r>
      <w:r w:rsidRPr="009E43F2">
        <w:rPr>
          <w:sz w:val="24"/>
          <w:szCs w:val="24"/>
        </w:rPr>
        <w:t xml:space="preserve">lans are paid a risk-adjusted premium or base payment that leaves them free to select providers and choose fees, but </w:t>
      </w:r>
      <w:r w:rsidR="00917674" w:rsidRPr="009E43F2">
        <w:rPr>
          <w:sz w:val="24"/>
          <w:szCs w:val="24"/>
        </w:rPr>
        <w:t xml:space="preserve">places </w:t>
      </w:r>
      <w:proofErr w:type="gramStart"/>
      <w:r w:rsidRPr="009E43F2">
        <w:rPr>
          <w:sz w:val="24"/>
          <w:szCs w:val="24"/>
        </w:rPr>
        <w:t>plans</w:t>
      </w:r>
      <w:proofErr w:type="gramEnd"/>
      <w:r w:rsidRPr="009E43F2">
        <w:rPr>
          <w:sz w:val="24"/>
          <w:szCs w:val="24"/>
        </w:rPr>
        <w:t xml:space="preserve"> fully or partially at risk for the health care costs of their enrollees. In each system, at least some of the enrollees are eligible for subsidized coverage, with subsidies </w:t>
      </w:r>
      <w:r w:rsidR="00917674" w:rsidRPr="009E43F2">
        <w:rPr>
          <w:sz w:val="24"/>
          <w:szCs w:val="24"/>
        </w:rPr>
        <w:t xml:space="preserve">reflecting </w:t>
      </w:r>
      <w:r w:rsidRPr="009E43F2">
        <w:rPr>
          <w:sz w:val="24"/>
          <w:szCs w:val="24"/>
        </w:rPr>
        <w:t xml:space="preserve">equity considerations. </w:t>
      </w:r>
    </w:p>
    <w:p w14:paraId="16333E9F" w14:textId="7EB8F0B2" w:rsidR="00ED6425" w:rsidRPr="009E43F2" w:rsidRDefault="00AD437C">
      <w:pPr>
        <w:spacing w:line="360" w:lineRule="auto"/>
        <w:ind w:firstLine="720"/>
        <w:rPr>
          <w:sz w:val="24"/>
          <w:szCs w:val="24"/>
        </w:rPr>
      </w:pPr>
      <w:r w:rsidRPr="009E43F2">
        <w:rPr>
          <w:sz w:val="24"/>
          <w:szCs w:val="24"/>
        </w:rPr>
        <w:t xml:space="preserve">Each of the three systems differs from other, more conventional managed competition systems (e.g., Germany and the Netherlands) in that the competing plans are not just competing against each other, but also against alternative options. For example, plans attracting enrollees through the Marketplaces compete against many </w:t>
      </w:r>
      <w:proofErr w:type="gramStart"/>
      <w:r w:rsidRPr="009E43F2">
        <w:rPr>
          <w:sz w:val="24"/>
          <w:szCs w:val="24"/>
        </w:rPr>
        <w:t>privately-insured</w:t>
      </w:r>
      <w:proofErr w:type="gramEnd"/>
      <w:r w:rsidRPr="009E43F2">
        <w:rPr>
          <w:sz w:val="24"/>
          <w:szCs w:val="24"/>
        </w:rPr>
        <w:t xml:space="preserve"> health plans, including direct-purchase plans offered to individuals without employer sponsorship. Similarly, Medicare Advantage and traditional Medicare are direct competitors, and Medicaid MCO plans in most </w:t>
      </w:r>
      <w:r w:rsidR="001C4633">
        <w:rPr>
          <w:sz w:val="24"/>
          <w:szCs w:val="24"/>
        </w:rPr>
        <w:t>(</w:t>
      </w:r>
      <w:r w:rsidR="0065708E" w:rsidRPr="009E43F2">
        <w:rPr>
          <w:sz w:val="24"/>
          <w:szCs w:val="24"/>
        </w:rPr>
        <w:t xml:space="preserve">but not </w:t>
      </w:r>
      <w:r w:rsidR="001C4633">
        <w:rPr>
          <w:sz w:val="24"/>
          <w:szCs w:val="24"/>
        </w:rPr>
        <w:t>all)</w:t>
      </w:r>
      <w:r w:rsidR="001C4633" w:rsidRPr="009E43F2">
        <w:rPr>
          <w:sz w:val="24"/>
          <w:szCs w:val="24"/>
        </w:rPr>
        <w:t xml:space="preserve"> </w:t>
      </w:r>
      <w:r w:rsidRPr="009E43F2">
        <w:rPr>
          <w:sz w:val="24"/>
          <w:szCs w:val="24"/>
        </w:rPr>
        <w:t>state</w:t>
      </w:r>
      <w:r w:rsidR="001C4633">
        <w:rPr>
          <w:sz w:val="24"/>
          <w:szCs w:val="24"/>
        </w:rPr>
        <w:t>s</w:t>
      </w:r>
      <w:r w:rsidRPr="009E43F2">
        <w:rPr>
          <w:sz w:val="24"/>
          <w:szCs w:val="24"/>
        </w:rPr>
        <w:t xml:space="preserve"> compete against the state’s Medicaid fee-for-service (FFS) option. </w:t>
      </w:r>
    </w:p>
    <w:p w14:paraId="46F60DE9" w14:textId="4A7883ED" w:rsidR="00ED6425" w:rsidRPr="009E43F2" w:rsidRDefault="00AD437C" w:rsidP="00F30F35">
      <w:pPr>
        <w:spacing w:line="360" w:lineRule="auto"/>
        <w:ind w:firstLine="720"/>
        <w:rPr>
          <w:sz w:val="24"/>
          <w:szCs w:val="24"/>
        </w:rPr>
      </w:pPr>
      <w:bookmarkStart w:id="5" w:name="_Hlk115777174"/>
      <w:r w:rsidRPr="009E43F2">
        <w:rPr>
          <w:sz w:val="24"/>
          <w:szCs w:val="24"/>
        </w:rPr>
        <w:t xml:space="preserve">Table </w:t>
      </w:r>
      <w:r w:rsidR="00726948">
        <w:rPr>
          <w:sz w:val="24"/>
          <w:szCs w:val="24"/>
        </w:rPr>
        <w:t>2</w:t>
      </w:r>
      <w:r w:rsidRPr="009E43F2">
        <w:rPr>
          <w:sz w:val="24"/>
          <w:szCs w:val="24"/>
        </w:rPr>
        <w:t xml:space="preserve"> contrasts key features of each form of managed competition observed in the </w:t>
      </w:r>
      <w:r w:rsidR="00B5000D">
        <w:rPr>
          <w:sz w:val="24"/>
          <w:szCs w:val="24"/>
        </w:rPr>
        <w:t>US</w:t>
      </w:r>
      <w:r w:rsidR="003A64A6">
        <w:rPr>
          <w:sz w:val="24"/>
          <w:szCs w:val="24"/>
        </w:rPr>
        <w:t>. For contrast, we also included</w:t>
      </w:r>
      <w:r w:rsidRPr="009E43F2">
        <w:rPr>
          <w:sz w:val="24"/>
          <w:szCs w:val="24"/>
        </w:rPr>
        <w:t xml:space="preserve"> traditional Medicare</w:t>
      </w:r>
      <w:r w:rsidR="003A64A6">
        <w:rPr>
          <w:sz w:val="24"/>
          <w:szCs w:val="24"/>
        </w:rPr>
        <w:t xml:space="preserve"> as an alternative</w:t>
      </w:r>
      <w:r w:rsidRPr="009E43F2">
        <w:rPr>
          <w:sz w:val="24"/>
          <w:szCs w:val="24"/>
        </w:rPr>
        <w:t xml:space="preserve">. </w:t>
      </w:r>
      <w:r w:rsidR="0065708E" w:rsidRPr="009E43F2">
        <w:rPr>
          <w:sz w:val="24"/>
          <w:szCs w:val="24"/>
        </w:rPr>
        <w:t xml:space="preserve">Because national counts of insurers and health plans do not capture variation in choice sets within each </w:t>
      </w:r>
      <w:r w:rsidR="0066607E" w:rsidRPr="009E43F2">
        <w:rPr>
          <w:sz w:val="24"/>
          <w:szCs w:val="24"/>
        </w:rPr>
        <w:t>state</w:t>
      </w:r>
      <w:r w:rsidR="0065708E" w:rsidRPr="009E43F2">
        <w:rPr>
          <w:sz w:val="24"/>
          <w:szCs w:val="24"/>
        </w:rPr>
        <w:t xml:space="preserve">, </w:t>
      </w:r>
      <w:r w:rsidR="00FE5C01">
        <w:rPr>
          <w:sz w:val="24"/>
          <w:szCs w:val="24"/>
        </w:rPr>
        <w:t xml:space="preserve">the table </w:t>
      </w:r>
      <w:r w:rsidR="0065708E" w:rsidRPr="009E43F2">
        <w:rPr>
          <w:sz w:val="24"/>
          <w:szCs w:val="24"/>
        </w:rPr>
        <w:t>present</w:t>
      </w:r>
      <w:r w:rsidR="00FE5C01">
        <w:rPr>
          <w:sz w:val="24"/>
          <w:szCs w:val="24"/>
        </w:rPr>
        <w:t>s</w:t>
      </w:r>
      <w:r w:rsidR="0065708E" w:rsidRPr="009E43F2">
        <w:rPr>
          <w:sz w:val="24"/>
          <w:szCs w:val="24"/>
        </w:rPr>
        <w:t xml:space="preserve"> the properties of options available in Massachusetts.</w:t>
      </w:r>
      <w:r w:rsidR="003C5DAF" w:rsidRPr="009E43F2">
        <w:rPr>
          <w:sz w:val="24"/>
          <w:szCs w:val="24"/>
          <w:vertAlign w:val="superscript"/>
        </w:rPr>
        <w:footnoteReference w:id="1"/>
      </w:r>
      <w:r w:rsidR="0065708E" w:rsidRPr="009E43F2">
        <w:rPr>
          <w:sz w:val="24"/>
          <w:szCs w:val="24"/>
        </w:rPr>
        <w:t xml:space="preserve"> </w:t>
      </w:r>
      <w:r w:rsidR="003C5DAF" w:rsidRPr="009E43F2">
        <w:rPr>
          <w:sz w:val="24"/>
          <w:szCs w:val="24"/>
        </w:rPr>
        <w:t>All three programs</w:t>
      </w:r>
      <w:r w:rsidRPr="009E43F2">
        <w:rPr>
          <w:sz w:val="24"/>
          <w:szCs w:val="24"/>
        </w:rPr>
        <w:t xml:space="preserve"> offer multiple tiers of coverage</w:t>
      </w:r>
      <w:r w:rsidR="003C5DAF" w:rsidRPr="009E43F2">
        <w:rPr>
          <w:sz w:val="24"/>
          <w:szCs w:val="24"/>
        </w:rPr>
        <w:t>, and e</w:t>
      </w:r>
      <w:r w:rsidRPr="009E43F2">
        <w:rPr>
          <w:sz w:val="24"/>
          <w:szCs w:val="24"/>
        </w:rPr>
        <w:t xml:space="preserve">ach structure uses a </w:t>
      </w:r>
      <w:r w:rsidR="0065708E" w:rsidRPr="009E43F2">
        <w:rPr>
          <w:sz w:val="24"/>
          <w:szCs w:val="24"/>
        </w:rPr>
        <w:t xml:space="preserve">customized </w:t>
      </w:r>
      <w:r w:rsidRPr="009E43F2">
        <w:rPr>
          <w:sz w:val="24"/>
          <w:szCs w:val="24"/>
        </w:rPr>
        <w:t xml:space="preserve">risk adjustment </w:t>
      </w:r>
      <w:r w:rsidR="0065708E" w:rsidRPr="009E43F2">
        <w:rPr>
          <w:sz w:val="24"/>
          <w:szCs w:val="24"/>
        </w:rPr>
        <w:t xml:space="preserve">formulas </w:t>
      </w:r>
      <w:r w:rsidRPr="009E43F2">
        <w:rPr>
          <w:sz w:val="24"/>
          <w:szCs w:val="24"/>
        </w:rPr>
        <w:t xml:space="preserve">and equalization procedure, giving rise to differences in consumer access to services, the relevant subsidies for coverage, and provider reimbursement. </w:t>
      </w:r>
      <w:r w:rsidR="0066607E">
        <w:rPr>
          <w:sz w:val="24"/>
          <w:szCs w:val="24"/>
        </w:rPr>
        <w:t xml:space="preserve">Although many of the payers depicted in the table rely on capitated payments to single plans (or regions of the same plan in the case of traditional </w:t>
      </w:r>
      <w:r w:rsidR="0066607E">
        <w:rPr>
          <w:sz w:val="24"/>
          <w:szCs w:val="24"/>
        </w:rPr>
        <w:lastRenderedPageBreak/>
        <w:t xml:space="preserve">Medicare), Medicaid MCOs rely on novel accountable care organizations (ACOs) to control costs by dispersing payments </w:t>
      </w:r>
      <w:r w:rsidR="00082EA8">
        <w:rPr>
          <w:sz w:val="24"/>
          <w:szCs w:val="24"/>
        </w:rPr>
        <w:t xml:space="preserve">holistically </w:t>
      </w:r>
      <w:r w:rsidR="0066607E">
        <w:rPr>
          <w:sz w:val="24"/>
          <w:szCs w:val="24"/>
        </w:rPr>
        <w:t xml:space="preserve">to defined provider networks. Finally, each insurance system uses different metrics for risk adjustment and payment. </w:t>
      </w:r>
      <w:r w:rsidR="00F30F35">
        <w:rPr>
          <w:sz w:val="24"/>
          <w:szCs w:val="24"/>
        </w:rPr>
        <w:t xml:space="preserve">For example, Marketplace and Medicare Advantage plans use Hierarchical Conditions Categories (HCCs) in their risk adjustment formulae but differ in the classification of HCCs and the timing of the model (e.g., </w:t>
      </w:r>
      <w:proofErr w:type="gramStart"/>
      <w:r w:rsidR="00F30F35">
        <w:rPr>
          <w:sz w:val="24"/>
          <w:szCs w:val="24"/>
        </w:rPr>
        <w:t>prospective</w:t>
      </w:r>
      <w:proofErr w:type="gramEnd"/>
      <w:r w:rsidR="00F30F35">
        <w:rPr>
          <w:sz w:val="24"/>
          <w:szCs w:val="24"/>
        </w:rPr>
        <w:t xml:space="preserve"> or concurrent models).</w:t>
      </w:r>
      <w:r w:rsidR="00846F34">
        <w:rPr>
          <w:rStyle w:val="FootnoteReference"/>
          <w:sz w:val="24"/>
          <w:szCs w:val="24"/>
        </w:rPr>
        <w:footnoteReference w:id="2"/>
      </w:r>
      <w:r w:rsidR="00F30F35">
        <w:rPr>
          <w:sz w:val="24"/>
          <w:szCs w:val="24"/>
        </w:rPr>
        <w:t xml:space="preserve"> On the other hand, </w:t>
      </w:r>
      <w:r w:rsidR="00366841">
        <w:rPr>
          <w:sz w:val="24"/>
          <w:szCs w:val="24"/>
        </w:rPr>
        <w:t xml:space="preserve">state </w:t>
      </w:r>
      <w:r w:rsidR="00F30F35">
        <w:rPr>
          <w:sz w:val="24"/>
          <w:szCs w:val="24"/>
        </w:rPr>
        <w:t xml:space="preserve">Medicaid MCOs </w:t>
      </w:r>
      <w:r w:rsidR="00FE5C01">
        <w:rPr>
          <w:sz w:val="24"/>
          <w:szCs w:val="24"/>
        </w:rPr>
        <w:t>choose various risk adjustment formula</w:t>
      </w:r>
      <w:r w:rsidR="00082EA8">
        <w:rPr>
          <w:sz w:val="24"/>
          <w:szCs w:val="24"/>
        </w:rPr>
        <w:t xml:space="preserve">e; </w:t>
      </w:r>
      <w:r w:rsidR="00FE5C01">
        <w:rPr>
          <w:sz w:val="24"/>
          <w:szCs w:val="24"/>
        </w:rPr>
        <w:t xml:space="preserve">Massachusetts </w:t>
      </w:r>
      <w:r w:rsidR="00F30F35">
        <w:rPr>
          <w:sz w:val="24"/>
          <w:szCs w:val="24"/>
        </w:rPr>
        <w:t>rel</w:t>
      </w:r>
      <w:r w:rsidR="00FE5C01">
        <w:rPr>
          <w:sz w:val="24"/>
          <w:szCs w:val="24"/>
        </w:rPr>
        <w:t>ies</w:t>
      </w:r>
      <w:r w:rsidR="00F30F35">
        <w:rPr>
          <w:sz w:val="24"/>
          <w:szCs w:val="24"/>
        </w:rPr>
        <w:t xml:space="preserve"> on </w:t>
      </w:r>
      <w:r w:rsidR="00F30F35" w:rsidRPr="00F30F35">
        <w:rPr>
          <w:sz w:val="24"/>
          <w:szCs w:val="24"/>
        </w:rPr>
        <w:t xml:space="preserve">the </w:t>
      </w:r>
      <w:r w:rsidR="00FE5C01">
        <w:rPr>
          <w:sz w:val="24"/>
          <w:szCs w:val="24"/>
        </w:rPr>
        <w:t xml:space="preserve">privately marketed </w:t>
      </w:r>
      <w:r w:rsidR="00F30F35" w:rsidRPr="00F30F35">
        <w:rPr>
          <w:sz w:val="24"/>
          <w:szCs w:val="24"/>
        </w:rPr>
        <w:t xml:space="preserve">DxCG </w:t>
      </w:r>
      <w:r w:rsidR="00366841">
        <w:rPr>
          <w:sz w:val="24"/>
          <w:szCs w:val="24"/>
        </w:rPr>
        <w:t xml:space="preserve">concurrent risk adjustment </w:t>
      </w:r>
      <w:r w:rsidR="00F30F35" w:rsidRPr="00F30F35">
        <w:rPr>
          <w:sz w:val="24"/>
          <w:szCs w:val="24"/>
        </w:rPr>
        <w:t>models</w:t>
      </w:r>
      <w:r w:rsidR="00366841">
        <w:rPr>
          <w:sz w:val="24"/>
          <w:szCs w:val="24"/>
        </w:rPr>
        <w:t xml:space="preserve"> currently marketed by </w:t>
      </w:r>
      <w:proofErr w:type="spellStart"/>
      <w:r w:rsidR="00366841">
        <w:rPr>
          <w:sz w:val="24"/>
          <w:szCs w:val="24"/>
        </w:rPr>
        <w:t>Cotivity</w:t>
      </w:r>
      <w:proofErr w:type="spellEnd"/>
      <w:r w:rsidR="00FE5C01">
        <w:rPr>
          <w:sz w:val="24"/>
          <w:szCs w:val="24"/>
        </w:rPr>
        <w:t xml:space="preserve">. </w:t>
      </w:r>
    </w:p>
    <w:bookmarkEnd w:id="5"/>
    <w:p w14:paraId="68808DAA" w14:textId="77777777" w:rsidR="00ED6425" w:rsidRPr="009E43F2" w:rsidRDefault="00ED6425">
      <w:pPr>
        <w:spacing w:line="360" w:lineRule="auto"/>
        <w:ind w:firstLine="720"/>
        <w:rPr>
          <w:sz w:val="24"/>
          <w:szCs w:val="24"/>
        </w:rPr>
      </w:pPr>
    </w:p>
    <w:p w14:paraId="26C7B3C9" w14:textId="77777777" w:rsidR="00ED6425" w:rsidRPr="009E43F2" w:rsidRDefault="00AD437C">
      <w:pPr>
        <w:spacing w:line="360" w:lineRule="auto"/>
        <w:rPr>
          <w:b/>
          <w:sz w:val="24"/>
          <w:szCs w:val="24"/>
        </w:rPr>
      </w:pPr>
      <w:r w:rsidRPr="009E43F2">
        <w:rPr>
          <w:b/>
          <w:sz w:val="24"/>
          <w:szCs w:val="24"/>
        </w:rPr>
        <w:t>3.1</w:t>
      </w:r>
      <w:r w:rsidRPr="009E43F2">
        <w:rPr>
          <w:b/>
          <w:sz w:val="24"/>
          <w:szCs w:val="24"/>
        </w:rPr>
        <w:tab/>
        <w:t>ACA Marketplaces</w:t>
      </w:r>
    </w:p>
    <w:p w14:paraId="5648F79E" w14:textId="1FC0C931" w:rsidR="00ED6425" w:rsidRPr="009E43F2" w:rsidRDefault="00AD437C">
      <w:pPr>
        <w:spacing w:line="360" w:lineRule="auto"/>
        <w:ind w:firstLine="720"/>
        <w:rPr>
          <w:sz w:val="24"/>
          <w:szCs w:val="24"/>
        </w:rPr>
        <w:sectPr w:rsidR="00ED6425" w:rsidRPr="009E43F2">
          <w:footerReference w:type="default" r:id="rId7"/>
          <w:pgSz w:w="12240" w:h="15840"/>
          <w:pgMar w:top="1440" w:right="1440" w:bottom="1440" w:left="1440" w:header="720" w:footer="720" w:gutter="0"/>
          <w:pgNumType w:start="1"/>
          <w:cols w:space="720"/>
        </w:sectPr>
      </w:pPr>
      <w:r w:rsidRPr="009E43F2">
        <w:rPr>
          <w:sz w:val="24"/>
          <w:szCs w:val="24"/>
        </w:rPr>
        <w:t xml:space="preserve">The passage of the Affordable Care Act created online Marketplaces as a direct means to decrease the costs associated with insurance enrollment and increase visible competition among plans. The Marketplaces attempt to simplify the process of finding, comparing, and purchasing insurance with subsidies; however, they </w:t>
      </w:r>
      <w:r w:rsidR="001C4633" w:rsidRPr="009E43F2">
        <w:rPr>
          <w:sz w:val="24"/>
          <w:szCs w:val="24"/>
        </w:rPr>
        <w:t>do not</w:t>
      </w:r>
      <w:r w:rsidRPr="009E43F2">
        <w:rPr>
          <w:sz w:val="24"/>
          <w:szCs w:val="24"/>
        </w:rPr>
        <w:t xml:space="preserve"> provide the insurance itself, and the options </w:t>
      </w:r>
      <w:r w:rsidR="00240E31" w:rsidRPr="009E43F2">
        <w:rPr>
          <w:sz w:val="24"/>
          <w:szCs w:val="24"/>
        </w:rPr>
        <w:t>and sub</w:t>
      </w:r>
      <w:r w:rsidR="003A64A6">
        <w:rPr>
          <w:sz w:val="24"/>
          <w:szCs w:val="24"/>
        </w:rPr>
        <w:t>s</w:t>
      </w:r>
      <w:r w:rsidR="00240E31" w:rsidRPr="009E43F2">
        <w:rPr>
          <w:sz w:val="24"/>
          <w:szCs w:val="24"/>
        </w:rPr>
        <w:t>idies have not yet proven sufficient to attract all eligible enrollees</w:t>
      </w:r>
      <w:r w:rsidR="002B27AD">
        <w:rPr>
          <w:sz w:val="24"/>
          <w:szCs w:val="24"/>
        </w:rPr>
        <w:t xml:space="preserve">. In contrast </w:t>
      </w:r>
      <w:r w:rsidR="00366841">
        <w:rPr>
          <w:sz w:val="24"/>
          <w:szCs w:val="24"/>
        </w:rPr>
        <w:t>with</w:t>
      </w:r>
      <w:r w:rsidR="002B27AD">
        <w:rPr>
          <w:sz w:val="24"/>
          <w:szCs w:val="24"/>
        </w:rPr>
        <w:t xml:space="preserve"> Massachusetts, </w:t>
      </w:r>
      <w:r w:rsidR="00366841">
        <w:rPr>
          <w:sz w:val="24"/>
          <w:szCs w:val="24"/>
        </w:rPr>
        <w:t xml:space="preserve">which fostered and was an early template for the ACA </w:t>
      </w:r>
      <w:r w:rsidR="002B27AD">
        <w:rPr>
          <w:sz w:val="24"/>
          <w:szCs w:val="24"/>
        </w:rPr>
        <w:t xml:space="preserve">Marketplace, </w:t>
      </w:r>
      <w:r w:rsidR="00366841">
        <w:rPr>
          <w:sz w:val="24"/>
          <w:szCs w:val="24"/>
        </w:rPr>
        <w:t xml:space="preserve">there are no </w:t>
      </w:r>
      <w:r w:rsidR="00240E31" w:rsidRPr="009E43F2">
        <w:rPr>
          <w:sz w:val="24"/>
          <w:szCs w:val="24"/>
        </w:rPr>
        <w:t>tax penalties for not purchasing insurance</w:t>
      </w:r>
      <w:r w:rsidR="002B27AD">
        <w:rPr>
          <w:sz w:val="24"/>
          <w:szCs w:val="24"/>
        </w:rPr>
        <w:t>, as they</w:t>
      </w:r>
      <w:r w:rsidR="00240E31" w:rsidRPr="009E43F2">
        <w:rPr>
          <w:sz w:val="24"/>
          <w:szCs w:val="24"/>
        </w:rPr>
        <w:t xml:space="preserve"> </w:t>
      </w:r>
      <w:r w:rsidR="002B27AD">
        <w:rPr>
          <w:sz w:val="24"/>
          <w:szCs w:val="24"/>
        </w:rPr>
        <w:t>were ruled</w:t>
      </w:r>
      <w:r w:rsidR="002B27AD" w:rsidRPr="009E43F2">
        <w:rPr>
          <w:sz w:val="24"/>
          <w:szCs w:val="24"/>
        </w:rPr>
        <w:t xml:space="preserve"> </w:t>
      </w:r>
      <w:r w:rsidR="00240E31" w:rsidRPr="009E43F2">
        <w:rPr>
          <w:sz w:val="24"/>
          <w:szCs w:val="24"/>
        </w:rPr>
        <w:t>unconstitutional</w:t>
      </w:r>
      <w:r w:rsidR="002B27AD">
        <w:rPr>
          <w:sz w:val="24"/>
          <w:szCs w:val="24"/>
        </w:rPr>
        <w:t xml:space="preserve"> by the U.S. Supreme Court</w:t>
      </w:r>
      <w:r w:rsidRPr="009E43F2">
        <w:rPr>
          <w:sz w:val="24"/>
          <w:szCs w:val="24"/>
        </w:rPr>
        <w:t xml:space="preserve">. </w:t>
      </w:r>
      <w:r w:rsidR="00F73E5C" w:rsidRPr="009E43F2">
        <w:rPr>
          <w:sz w:val="24"/>
          <w:szCs w:val="24"/>
        </w:rPr>
        <w:t xml:space="preserve">Finkelstein et al (2019) estimated that absent mandates or large public subsidies (&gt;90% of the total premium), many </w:t>
      </w:r>
      <w:r w:rsidR="00FA4FFF" w:rsidRPr="009E43F2">
        <w:rPr>
          <w:sz w:val="24"/>
          <w:szCs w:val="24"/>
        </w:rPr>
        <w:t>low-income</w:t>
      </w:r>
      <w:r w:rsidR="00F73E5C" w:rsidRPr="009E43F2">
        <w:rPr>
          <w:sz w:val="24"/>
          <w:szCs w:val="24"/>
        </w:rPr>
        <w:t xml:space="preserve"> consumers will be unwilling to purchase insurance</w:t>
      </w:r>
      <w:r w:rsidR="00FA4FFF">
        <w:rPr>
          <w:sz w:val="24"/>
          <w:szCs w:val="24"/>
        </w:rPr>
        <w:t>.</w:t>
      </w:r>
      <w:r w:rsidR="001C4633">
        <w:rPr>
          <w:sz w:val="24"/>
          <w:szCs w:val="24"/>
        </w:rPr>
        <w:t xml:space="preserve"> </w:t>
      </w:r>
      <w:r w:rsidRPr="009E43F2">
        <w:rPr>
          <w:sz w:val="24"/>
          <w:szCs w:val="24"/>
        </w:rPr>
        <w:t xml:space="preserve">Here we highlight the effects of three key features of the ACA marketplaces </w:t>
      </w:r>
      <w:r w:rsidR="00FE62F6" w:rsidRPr="009E43F2">
        <w:rPr>
          <w:sz w:val="24"/>
          <w:szCs w:val="24"/>
        </w:rPr>
        <w:t xml:space="preserve">affecting </w:t>
      </w:r>
      <w:r w:rsidRPr="009E43F2">
        <w:rPr>
          <w:sz w:val="24"/>
          <w:szCs w:val="24"/>
        </w:rPr>
        <w:t>managed competition</w:t>
      </w:r>
      <w:r w:rsidR="00AB2E60">
        <w:rPr>
          <w:sz w:val="24"/>
          <w:szCs w:val="24"/>
        </w:rPr>
        <w:t xml:space="preserve"> that will exist even if coverage is mandated or premiums are adequately </w:t>
      </w:r>
      <w:r w:rsidR="00FE62F6" w:rsidRPr="009E43F2">
        <w:rPr>
          <w:sz w:val="24"/>
          <w:szCs w:val="24"/>
        </w:rPr>
        <w:t>subsidized</w:t>
      </w:r>
      <w:r w:rsidRPr="009E43F2">
        <w:rPr>
          <w:sz w:val="24"/>
          <w:szCs w:val="24"/>
        </w:rPr>
        <w:t xml:space="preserve">: market segmentation, entry </w:t>
      </w:r>
      <w:r w:rsidR="00FE62F6" w:rsidRPr="009E43F2">
        <w:rPr>
          <w:sz w:val="24"/>
          <w:szCs w:val="24"/>
        </w:rPr>
        <w:t>barriers</w:t>
      </w:r>
      <w:r w:rsidRPr="009E43F2">
        <w:rPr>
          <w:sz w:val="24"/>
          <w:szCs w:val="24"/>
        </w:rPr>
        <w:t xml:space="preserve">, and plan quality. </w:t>
      </w:r>
    </w:p>
    <w:p w14:paraId="48503AD2" w14:textId="41F31DB0" w:rsidR="00ED6425" w:rsidRDefault="00AD437C">
      <w:pPr>
        <w:spacing w:before="240" w:after="240" w:line="240" w:lineRule="auto"/>
        <w:rPr>
          <w:b/>
        </w:rPr>
      </w:pPr>
      <w:r>
        <w:rPr>
          <w:b/>
        </w:rPr>
        <w:lastRenderedPageBreak/>
        <w:t xml:space="preserve">Table </w:t>
      </w:r>
      <w:r w:rsidR="00726948">
        <w:rPr>
          <w:b/>
        </w:rPr>
        <w:t>2</w:t>
      </w:r>
      <w:r>
        <w:rPr>
          <w:b/>
        </w:rPr>
        <w:t xml:space="preserve">. Four Possible Foundations for Universal Managed Care </w:t>
      </w:r>
      <w:proofErr w:type="gramStart"/>
      <w:r>
        <w:rPr>
          <w:b/>
        </w:rPr>
        <w:t>For</w:t>
      </w:r>
      <w:proofErr w:type="gramEnd"/>
      <w:r>
        <w:rPr>
          <w:b/>
        </w:rPr>
        <w:t xml:space="preserve"> All</w:t>
      </w:r>
    </w:p>
    <w:tbl>
      <w:tblPr>
        <w:tblStyle w:val="a"/>
        <w:tblW w:w="13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5"/>
        <w:gridCol w:w="2715"/>
        <w:gridCol w:w="2750"/>
        <w:gridCol w:w="2580"/>
        <w:gridCol w:w="3315"/>
      </w:tblGrid>
      <w:tr w:rsidR="00E129ED" w14:paraId="5E25C0EA" w14:textId="77777777" w:rsidTr="001873FB">
        <w:trPr>
          <w:trHeight w:val="421"/>
          <w:jc w:val="center"/>
        </w:trPr>
        <w:tc>
          <w:tcPr>
            <w:tcW w:w="2175" w:type="dxa"/>
            <w:tcMar>
              <w:top w:w="100" w:type="dxa"/>
              <w:left w:w="100" w:type="dxa"/>
              <w:bottom w:w="100" w:type="dxa"/>
              <w:right w:w="100" w:type="dxa"/>
            </w:tcMar>
            <w:vAlign w:val="center"/>
          </w:tcPr>
          <w:p w14:paraId="48ED5CA3" w14:textId="5B0B2A95" w:rsidR="00E129ED" w:rsidRDefault="00E129ED" w:rsidP="001873FB">
            <w:pPr>
              <w:widowControl w:val="0"/>
              <w:spacing w:line="240" w:lineRule="auto"/>
              <w:ind w:left="-20"/>
              <w:jc w:val="center"/>
              <w:rPr>
                <w:sz w:val="20"/>
                <w:szCs w:val="20"/>
              </w:rPr>
            </w:pPr>
          </w:p>
        </w:tc>
        <w:tc>
          <w:tcPr>
            <w:tcW w:w="2715" w:type="dxa"/>
            <w:shd w:val="clear" w:color="auto" w:fill="auto"/>
            <w:tcMar>
              <w:top w:w="100" w:type="dxa"/>
              <w:left w:w="100" w:type="dxa"/>
              <w:bottom w:w="100" w:type="dxa"/>
              <w:right w:w="100" w:type="dxa"/>
            </w:tcMar>
            <w:vAlign w:val="center"/>
          </w:tcPr>
          <w:p w14:paraId="5507A497" w14:textId="77777777" w:rsidR="00E129ED" w:rsidRDefault="00E129ED" w:rsidP="001873FB">
            <w:pPr>
              <w:widowControl w:val="0"/>
              <w:spacing w:line="240" w:lineRule="auto"/>
              <w:ind w:left="-120"/>
              <w:jc w:val="center"/>
              <w:rPr>
                <w:b/>
                <w:sz w:val="20"/>
                <w:szCs w:val="20"/>
              </w:rPr>
            </w:pPr>
            <w:r>
              <w:rPr>
                <w:b/>
                <w:sz w:val="20"/>
                <w:szCs w:val="20"/>
              </w:rPr>
              <w:t>ACA Marketplace</w:t>
            </w:r>
          </w:p>
        </w:tc>
        <w:tc>
          <w:tcPr>
            <w:tcW w:w="2750" w:type="dxa"/>
            <w:vAlign w:val="center"/>
          </w:tcPr>
          <w:p w14:paraId="2F8C62C5" w14:textId="566D89BE" w:rsidR="00E129ED" w:rsidRDefault="00E129ED" w:rsidP="00E129ED">
            <w:pPr>
              <w:widowControl w:val="0"/>
              <w:spacing w:line="240" w:lineRule="auto"/>
              <w:ind w:left="-260"/>
              <w:jc w:val="center"/>
              <w:rPr>
                <w:b/>
                <w:sz w:val="20"/>
                <w:szCs w:val="20"/>
              </w:rPr>
            </w:pPr>
            <w:r>
              <w:rPr>
                <w:b/>
                <w:sz w:val="20"/>
                <w:szCs w:val="20"/>
              </w:rPr>
              <w:t>Medicaid MCOs</w:t>
            </w:r>
          </w:p>
          <w:p w14:paraId="2A54EFFB" w14:textId="0392BDEA" w:rsidR="00E129ED" w:rsidRDefault="00E129ED" w:rsidP="00E129ED">
            <w:pPr>
              <w:widowControl w:val="0"/>
              <w:spacing w:line="240" w:lineRule="auto"/>
              <w:ind w:left="-260"/>
              <w:jc w:val="center"/>
              <w:rPr>
                <w:b/>
                <w:sz w:val="20"/>
                <w:szCs w:val="20"/>
              </w:rPr>
            </w:pPr>
            <w:r>
              <w:rPr>
                <w:b/>
                <w:sz w:val="20"/>
                <w:szCs w:val="20"/>
              </w:rPr>
              <w:t>(MassHealth)</w:t>
            </w:r>
          </w:p>
        </w:tc>
        <w:tc>
          <w:tcPr>
            <w:tcW w:w="2580" w:type="dxa"/>
            <w:shd w:val="clear" w:color="auto" w:fill="auto"/>
            <w:tcMar>
              <w:top w:w="100" w:type="dxa"/>
              <w:left w:w="100" w:type="dxa"/>
              <w:bottom w:w="100" w:type="dxa"/>
              <w:right w:w="100" w:type="dxa"/>
            </w:tcMar>
            <w:vAlign w:val="center"/>
          </w:tcPr>
          <w:p w14:paraId="21422AB8" w14:textId="434A2247" w:rsidR="00E129ED" w:rsidRDefault="00E129ED" w:rsidP="00E129ED">
            <w:pPr>
              <w:widowControl w:val="0"/>
              <w:spacing w:line="240" w:lineRule="auto"/>
              <w:ind w:left="-260"/>
              <w:jc w:val="center"/>
              <w:rPr>
                <w:b/>
                <w:sz w:val="20"/>
                <w:szCs w:val="20"/>
              </w:rPr>
            </w:pPr>
            <w:r>
              <w:rPr>
                <w:b/>
                <w:sz w:val="20"/>
                <w:szCs w:val="20"/>
              </w:rPr>
              <w:t>Medicare Advantage</w:t>
            </w:r>
          </w:p>
        </w:tc>
        <w:tc>
          <w:tcPr>
            <w:tcW w:w="3315" w:type="dxa"/>
            <w:tcMar>
              <w:top w:w="100" w:type="dxa"/>
              <w:left w:w="100" w:type="dxa"/>
              <w:bottom w:w="100" w:type="dxa"/>
              <w:right w:w="100" w:type="dxa"/>
            </w:tcMar>
            <w:vAlign w:val="center"/>
          </w:tcPr>
          <w:p w14:paraId="433833BD" w14:textId="0E11D8FC" w:rsidR="00E129ED" w:rsidRDefault="00E129ED" w:rsidP="00E129ED">
            <w:pPr>
              <w:widowControl w:val="0"/>
              <w:spacing w:line="240" w:lineRule="auto"/>
              <w:ind w:left="-260"/>
              <w:jc w:val="center"/>
              <w:rPr>
                <w:b/>
                <w:sz w:val="20"/>
                <w:szCs w:val="20"/>
              </w:rPr>
            </w:pPr>
            <w:r>
              <w:rPr>
                <w:b/>
                <w:sz w:val="20"/>
                <w:szCs w:val="20"/>
              </w:rPr>
              <w:t>Traditional Medicare</w:t>
            </w:r>
          </w:p>
        </w:tc>
      </w:tr>
      <w:tr w:rsidR="00E129ED" w14:paraId="22FE27AC" w14:textId="77777777" w:rsidTr="001873FB">
        <w:trPr>
          <w:trHeight w:val="466"/>
          <w:jc w:val="center"/>
        </w:trPr>
        <w:tc>
          <w:tcPr>
            <w:tcW w:w="2175" w:type="dxa"/>
            <w:shd w:val="clear" w:color="auto" w:fill="auto"/>
            <w:tcMar>
              <w:top w:w="100" w:type="dxa"/>
              <w:left w:w="100" w:type="dxa"/>
              <w:bottom w:w="100" w:type="dxa"/>
              <w:right w:w="100" w:type="dxa"/>
            </w:tcMar>
            <w:vAlign w:val="center"/>
          </w:tcPr>
          <w:p w14:paraId="6966A706" w14:textId="77777777" w:rsidR="00E129ED" w:rsidRDefault="00E129ED" w:rsidP="001873FB">
            <w:pPr>
              <w:widowControl w:val="0"/>
              <w:spacing w:line="240" w:lineRule="auto"/>
              <w:ind w:left="-20"/>
              <w:jc w:val="center"/>
              <w:rPr>
                <w:sz w:val="20"/>
                <w:szCs w:val="20"/>
              </w:rPr>
            </w:pPr>
            <w:r>
              <w:rPr>
                <w:sz w:val="20"/>
                <w:szCs w:val="20"/>
              </w:rPr>
              <w:t>Target Population</w:t>
            </w:r>
          </w:p>
        </w:tc>
        <w:tc>
          <w:tcPr>
            <w:tcW w:w="2715" w:type="dxa"/>
            <w:shd w:val="clear" w:color="auto" w:fill="auto"/>
            <w:tcMar>
              <w:top w:w="100" w:type="dxa"/>
              <w:left w:w="100" w:type="dxa"/>
              <w:bottom w:w="100" w:type="dxa"/>
              <w:right w:w="100" w:type="dxa"/>
            </w:tcMar>
            <w:vAlign w:val="center"/>
          </w:tcPr>
          <w:p w14:paraId="22227F1A" w14:textId="5DBDF132" w:rsidR="00E129ED" w:rsidRDefault="00E129ED" w:rsidP="00E129ED">
            <w:pPr>
              <w:widowControl w:val="0"/>
              <w:spacing w:line="240" w:lineRule="auto"/>
              <w:ind w:left="-260"/>
              <w:jc w:val="center"/>
              <w:rPr>
                <w:sz w:val="20"/>
                <w:szCs w:val="20"/>
              </w:rPr>
            </w:pPr>
            <w:r>
              <w:rPr>
                <w:sz w:val="20"/>
                <w:szCs w:val="20"/>
              </w:rPr>
              <w:t>Age 0-64, non-</w:t>
            </w:r>
            <w:proofErr w:type="gramStart"/>
            <w:r>
              <w:rPr>
                <w:sz w:val="20"/>
                <w:szCs w:val="20"/>
              </w:rPr>
              <w:t>low-income</w:t>
            </w:r>
            <w:proofErr w:type="gramEnd"/>
            <w:r>
              <w:rPr>
                <w:sz w:val="20"/>
                <w:szCs w:val="20"/>
              </w:rPr>
              <w:t>, self-insured, no ESI</w:t>
            </w:r>
          </w:p>
        </w:tc>
        <w:tc>
          <w:tcPr>
            <w:tcW w:w="2750" w:type="dxa"/>
            <w:vAlign w:val="center"/>
          </w:tcPr>
          <w:p w14:paraId="38D9E043" w14:textId="222F4E5D" w:rsidR="00E129ED" w:rsidRDefault="00E129ED" w:rsidP="001873FB">
            <w:pPr>
              <w:widowControl w:val="0"/>
              <w:spacing w:line="240" w:lineRule="auto"/>
              <w:ind w:left="-140" w:right="-100"/>
              <w:jc w:val="center"/>
              <w:rPr>
                <w:sz w:val="20"/>
                <w:szCs w:val="20"/>
              </w:rPr>
            </w:pPr>
            <w:r>
              <w:rPr>
                <w:sz w:val="20"/>
                <w:szCs w:val="20"/>
              </w:rPr>
              <w:t>Age 0-64, low-income, high health cost, children</w:t>
            </w:r>
          </w:p>
        </w:tc>
        <w:tc>
          <w:tcPr>
            <w:tcW w:w="2580" w:type="dxa"/>
            <w:shd w:val="clear" w:color="auto" w:fill="auto"/>
            <w:tcMar>
              <w:top w:w="100" w:type="dxa"/>
              <w:left w:w="100" w:type="dxa"/>
              <w:bottom w:w="100" w:type="dxa"/>
              <w:right w:w="100" w:type="dxa"/>
            </w:tcMar>
            <w:vAlign w:val="center"/>
          </w:tcPr>
          <w:p w14:paraId="2072CDD5" w14:textId="33E5CA0D" w:rsidR="00E129ED" w:rsidRDefault="00E129ED" w:rsidP="00E129ED">
            <w:pPr>
              <w:widowControl w:val="0"/>
              <w:spacing w:line="240" w:lineRule="auto"/>
              <w:ind w:left="-260"/>
              <w:jc w:val="center"/>
              <w:rPr>
                <w:sz w:val="20"/>
                <w:szCs w:val="20"/>
              </w:rPr>
            </w:pPr>
            <w:r>
              <w:rPr>
                <w:sz w:val="20"/>
                <w:szCs w:val="20"/>
              </w:rPr>
              <w:t>Age 65+ or disabled</w:t>
            </w:r>
          </w:p>
        </w:tc>
        <w:tc>
          <w:tcPr>
            <w:tcW w:w="3315" w:type="dxa"/>
            <w:shd w:val="clear" w:color="auto" w:fill="auto"/>
            <w:tcMar>
              <w:top w:w="100" w:type="dxa"/>
              <w:left w:w="100" w:type="dxa"/>
              <w:bottom w:w="100" w:type="dxa"/>
              <w:right w:w="100" w:type="dxa"/>
            </w:tcMar>
            <w:vAlign w:val="center"/>
          </w:tcPr>
          <w:p w14:paraId="4978310A" w14:textId="3A27C0B7" w:rsidR="00E129ED" w:rsidRDefault="00E129ED" w:rsidP="00E129ED">
            <w:pPr>
              <w:widowControl w:val="0"/>
              <w:spacing w:line="240" w:lineRule="auto"/>
              <w:ind w:left="-260"/>
              <w:jc w:val="center"/>
              <w:rPr>
                <w:sz w:val="20"/>
                <w:szCs w:val="20"/>
              </w:rPr>
            </w:pPr>
            <w:r>
              <w:rPr>
                <w:sz w:val="20"/>
                <w:szCs w:val="20"/>
              </w:rPr>
              <w:t>Age 65+ or disabled</w:t>
            </w:r>
          </w:p>
        </w:tc>
      </w:tr>
      <w:tr w:rsidR="00E129ED" w14:paraId="75237B19" w14:textId="77777777" w:rsidTr="001873FB">
        <w:trPr>
          <w:trHeight w:val="511"/>
          <w:jc w:val="center"/>
        </w:trPr>
        <w:tc>
          <w:tcPr>
            <w:tcW w:w="2175" w:type="dxa"/>
            <w:shd w:val="clear" w:color="auto" w:fill="auto"/>
            <w:tcMar>
              <w:top w:w="100" w:type="dxa"/>
              <w:left w:w="100" w:type="dxa"/>
              <w:bottom w:w="100" w:type="dxa"/>
              <w:right w:w="100" w:type="dxa"/>
            </w:tcMar>
            <w:vAlign w:val="center"/>
          </w:tcPr>
          <w:p w14:paraId="0B44BF90" w14:textId="1AE0A56B" w:rsidR="00E129ED" w:rsidRDefault="00E129ED" w:rsidP="001873FB">
            <w:pPr>
              <w:widowControl w:val="0"/>
              <w:spacing w:line="240" w:lineRule="auto"/>
              <w:ind w:left="-20"/>
              <w:jc w:val="center"/>
              <w:rPr>
                <w:sz w:val="20"/>
                <w:szCs w:val="20"/>
              </w:rPr>
            </w:pPr>
            <w:r>
              <w:rPr>
                <w:sz w:val="20"/>
                <w:szCs w:val="20"/>
              </w:rPr>
              <w:t>Total National Enrollment, 2021</w:t>
            </w:r>
          </w:p>
        </w:tc>
        <w:tc>
          <w:tcPr>
            <w:tcW w:w="2715" w:type="dxa"/>
            <w:shd w:val="clear" w:color="auto" w:fill="auto"/>
            <w:tcMar>
              <w:top w:w="100" w:type="dxa"/>
              <w:left w:w="100" w:type="dxa"/>
              <w:bottom w:w="100" w:type="dxa"/>
              <w:right w:w="100" w:type="dxa"/>
            </w:tcMar>
            <w:vAlign w:val="center"/>
          </w:tcPr>
          <w:p w14:paraId="6775B520" w14:textId="77777777" w:rsidR="00E129ED" w:rsidRDefault="00E129ED" w:rsidP="00E129ED">
            <w:pPr>
              <w:widowControl w:val="0"/>
              <w:spacing w:line="240" w:lineRule="auto"/>
              <w:ind w:left="-260"/>
              <w:jc w:val="center"/>
              <w:rPr>
                <w:sz w:val="20"/>
                <w:szCs w:val="20"/>
              </w:rPr>
            </w:pPr>
            <w:r>
              <w:rPr>
                <w:sz w:val="20"/>
                <w:szCs w:val="20"/>
              </w:rPr>
              <w:t>12.0 million</w:t>
            </w:r>
          </w:p>
        </w:tc>
        <w:tc>
          <w:tcPr>
            <w:tcW w:w="2750" w:type="dxa"/>
            <w:vAlign w:val="center"/>
          </w:tcPr>
          <w:p w14:paraId="788E38B4" w14:textId="4C54E04D" w:rsidR="00E129ED" w:rsidRDefault="00E129ED" w:rsidP="00E129ED">
            <w:pPr>
              <w:widowControl w:val="0"/>
              <w:spacing w:line="240" w:lineRule="auto"/>
              <w:ind w:left="-260"/>
              <w:jc w:val="center"/>
              <w:rPr>
                <w:sz w:val="20"/>
                <w:szCs w:val="20"/>
              </w:rPr>
            </w:pPr>
            <w:r>
              <w:rPr>
                <w:sz w:val="20"/>
                <w:szCs w:val="20"/>
              </w:rPr>
              <w:t>40.0 million,</w:t>
            </w:r>
          </w:p>
          <w:p w14:paraId="750F517E" w14:textId="630787AB" w:rsidR="00E129ED" w:rsidRDefault="00D002F5" w:rsidP="00E129ED">
            <w:pPr>
              <w:widowControl w:val="0"/>
              <w:spacing w:line="240" w:lineRule="auto"/>
              <w:ind w:left="-260"/>
              <w:jc w:val="center"/>
              <w:rPr>
                <w:sz w:val="20"/>
                <w:szCs w:val="20"/>
              </w:rPr>
            </w:pPr>
            <w:r>
              <w:rPr>
                <w:sz w:val="20"/>
                <w:szCs w:val="20"/>
              </w:rPr>
              <w:t>(</w:t>
            </w:r>
            <w:r w:rsidR="00E129ED">
              <w:rPr>
                <w:sz w:val="20"/>
                <w:szCs w:val="20"/>
              </w:rPr>
              <w:t>0.7 million in MassHealth</w:t>
            </w:r>
            <w:r>
              <w:rPr>
                <w:sz w:val="20"/>
                <w:szCs w:val="20"/>
              </w:rPr>
              <w:t>)</w:t>
            </w:r>
          </w:p>
        </w:tc>
        <w:tc>
          <w:tcPr>
            <w:tcW w:w="2580" w:type="dxa"/>
            <w:shd w:val="clear" w:color="auto" w:fill="auto"/>
            <w:tcMar>
              <w:top w:w="100" w:type="dxa"/>
              <w:left w:w="100" w:type="dxa"/>
              <w:bottom w:w="100" w:type="dxa"/>
              <w:right w:w="100" w:type="dxa"/>
            </w:tcMar>
            <w:vAlign w:val="center"/>
          </w:tcPr>
          <w:p w14:paraId="29B28736" w14:textId="2218F2FD" w:rsidR="00E129ED" w:rsidRDefault="00D002F5" w:rsidP="00E129ED">
            <w:pPr>
              <w:widowControl w:val="0"/>
              <w:spacing w:line="240" w:lineRule="auto"/>
              <w:ind w:left="-260"/>
              <w:jc w:val="center"/>
              <w:rPr>
                <w:sz w:val="20"/>
                <w:szCs w:val="20"/>
              </w:rPr>
            </w:pPr>
            <w:r>
              <w:rPr>
                <w:sz w:val="20"/>
                <w:szCs w:val="20"/>
              </w:rPr>
              <w:t>27.9</w:t>
            </w:r>
            <w:r w:rsidR="00E129ED">
              <w:rPr>
                <w:sz w:val="20"/>
                <w:szCs w:val="20"/>
              </w:rPr>
              <w:t xml:space="preserve"> million</w:t>
            </w:r>
          </w:p>
        </w:tc>
        <w:tc>
          <w:tcPr>
            <w:tcW w:w="3315" w:type="dxa"/>
            <w:shd w:val="clear" w:color="auto" w:fill="auto"/>
            <w:tcMar>
              <w:top w:w="100" w:type="dxa"/>
              <w:left w:w="100" w:type="dxa"/>
              <w:bottom w:w="100" w:type="dxa"/>
              <w:right w:w="100" w:type="dxa"/>
            </w:tcMar>
            <w:vAlign w:val="center"/>
          </w:tcPr>
          <w:p w14:paraId="30101C89" w14:textId="322EAAD4" w:rsidR="00E129ED" w:rsidRDefault="00D002F5" w:rsidP="00E129ED">
            <w:pPr>
              <w:widowControl w:val="0"/>
              <w:spacing w:line="240" w:lineRule="auto"/>
              <w:ind w:left="-260"/>
              <w:jc w:val="center"/>
              <w:rPr>
                <w:sz w:val="20"/>
                <w:szCs w:val="20"/>
              </w:rPr>
            </w:pPr>
            <w:r>
              <w:rPr>
                <w:sz w:val="20"/>
                <w:szCs w:val="20"/>
              </w:rPr>
              <w:t>36.0</w:t>
            </w:r>
            <w:r w:rsidR="00E129ED">
              <w:rPr>
                <w:sz w:val="20"/>
                <w:szCs w:val="20"/>
              </w:rPr>
              <w:t xml:space="preserve"> million</w:t>
            </w:r>
          </w:p>
        </w:tc>
      </w:tr>
      <w:tr w:rsidR="00E129ED" w14:paraId="2A4E5DE7" w14:textId="77777777" w:rsidTr="001873FB">
        <w:trPr>
          <w:trHeight w:val="511"/>
          <w:jc w:val="center"/>
        </w:trPr>
        <w:tc>
          <w:tcPr>
            <w:tcW w:w="2175" w:type="dxa"/>
            <w:shd w:val="clear" w:color="auto" w:fill="auto"/>
            <w:tcMar>
              <w:top w:w="100" w:type="dxa"/>
              <w:left w:w="100" w:type="dxa"/>
              <w:bottom w:w="100" w:type="dxa"/>
              <w:right w:w="100" w:type="dxa"/>
            </w:tcMar>
            <w:vAlign w:val="center"/>
          </w:tcPr>
          <w:p w14:paraId="6D366B49" w14:textId="77777777" w:rsidR="00E129ED" w:rsidRDefault="00E129ED" w:rsidP="001873FB">
            <w:pPr>
              <w:widowControl w:val="0"/>
              <w:spacing w:line="240" w:lineRule="auto"/>
              <w:ind w:left="-20"/>
              <w:jc w:val="center"/>
              <w:rPr>
                <w:sz w:val="20"/>
                <w:szCs w:val="20"/>
              </w:rPr>
            </w:pPr>
            <w:r>
              <w:rPr>
                <w:sz w:val="20"/>
                <w:szCs w:val="20"/>
              </w:rPr>
              <w:t>Plan Unit Receiving Capitation Payment</w:t>
            </w:r>
          </w:p>
        </w:tc>
        <w:tc>
          <w:tcPr>
            <w:tcW w:w="2715" w:type="dxa"/>
            <w:shd w:val="clear" w:color="auto" w:fill="auto"/>
            <w:tcMar>
              <w:top w:w="100" w:type="dxa"/>
              <w:left w:w="100" w:type="dxa"/>
              <w:bottom w:w="100" w:type="dxa"/>
              <w:right w:w="100" w:type="dxa"/>
            </w:tcMar>
            <w:vAlign w:val="center"/>
          </w:tcPr>
          <w:p w14:paraId="5BBEBD70" w14:textId="77777777" w:rsidR="00E129ED" w:rsidRDefault="00E129ED" w:rsidP="00E129ED">
            <w:pPr>
              <w:widowControl w:val="0"/>
              <w:spacing w:line="240" w:lineRule="auto"/>
              <w:ind w:left="-260"/>
              <w:jc w:val="center"/>
              <w:rPr>
                <w:sz w:val="20"/>
                <w:szCs w:val="20"/>
              </w:rPr>
            </w:pPr>
            <w:r>
              <w:rPr>
                <w:sz w:val="20"/>
                <w:szCs w:val="20"/>
              </w:rPr>
              <w:t>Bidding plans</w:t>
            </w:r>
          </w:p>
        </w:tc>
        <w:tc>
          <w:tcPr>
            <w:tcW w:w="2750" w:type="dxa"/>
            <w:vAlign w:val="center"/>
          </w:tcPr>
          <w:p w14:paraId="5768457F" w14:textId="428B7218" w:rsidR="00E129ED" w:rsidRDefault="00E129ED" w:rsidP="00E129ED">
            <w:pPr>
              <w:widowControl w:val="0"/>
              <w:spacing w:line="240" w:lineRule="auto"/>
              <w:ind w:left="-260"/>
              <w:jc w:val="center"/>
              <w:rPr>
                <w:sz w:val="20"/>
                <w:szCs w:val="20"/>
              </w:rPr>
            </w:pPr>
            <w:r>
              <w:rPr>
                <w:sz w:val="20"/>
                <w:szCs w:val="20"/>
              </w:rPr>
              <w:t>Accountable Care Organizations</w:t>
            </w:r>
          </w:p>
        </w:tc>
        <w:tc>
          <w:tcPr>
            <w:tcW w:w="2580" w:type="dxa"/>
            <w:shd w:val="clear" w:color="auto" w:fill="auto"/>
            <w:tcMar>
              <w:top w:w="100" w:type="dxa"/>
              <w:left w:w="100" w:type="dxa"/>
              <w:bottom w:w="100" w:type="dxa"/>
              <w:right w:w="100" w:type="dxa"/>
            </w:tcMar>
            <w:vAlign w:val="center"/>
          </w:tcPr>
          <w:p w14:paraId="3F765D82" w14:textId="67B64B01" w:rsidR="00E129ED" w:rsidRDefault="00E129ED" w:rsidP="001873FB">
            <w:pPr>
              <w:widowControl w:val="0"/>
              <w:spacing w:line="240" w:lineRule="auto"/>
              <w:ind w:left="-100"/>
              <w:jc w:val="center"/>
              <w:rPr>
                <w:sz w:val="20"/>
                <w:szCs w:val="20"/>
              </w:rPr>
            </w:pPr>
            <w:r>
              <w:rPr>
                <w:sz w:val="20"/>
                <w:szCs w:val="20"/>
              </w:rPr>
              <w:t>Bidding plans</w:t>
            </w:r>
          </w:p>
        </w:tc>
        <w:tc>
          <w:tcPr>
            <w:tcW w:w="3315" w:type="dxa"/>
            <w:shd w:val="clear" w:color="auto" w:fill="auto"/>
            <w:tcMar>
              <w:top w:w="100" w:type="dxa"/>
              <w:left w:w="100" w:type="dxa"/>
              <w:bottom w:w="100" w:type="dxa"/>
              <w:right w:w="100" w:type="dxa"/>
            </w:tcMar>
            <w:vAlign w:val="center"/>
          </w:tcPr>
          <w:p w14:paraId="5E34CAA1" w14:textId="3736AC99" w:rsidR="00E129ED" w:rsidRDefault="00E129ED" w:rsidP="00E129ED">
            <w:pPr>
              <w:widowControl w:val="0"/>
              <w:spacing w:line="240" w:lineRule="auto"/>
              <w:ind w:left="-260"/>
              <w:jc w:val="center"/>
              <w:rPr>
                <w:sz w:val="20"/>
                <w:szCs w:val="20"/>
              </w:rPr>
            </w:pPr>
            <w:r>
              <w:rPr>
                <w:sz w:val="20"/>
                <w:szCs w:val="20"/>
              </w:rPr>
              <w:t>1 plan, 12 regional MACs</w:t>
            </w:r>
          </w:p>
        </w:tc>
      </w:tr>
      <w:tr w:rsidR="00E129ED" w14:paraId="4A712BE2" w14:textId="77777777" w:rsidTr="001873FB">
        <w:trPr>
          <w:trHeight w:val="620"/>
          <w:jc w:val="center"/>
        </w:trPr>
        <w:tc>
          <w:tcPr>
            <w:tcW w:w="2175" w:type="dxa"/>
            <w:shd w:val="clear" w:color="auto" w:fill="auto"/>
            <w:tcMar>
              <w:top w:w="100" w:type="dxa"/>
              <w:left w:w="100" w:type="dxa"/>
              <w:bottom w:w="100" w:type="dxa"/>
              <w:right w:w="100" w:type="dxa"/>
            </w:tcMar>
            <w:vAlign w:val="center"/>
          </w:tcPr>
          <w:p w14:paraId="66291FE9" w14:textId="435C5577" w:rsidR="00E129ED" w:rsidRDefault="00E129ED" w:rsidP="001873FB">
            <w:pPr>
              <w:widowControl w:val="0"/>
              <w:spacing w:line="240" w:lineRule="auto"/>
              <w:ind w:left="-20"/>
              <w:jc w:val="center"/>
              <w:rPr>
                <w:sz w:val="20"/>
                <w:szCs w:val="20"/>
              </w:rPr>
            </w:pPr>
            <w:r>
              <w:rPr>
                <w:sz w:val="20"/>
                <w:szCs w:val="20"/>
              </w:rPr>
              <w:t>#</w:t>
            </w:r>
            <w:r w:rsidR="00D002F5">
              <w:rPr>
                <w:sz w:val="20"/>
                <w:szCs w:val="20"/>
              </w:rPr>
              <w:t xml:space="preserve"> </w:t>
            </w:r>
            <w:proofErr w:type="gramStart"/>
            <w:r>
              <w:rPr>
                <w:sz w:val="20"/>
                <w:szCs w:val="20"/>
              </w:rPr>
              <w:t>of</w:t>
            </w:r>
            <w:proofErr w:type="gramEnd"/>
            <w:r>
              <w:rPr>
                <w:sz w:val="20"/>
                <w:szCs w:val="20"/>
              </w:rPr>
              <w:t xml:space="preserve"> Health Plans offered in</w:t>
            </w:r>
          </w:p>
          <w:p w14:paraId="1B753179" w14:textId="7DDEC499" w:rsidR="00E129ED" w:rsidRDefault="00E129ED" w:rsidP="001873FB">
            <w:pPr>
              <w:widowControl w:val="0"/>
              <w:spacing w:line="240" w:lineRule="auto"/>
              <w:ind w:left="-20"/>
              <w:jc w:val="center"/>
              <w:rPr>
                <w:sz w:val="20"/>
                <w:szCs w:val="20"/>
              </w:rPr>
            </w:pPr>
            <w:r>
              <w:rPr>
                <w:sz w:val="20"/>
                <w:szCs w:val="20"/>
              </w:rPr>
              <w:t>Massachusetts</w:t>
            </w:r>
          </w:p>
        </w:tc>
        <w:tc>
          <w:tcPr>
            <w:tcW w:w="2715" w:type="dxa"/>
            <w:shd w:val="clear" w:color="auto" w:fill="auto"/>
            <w:tcMar>
              <w:top w:w="100" w:type="dxa"/>
              <w:left w:w="100" w:type="dxa"/>
              <w:bottom w:w="100" w:type="dxa"/>
              <w:right w:w="100" w:type="dxa"/>
            </w:tcMar>
            <w:vAlign w:val="center"/>
          </w:tcPr>
          <w:p w14:paraId="79F7BE87" w14:textId="0D0C0450" w:rsidR="00E129ED" w:rsidRDefault="00E129ED" w:rsidP="00E129ED">
            <w:pPr>
              <w:widowControl w:val="0"/>
              <w:spacing w:line="240" w:lineRule="auto"/>
              <w:ind w:left="-260"/>
              <w:jc w:val="center"/>
              <w:rPr>
                <w:sz w:val="20"/>
                <w:szCs w:val="20"/>
              </w:rPr>
            </w:pPr>
            <w:r>
              <w:rPr>
                <w:sz w:val="20"/>
                <w:szCs w:val="20"/>
              </w:rPr>
              <w:t>8 insurers,</w:t>
            </w:r>
          </w:p>
          <w:p w14:paraId="30553D80" w14:textId="77777777" w:rsidR="00E129ED" w:rsidRDefault="00E129ED" w:rsidP="00E129ED">
            <w:pPr>
              <w:widowControl w:val="0"/>
              <w:spacing w:line="240" w:lineRule="auto"/>
              <w:ind w:left="-260"/>
              <w:jc w:val="center"/>
              <w:rPr>
                <w:sz w:val="20"/>
                <w:szCs w:val="20"/>
              </w:rPr>
            </w:pPr>
            <w:r>
              <w:rPr>
                <w:sz w:val="20"/>
                <w:szCs w:val="20"/>
              </w:rPr>
              <w:t>&gt;30 plans</w:t>
            </w:r>
          </w:p>
        </w:tc>
        <w:tc>
          <w:tcPr>
            <w:tcW w:w="2750" w:type="dxa"/>
            <w:vAlign w:val="center"/>
          </w:tcPr>
          <w:p w14:paraId="483E4F84" w14:textId="3D94094B" w:rsidR="00E129ED" w:rsidRDefault="00E129ED" w:rsidP="00E129ED">
            <w:pPr>
              <w:widowControl w:val="0"/>
              <w:spacing w:line="240" w:lineRule="auto"/>
              <w:ind w:left="-260"/>
              <w:jc w:val="center"/>
              <w:rPr>
                <w:sz w:val="20"/>
                <w:szCs w:val="20"/>
              </w:rPr>
            </w:pPr>
            <w:r>
              <w:rPr>
                <w:sz w:val="20"/>
                <w:szCs w:val="20"/>
              </w:rPr>
              <w:t>12</w:t>
            </w:r>
          </w:p>
        </w:tc>
        <w:tc>
          <w:tcPr>
            <w:tcW w:w="2580" w:type="dxa"/>
            <w:shd w:val="clear" w:color="auto" w:fill="auto"/>
            <w:tcMar>
              <w:top w:w="100" w:type="dxa"/>
              <w:left w:w="100" w:type="dxa"/>
              <w:bottom w:w="100" w:type="dxa"/>
              <w:right w:w="100" w:type="dxa"/>
            </w:tcMar>
            <w:vAlign w:val="center"/>
          </w:tcPr>
          <w:p w14:paraId="51252619" w14:textId="563EF4B3" w:rsidR="00E129ED" w:rsidRDefault="00E129ED" w:rsidP="00E129ED">
            <w:pPr>
              <w:widowControl w:val="0"/>
              <w:spacing w:line="240" w:lineRule="auto"/>
              <w:ind w:left="-260"/>
              <w:jc w:val="center"/>
              <w:rPr>
                <w:sz w:val="20"/>
                <w:szCs w:val="20"/>
              </w:rPr>
            </w:pPr>
            <w:r>
              <w:rPr>
                <w:sz w:val="20"/>
                <w:szCs w:val="20"/>
              </w:rPr>
              <w:t>113</w:t>
            </w:r>
          </w:p>
        </w:tc>
        <w:tc>
          <w:tcPr>
            <w:tcW w:w="3315" w:type="dxa"/>
            <w:shd w:val="clear" w:color="auto" w:fill="auto"/>
            <w:tcMar>
              <w:top w:w="100" w:type="dxa"/>
              <w:left w:w="100" w:type="dxa"/>
              <w:bottom w:w="100" w:type="dxa"/>
              <w:right w:w="100" w:type="dxa"/>
            </w:tcMar>
            <w:vAlign w:val="center"/>
          </w:tcPr>
          <w:p w14:paraId="671C7995" w14:textId="77777777" w:rsidR="00E129ED" w:rsidRDefault="00E129ED" w:rsidP="00E129ED">
            <w:pPr>
              <w:widowControl w:val="0"/>
              <w:spacing w:line="240" w:lineRule="auto"/>
              <w:ind w:left="-260"/>
              <w:jc w:val="center"/>
              <w:rPr>
                <w:sz w:val="20"/>
                <w:szCs w:val="20"/>
              </w:rPr>
            </w:pPr>
            <w:r>
              <w:rPr>
                <w:sz w:val="20"/>
                <w:szCs w:val="20"/>
              </w:rPr>
              <w:t>1</w:t>
            </w:r>
          </w:p>
        </w:tc>
      </w:tr>
      <w:tr w:rsidR="00E129ED" w14:paraId="2A52E1B8" w14:textId="77777777" w:rsidTr="001873FB">
        <w:trPr>
          <w:trHeight w:val="601"/>
          <w:jc w:val="center"/>
        </w:trPr>
        <w:tc>
          <w:tcPr>
            <w:tcW w:w="2175" w:type="dxa"/>
            <w:shd w:val="clear" w:color="auto" w:fill="auto"/>
            <w:tcMar>
              <w:top w:w="100" w:type="dxa"/>
              <w:left w:w="100" w:type="dxa"/>
              <w:bottom w:w="100" w:type="dxa"/>
              <w:right w:w="100" w:type="dxa"/>
            </w:tcMar>
            <w:vAlign w:val="center"/>
          </w:tcPr>
          <w:p w14:paraId="72AD665F" w14:textId="210E39AC" w:rsidR="00E129ED" w:rsidRDefault="00E129ED" w:rsidP="001873FB">
            <w:pPr>
              <w:widowControl w:val="0"/>
              <w:spacing w:line="240" w:lineRule="auto"/>
              <w:ind w:left="-20"/>
              <w:jc w:val="center"/>
              <w:rPr>
                <w:sz w:val="20"/>
                <w:szCs w:val="20"/>
              </w:rPr>
            </w:pPr>
            <w:r>
              <w:rPr>
                <w:sz w:val="20"/>
                <w:szCs w:val="20"/>
              </w:rPr>
              <w:t>Risk Adjustment Formula</w:t>
            </w:r>
          </w:p>
        </w:tc>
        <w:tc>
          <w:tcPr>
            <w:tcW w:w="2715" w:type="dxa"/>
            <w:shd w:val="clear" w:color="auto" w:fill="auto"/>
            <w:tcMar>
              <w:top w:w="100" w:type="dxa"/>
              <w:left w:w="100" w:type="dxa"/>
              <w:bottom w:w="100" w:type="dxa"/>
              <w:right w:w="100" w:type="dxa"/>
            </w:tcMar>
            <w:vAlign w:val="center"/>
          </w:tcPr>
          <w:p w14:paraId="013D5296" w14:textId="39C72F56" w:rsidR="00E129ED" w:rsidRDefault="00E129ED" w:rsidP="00E129ED">
            <w:pPr>
              <w:widowControl w:val="0"/>
              <w:spacing w:line="240" w:lineRule="auto"/>
              <w:ind w:left="-260"/>
              <w:jc w:val="center"/>
              <w:rPr>
                <w:sz w:val="20"/>
                <w:szCs w:val="20"/>
              </w:rPr>
            </w:pPr>
            <w:r>
              <w:rPr>
                <w:sz w:val="20"/>
                <w:szCs w:val="20"/>
              </w:rPr>
              <w:t>Concurrent</w:t>
            </w:r>
          </w:p>
          <w:p w14:paraId="2895F293" w14:textId="77777777" w:rsidR="00E129ED" w:rsidRDefault="00E129ED" w:rsidP="00E129ED">
            <w:pPr>
              <w:widowControl w:val="0"/>
              <w:spacing w:line="240" w:lineRule="auto"/>
              <w:ind w:left="-260"/>
              <w:jc w:val="center"/>
              <w:rPr>
                <w:sz w:val="20"/>
                <w:szCs w:val="20"/>
              </w:rPr>
            </w:pPr>
            <w:r>
              <w:rPr>
                <w:sz w:val="20"/>
                <w:szCs w:val="20"/>
              </w:rPr>
              <w:t>HHS-HCC model</w:t>
            </w:r>
          </w:p>
        </w:tc>
        <w:tc>
          <w:tcPr>
            <w:tcW w:w="2750" w:type="dxa"/>
            <w:vAlign w:val="center"/>
          </w:tcPr>
          <w:p w14:paraId="3AD35D4F" w14:textId="296FC465" w:rsidR="00E129ED" w:rsidRDefault="00E129ED" w:rsidP="00E129ED">
            <w:pPr>
              <w:widowControl w:val="0"/>
              <w:spacing w:line="240" w:lineRule="auto"/>
              <w:ind w:left="-260"/>
              <w:jc w:val="center"/>
              <w:rPr>
                <w:sz w:val="20"/>
                <w:szCs w:val="20"/>
              </w:rPr>
            </w:pPr>
            <w:r>
              <w:rPr>
                <w:sz w:val="20"/>
                <w:szCs w:val="20"/>
              </w:rPr>
              <w:t>Concurrent DxCG model</w:t>
            </w:r>
          </w:p>
          <w:p w14:paraId="7B247F25" w14:textId="59AF7C3C" w:rsidR="00E129ED" w:rsidRDefault="00E129ED" w:rsidP="00E129ED">
            <w:pPr>
              <w:widowControl w:val="0"/>
              <w:spacing w:line="240" w:lineRule="auto"/>
              <w:ind w:left="-260"/>
              <w:jc w:val="center"/>
              <w:rPr>
                <w:sz w:val="20"/>
                <w:szCs w:val="20"/>
              </w:rPr>
            </w:pPr>
            <w:r>
              <w:rPr>
                <w:sz w:val="20"/>
                <w:szCs w:val="20"/>
              </w:rPr>
              <w:t>with SDOH adjustments</w:t>
            </w:r>
          </w:p>
        </w:tc>
        <w:tc>
          <w:tcPr>
            <w:tcW w:w="2580" w:type="dxa"/>
            <w:shd w:val="clear" w:color="auto" w:fill="auto"/>
            <w:tcMar>
              <w:top w:w="100" w:type="dxa"/>
              <w:left w:w="100" w:type="dxa"/>
              <w:bottom w:w="100" w:type="dxa"/>
              <w:right w:w="100" w:type="dxa"/>
            </w:tcMar>
            <w:vAlign w:val="center"/>
          </w:tcPr>
          <w:p w14:paraId="1B87C015" w14:textId="3FCE1B7A" w:rsidR="00E129ED" w:rsidRDefault="00E129ED" w:rsidP="00E129ED">
            <w:pPr>
              <w:widowControl w:val="0"/>
              <w:spacing w:line="240" w:lineRule="auto"/>
              <w:ind w:left="-260"/>
              <w:jc w:val="center"/>
              <w:rPr>
                <w:sz w:val="20"/>
                <w:szCs w:val="20"/>
              </w:rPr>
            </w:pPr>
            <w:r>
              <w:rPr>
                <w:sz w:val="20"/>
                <w:szCs w:val="20"/>
              </w:rPr>
              <w:t>Prospective</w:t>
            </w:r>
          </w:p>
          <w:p w14:paraId="41E099F7" w14:textId="77777777" w:rsidR="00E129ED" w:rsidRDefault="00E129ED" w:rsidP="00E129ED">
            <w:pPr>
              <w:widowControl w:val="0"/>
              <w:spacing w:line="240" w:lineRule="auto"/>
              <w:ind w:left="-260"/>
              <w:jc w:val="center"/>
              <w:rPr>
                <w:sz w:val="20"/>
                <w:szCs w:val="20"/>
              </w:rPr>
            </w:pPr>
            <w:r>
              <w:rPr>
                <w:sz w:val="20"/>
                <w:szCs w:val="20"/>
              </w:rPr>
              <w:t>CMS-HCC model</w:t>
            </w:r>
          </w:p>
        </w:tc>
        <w:tc>
          <w:tcPr>
            <w:tcW w:w="3315" w:type="dxa"/>
            <w:shd w:val="clear" w:color="auto" w:fill="auto"/>
            <w:tcMar>
              <w:top w:w="100" w:type="dxa"/>
              <w:left w:w="100" w:type="dxa"/>
              <w:bottom w:w="100" w:type="dxa"/>
              <w:right w:w="100" w:type="dxa"/>
            </w:tcMar>
            <w:vAlign w:val="center"/>
          </w:tcPr>
          <w:p w14:paraId="725A7B85" w14:textId="6100E76B" w:rsidR="00E129ED" w:rsidRDefault="00E129ED" w:rsidP="00E129ED">
            <w:pPr>
              <w:widowControl w:val="0"/>
              <w:spacing w:line="240" w:lineRule="auto"/>
              <w:ind w:left="-260"/>
              <w:jc w:val="center"/>
              <w:rPr>
                <w:sz w:val="20"/>
                <w:szCs w:val="20"/>
              </w:rPr>
            </w:pPr>
            <w:r>
              <w:rPr>
                <w:sz w:val="20"/>
                <w:szCs w:val="20"/>
              </w:rPr>
              <w:t>None,</w:t>
            </w:r>
          </w:p>
          <w:p w14:paraId="1441A28B" w14:textId="6C726547" w:rsidR="00E129ED" w:rsidRDefault="00E129ED" w:rsidP="00E129ED">
            <w:pPr>
              <w:widowControl w:val="0"/>
              <w:spacing w:line="240" w:lineRule="auto"/>
              <w:ind w:left="-260"/>
              <w:jc w:val="center"/>
              <w:rPr>
                <w:sz w:val="20"/>
                <w:szCs w:val="20"/>
              </w:rPr>
            </w:pPr>
            <w:r>
              <w:rPr>
                <w:sz w:val="20"/>
                <w:szCs w:val="20"/>
              </w:rPr>
              <w:t>FFS reimbursement,</w:t>
            </w:r>
          </w:p>
          <w:p w14:paraId="35056079" w14:textId="77777777" w:rsidR="00E129ED" w:rsidRDefault="00E129ED" w:rsidP="00E129ED">
            <w:pPr>
              <w:widowControl w:val="0"/>
              <w:spacing w:line="240" w:lineRule="auto"/>
              <w:ind w:left="-260"/>
              <w:jc w:val="center"/>
              <w:rPr>
                <w:sz w:val="20"/>
                <w:szCs w:val="20"/>
              </w:rPr>
            </w:pPr>
            <w:r>
              <w:rPr>
                <w:sz w:val="20"/>
                <w:szCs w:val="20"/>
              </w:rPr>
              <w:t>various bundled payments</w:t>
            </w:r>
          </w:p>
        </w:tc>
      </w:tr>
      <w:tr w:rsidR="00E129ED" w14:paraId="183209C1" w14:textId="77777777" w:rsidTr="001873FB">
        <w:trPr>
          <w:trHeight w:val="601"/>
          <w:jc w:val="center"/>
        </w:trPr>
        <w:tc>
          <w:tcPr>
            <w:tcW w:w="2175" w:type="dxa"/>
            <w:shd w:val="clear" w:color="auto" w:fill="auto"/>
            <w:tcMar>
              <w:top w:w="100" w:type="dxa"/>
              <w:left w:w="100" w:type="dxa"/>
              <w:bottom w:w="100" w:type="dxa"/>
              <w:right w:w="100" w:type="dxa"/>
            </w:tcMar>
            <w:vAlign w:val="center"/>
          </w:tcPr>
          <w:p w14:paraId="48AA0890" w14:textId="7BA43F1D" w:rsidR="00E129ED" w:rsidRDefault="00E129ED" w:rsidP="001873FB">
            <w:pPr>
              <w:widowControl w:val="0"/>
              <w:spacing w:line="240" w:lineRule="auto"/>
              <w:ind w:left="-20"/>
              <w:jc w:val="center"/>
              <w:rPr>
                <w:sz w:val="20"/>
                <w:szCs w:val="20"/>
              </w:rPr>
            </w:pPr>
            <w:r>
              <w:rPr>
                <w:sz w:val="20"/>
                <w:szCs w:val="20"/>
              </w:rPr>
              <w:t>Information Used for Payment</w:t>
            </w:r>
          </w:p>
        </w:tc>
        <w:tc>
          <w:tcPr>
            <w:tcW w:w="2715" w:type="dxa"/>
            <w:shd w:val="clear" w:color="auto" w:fill="auto"/>
            <w:tcMar>
              <w:top w:w="100" w:type="dxa"/>
              <w:left w:w="100" w:type="dxa"/>
              <w:bottom w:w="100" w:type="dxa"/>
              <w:right w:w="100" w:type="dxa"/>
            </w:tcMar>
            <w:vAlign w:val="center"/>
          </w:tcPr>
          <w:p w14:paraId="3E176969" w14:textId="67163225" w:rsidR="00E129ED" w:rsidRDefault="00E129ED" w:rsidP="00E129ED">
            <w:pPr>
              <w:widowControl w:val="0"/>
              <w:spacing w:line="240" w:lineRule="auto"/>
              <w:jc w:val="center"/>
              <w:rPr>
                <w:sz w:val="20"/>
                <w:szCs w:val="20"/>
              </w:rPr>
            </w:pPr>
            <w:r>
              <w:rPr>
                <w:sz w:val="20"/>
                <w:szCs w:val="20"/>
              </w:rPr>
              <w:t>Diagnoses, one pharmacy   group, eligibility information</w:t>
            </w:r>
          </w:p>
        </w:tc>
        <w:tc>
          <w:tcPr>
            <w:tcW w:w="2750" w:type="dxa"/>
            <w:vAlign w:val="center"/>
          </w:tcPr>
          <w:p w14:paraId="112E8173" w14:textId="63B9FC2B" w:rsidR="00E129ED" w:rsidRDefault="00E129ED" w:rsidP="00E129ED">
            <w:pPr>
              <w:widowControl w:val="0"/>
              <w:spacing w:line="240" w:lineRule="auto"/>
              <w:jc w:val="center"/>
              <w:rPr>
                <w:sz w:val="20"/>
                <w:szCs w:val="20"/>
              </w:rPr>
            </w:pPr>
            <w:r>
              <w:rPr>
                <w:sz w:val="20"/>
                <w:szCs w:val="20"/>
              </w:rPr>
              <w:t>Diagnoses, eligibility information, census block demographics, SDOH</w:t>
            </w:r>
          </w:p>
        </w:tc>
        <w:tc>
          <w:tcPr>
            <w:tcW w:w="2580" w:type="dxa"/>
            <w:shd w:val="clear" w:color="auto" w:fill="auto"/>
            <w:tcMar>
              <w:top w:w="100" w:type="dxa"/>
              <w:left w:w="100" w:type="dxa"/>
              <w:bottom w:w="100" w:type="dxa"/>
              <w:right w:w="100" w:type="dxa"/>
            </w:tcMar>
            <w:vAlign w:val="center"/>
          </w:tcPr>
          <w:p w14:paraId="2333A69B" w14:textId="598EA3F6" w:rsidR="00E129ED" w:rsidRDefault="00E129ED" w:rsidP="001873FB">
            <w:pPr>
              <w:widowControl w:val="0"/>
              <w:spacing w:line="240" w:lineRule="auto"/>
              <w:jc w:val="center"/>
              <w:rPr>
                <w:sz w:val="20"/>
                <w:szCs w:val="20"/>
              </w:rPr>
            </w:pPr>
            <w:r>
              <w:rPr>
                <w:sz w:val="20"/>
                <w:szCs w:val="20"/>
              </w:rPr>
              <w:t>DRGs, pharmacy groups, eligibility information,</w:t>
            </w:r>
          </w:p>
          <w:p w14:paraId="0F8B4A66" w14:textId="77777777" w:rsidR="00E129ED" w:rsidRDefault="00E129ED" w:rsidP="00E129ED">
            <w:pPr>
              <w:widowControl w:val="0"/>
              <w:spacing w:line="240" w:lineRule="auto"/>
              <w:ind w:left="-260"/>
              <w:jc w:val="center"/>
              <w:rPr>
                <w:b/>
              </w:rPr>
            </w:pPr>
            <w:r>
              <w:rPr>
                <w:sz w:val="20"/>
                <w:szCs w:val="20"/>
              </w:rPr>
              <w:t>facility type information</w:t>
            </w:r>
          </w:p>
        </w:tc>
        <w:tc>
          <w:tcPr>
            <w:tcW w:w="3315" w:type="dxa"/>
            <w:shd w:val="clear" w:color="auto" w:fill="auto"/>
            <w:tcMar>
              <w:top w:w="100" w:type="dxa"/>
              <w:left w:w="100" w:type="dxa"/>
              <w:bottom w:w="100" w:type="dxa"/>
              <w:right w:w="100" w:type="dxa"/>
            </w:tcMar>
            <w:vAlign w:val="center"/>
          </w:tcPr>
          <w:p w14:paraId="5CE38B5E" w14:textId="5034EB22" w:rsidR="00E129ED" w:rsidRDefault="00E129ED" w:rsidP="00E129ED">
            <w:pPr>
              <w:widowControl w:val="0"/>
              <w:spacing w:line="240" w:lineRule="auto"/>
              <w:ind w:left="-260"/>
              <w:jc w:val="center"/>
              <w:rPr>
                <w:sz w:val="20"/>
                <w:szCs w:val="20"/>
              </w:rPr>
            </w:pPr>
            <w:r>
              <w:rPr>
                <w:sz w:val="20"/>
                <w:szCs w:val="20"/>
              </w:rPr>
              <w:t>RBRVS fees, DRGs, facility</w:t>
            </w:r>
          </w:p>
          <w:p w14:paraId="20668611" w14:textId="192D5E3B" w:rsidR="00E129ED" w:rsidRDefault="00E129ED" w:rsidP="00E129ED">
            <w:pPr>
              <w:widowControl w:val="0"/>
              <w:spacing w:line="240" w:lineRule="auto"/>
              <w:ind w:left="-260"/>
              <w:jc w:val="center"/>
              <w:rPr>
                <w:sz w:val="20"/>
                <w:szCs w:val="20"/>
              </w:rPr>
            </w:pPr>
            <w:r>
              <w:rPr>
                <w:sz w:val="20"/>
                <w:szCs w:val="20"/>
              </w:rPr>
              <w:t>type information</w:t>
            </w:r>
          </w:p>
        </w:tc>
      </w:tr>
      <w:tr w:rsidR="00E129ED" w14:paraId="4E19C0B6" w14:textId="77777777" w:rsidTr="001873FB">
        <w:trPr>
          <w:trHeight w:val="421"/>
          <w:jc w:val="center"/>
        </w:trPr>
        <w:tc>
          <w:tcPr>
            <w:tcW w:w="2175" w:type="dxa"/>
            <w:shd w:val="clear" w:color="auto" w:fill="auto"/>
            <w:tcMar>
              <w:top w:w="100" w:type="dxa"/>
              <w:left w:w="100" w:type="dxa"/>
              <w:bottom w:w="100" w:type="dxa"/>
              <w:right w:w="100" w:type="dxa"/>
            </w:tcMar>
            <w:vAlign w:val="center"/>
          </w:tcPr>
          <w:p w14:paraId="52ACE0D7" w14:textId="7C84BFF7" w:rsidR="00E129ED" w:rsidRDefault="00E129ED" w:rsidP="001873FB">
            <w:pPr>
              <w:widowControl w:val="0"/>
              <w:spacing w:line="240" w:lineRule="auto"/>
              <w:ind w:left="-20"/>
              <w:jc w:val="center"/>
              <w:rPr>
                <w:sz w:val="20"/>
                <w:szCs w:val="20"/>
              </w:rPr>
            </w:pPr>
            <w:r>
              <w:rPr>
                <w:sz w:val="20"/>
                <w:szCs w:val="20"/>
              </w:rPr>
              <w:t>Premium</w:t>
            </w:r>
          </w:p>
          <w:p w14:paraId="4D3A8CFE" w14:textId="77777777" w:rsidR="00E129ED" w:rsidRDefault="00E129ED" w:rsidP="001873FB">
            <w:pPr>
              <w:widowControl w:val="0"/>
              <w:spacing w:line="240" w:lineRule="auto"/>
              <w:ind w:left="-20"/>
              <w:jc w:val="center"/>
              <w:rPr>
                <w:sz w:val="20"/>
                <w:szCs w:val="20"/>
              </w:rPr>
            </w:pPr>
            <w:r>
              <w:rPr>
                <w:sz w:val="20"/>
                <w:szCs w:val="20"/>
              </w:rPr>
              <w:t>Determination</w:t>
            </w:r>
          </w:p>
        </w:tc>
        <w:tc>
          <w:tcPr>
            <w:tcW w:w="2715" w:type="dxa"/>
            <w:shd w:val="clear" w:color="auto" w:fill="auto"/>
            <w:tcMar>
              <w:top w:w="100" w:type="dxa"/>
              <w:left w:w="100" w:type="dxa"/>
              <w:bottom w:w="100" w:type="dxa"/>
              <w:right w:w="100" w:type="dxa"/>
            </w:tcMar>
            <w:vAlign w:val="center"/>
          </w:tcPr>
          <w:p w14:paraId="5A3FD3E6" w14:textId="0BC57253" w:rsidR="00E129ED" w:rsidRDefault="00E129ED" w:rsidP="00E129ED">
            <w:pPr>
              <w:widowControl w:val="0"/>
              <w:spacing w:line="240" w:lineRule="auto"/>
              <w:ind w:left="-260"/>
              <w:jc w:val="center"/>
              <w:rPr>
                <w:sz w:val="20"/>
                <w:szCs w:val="20"/>
              </w:rPr>
            </w:pPr>
            <w:r>
              <w:rPr>
                <w:sz w:val="20"/>
                <w:szCs w:val="20"/>
              </w:rPr>
              <w:t>Competitive bidding,</w:t>
            </w:r>
          </w:p>
          <w:p w14:paraId="5DB10069" w14:textId="77777777" w:rsidR="00E129ED" w:rsidRDefault="00E129ED" w:rsidP="00E129ED">
            <w:pPr>
              <w:widowControl w:val="0"/>
              <w:spacing w:line="240" w:lineRule="auto"/>
              <w:ind w:left="-260"/>
              <w:jc w:val="center"/>
              <w:rPr>
                <w:sz w:val="20"/>
                <w:szCs w:val="20"/>
              </w:rPr>
            </w:pPr>
            <w:r>
              <w:rPr>
                <w:sz w:val="20"/>
                <w:szCs w:val="20"/>
              </w:rPr>
              <w:t>Income-based</w:t>
            </w:r>
          </w:p>
        </w:tc>
        <w:tc>
          <w:tcPr>
            <w:tcW w:w="2750" w:type="dxa"/>
            <w:vAlign w:val="center"/>
          </w:tcPr>
          <w:p w14:paraId="7C0A9EEC" w14:textId="4415850A" w:rsidR="00E129ED" w:rsidRDefault="00E129ED" w:rsidP="00E129ED">
            <w:pPr>
              <w:widowControl w:val="0"/>
              <w:spacing w:line="240" w:lineRule="auto"/>
              <w:ind w:left="-260"/>
              <w:jc w:val="center"/>
              <w:rPr>
                <w:sz w:val="20"/>
                <w:szCs w:val="20"/>
              </w:rPr>
            </w:pPr>
            <w:r>
              <w:rPr>
                <w:sz w:val="20"/>
                <w:szCs w:val="20"/>
              </w:rPr>
              <w:t>No consumer premium</w:t>
            </w:r>
          </w:p>
        </w:tc>
        <w:tc>
          <w:tcPr>
            <w:tcW w:w="2580" w:type="dxa"/>
            <w:vAlign w:val="center"/>
          </w:tcPr>
          <w:p w14:paraId="6A699E86" w14:textId="4028E5F4" w:rsidR="00E129ED" w:rsidRDefault="00E129ED" w:rsidP="00E129ED">
            <w:pPr>
              <w:widowControl w:val="0"/>
              <w:spacing w:line="240" w:lineRule="auto"/>
              <w:ind w:left="-260"/>
              <w:jc w:val="center"/>
              <w:rPr>
                <w:sz w:val="20"/>
                <w:szCs w:val="20"/>
              </w:rPr>
            </w:pPr>
            <w:r>
              <w:rPr>
                <w:sz w:val="20"/>
                <w:szCs w:val="20"/>
              </w:rPr>
              <w:t>Competitive bidding</w:t>
            </w:r>
          </w:p>
        </w:tc>
        <w:tc>
          <w:tcPr>
            <w:tcW w:w="3315" w:type="dxa"/>
            <w:shd w:val="clear" w:color="auto" w:fill="auto"/>
            <w:tcMar>
              <w:top w:w="100" w:type="dxa"/>
              <w:left w:w="100" w:type="dxa"/>
              <w:bottom w:w="100" w:type="dxa"/>
              <w:right w:w="100" w:type="dxa"/>
            </w:tcMar>
            <w:vAlign w:val="center"/>
          </w:tcPr>
          <w:p w14:paraId="44D58345" w14:textId="77777777" w:rsidR="00E129ED" w:rsidRDefault="00E129ED" w:rsidP="00E129ED">
            <w:pPr>
              <w:widowControl w:val="0"/>
              <w:spacing w:line="240" w:lineRule="auto"/>
              <w:ind w:left="-260"/>
              <w:jc w:val="center"/>
              <w:rPr>
                <w:sz w:val="20"/>
                <w:szCs w:val="20"/>
              </w:rPr>
            </w:pPr>
            <w:r>
              <w:rPr>
                <w:sz w:val="20"/>
                <w:szCs w:val="20"/>
              </w:rPr>
              <w:t>Uniform national schedule</w:t>
            </w:r>
          </w:p>
        </w:tc>
      </w:tr>
      <w:tr w:rsidR="00E129ED" w14:paraId="2CE31290" w14:textId="77777777" w:rsidTr="001873FB">
        <w:trPr>
          <w:trHeight w:val="609"/>
          <w:jc w:val="center"/>
        </w:trPr>
        <w:tc>
          <w:tcPr>
            <w:tcW w:w="2175" w:type="dxa"/>
            <w:shd w:val="clear" w:color="auto" w:fill="auto"/>
            <w:tcMar>
              <w:top w:w="100" w:type="dxa"/>
              <w:left w:w="100" w:type="dxa"/>
              <w:bottom w:w="100" w:type="dxa"/>
              <w:right w:w="100" w:type="dxa"/>
            </w:tcMar>
            <w:vAlign w:val="center"/>
          </w:tcPr>
          <w:p w14:paraId="4D02ED5E" w14:textId="77777777" w:rsidR="00E129ED" w:rsidRDefault="00E129ED" w:rsidP="001873FB">
            <w:pPr>
              <w:widowControl w:val="0"/>
              <w:spacing w:line="240" w:lineRule="auto"/>
              <w:ind w:left="-20"/>
              <w:jc w:val="center"/>
              <w:rPr>
                <w:sz w:val="20"/>
                <w:szCs w:val="20"/>
              </w:rPr>
            </w:pPr>
            <w:r>
              <w:rPr>
                <w:sz w:val="20"/>
                <w:szCs w:val="20"/>
              </w:rPr>
              <w:t>Governing Body/</w:t>
            </w:r>
          </w:p>
          <w:p w14:paraId="04591488" w14:textId="77777777" w:rsidR="00E129ED" w:rsidRDefault="00E129ED" w:rsidP="001873FB">
            <w:pPr>
              <w:widowControl w:val="0"/>
              <w:spacing w:line="240" w:lineRule="auto"/>
              <w:ind w:left="-20"/>
              <w:jc w:val="center"/>
              <w:rPr>
                <w:sz w:val="20"/>
                <w:szCs w:val="20"/>
              </w:rPr>
            </w:pPr>
            <w:r>
              <w:rPr>
                <w:sz w:val="20"/>
                <w:szCs w:val="20"/>
              </w:rPr>
              <w:t>Source of Subsidies</w:t>
            </w:r>
          </w:p>
        </w:tc>
        <w:tc>
          <w:tcPr>
            <w:tcW w:w="2715" w:type="dxa"/>
            <w:shd w:val="clear" w:color="auto" w:fill="auto"/>
            <w:tcMar>
              <w:top w:w="100" w:type="dxa"/>
              <w:left w:w="100" w:type="dxa"/>
              <w:bottom w:w="100" w:type="dxa"/>
              <w:right w:w="100" w:type="dxa"/>
            </w:tcMar>
            <w:vAlign w:val="center"/>
          </w:tcPr>
          <w:p w14:paraId="68754FAA" w14:textId="30BF9CEA" w:rsidR="00E129ED" w:rsidRDefault="00E129ED" w:rsidP="00E129ED">
            <w:pPr>
              <w:widowControl w:val="0"/>
              <w:spacing w:line="240" w:lineRule="auto"/>
              <w:ind w:left="-260"/>
              <w:jc w:val="center"/>
              <w:rPr>
                <w:sz w:val="20"/>
                <w:szCs w:val="20"/>
              </w:rPr>
            </w:pPr>
            <w:r>
              <w:rPr>
                <w:sz w:val="20"/>
                <w:szCs w:val="20"/>
              </w:rPr>
              <w:t>Federal/state plans</w:t>
            </w:r>
          </w:p>
        </w:tc>
        <w:tc>
          <w:tcPr>
            <w:tcW w:w="2750" w:type="dxa"/>
            <w:vAlign w:val="center"/>
          </w:tcPr>
          <w:p w14:paraId="475E766B" w14:textId="4AF21278" w:rsidR="00E129ED" w:rsidRDefault="00E129ED" w:rsidP="00E129ED">
            <w:pPr>
              <w:widowControl w:val="0"/>
              <w:spacing w:line="240" w:lineRule="auto"/>
              <w:ind w:left="-260"/>
              <w:jc w:val="center"/>
              <w:rPr>
                <w:sz w:val="20"/>
                <w:szCs w:val="20"/>
              </w:rPr>
            </w:pPr>
            <w:r>
              <w:rPr>
                <w:sz w:val="20"/>
                <w:szCs w:val="20"/>
              </w:rPr>
              <w:t>State plans with federal subsidies</w:t>
            </w:r>
          </w:p>
        </w:tc>
        <w:tc>
          <w:tcPr>
            <w:tcW w:w="2580" w:type="dxa"/>
            <w:vAlign w:val="center"/>
          </w:tcPr>
          <w:p w14:paraId="777E17AD" w14:textId="41F390C7" w:rsidR="00E129ED" w:rsidRDefault="00E129ED" w:rsidP="001873FB">
            <w:pPr>
              <w:widowControl w:val="0"/>
              <w:spacing w:line="240" w:lineRule="auto"/>
              <w:ind w:left="-100"/>
              <w:jc w:val="center"/>
              <w:rPr>
                <w:sz w:val="20"/>
                <w:szCs w:val="20"/>
              </w:rPr>
            </w:pPr>
            <w:r>
              <w:rPr>
                <w:sz w:val="20"/>
                <w:szCs w:val="20"/>
              </w:rPr>
              <w:t>Medicare (some Medicaid)</w:t>
            </w:r>
          </w:p>
        </w:tc>
        <w:tc>
          <w:tcPr>
            <w:tcW w:w="3315" w:type="dxa"/>
            <w:shd w:val="clear" w:color="auto" w:fill="auto"/>
            <w:tcMar>
              <w:top w:w="100" w:type="dxa"/>
              <w:left w:w="100" w:type="dxa"/>
              <w:bottom w:w="100" w:type="dxa"/>
              <w:right w:w="100" w:type="dxa"/>
            </w:tcMar>
            <w:vAlign w:val="center"/>
          </w:tcPr>
          <w:p w14:paraId="5283FF39" w14:textId="77777777" w:rsidR="00E129ED" w:rsidRDefault="00E129ED" w:rsidP="00E129ED">
            <w:pPr>
              <w:widowControl w:val="0"/>
              <w:spacing w:line="240" w:lineRule="auto"/>
              <w:ind w:left="-260"/>
              <w:jc w:val="center"/>
              <w:rPr>
                <w:sz w:val="20"/>
                <w:szCs w:val="20"/>
              </w:rPr>
            </w:pPr>
            <w:r>
              <w:rPr>
                <w:sz w:val="20"/>
                <w:szCs w:val="20"/>
              </w:rPr>
              <w:t>Medicare</w:t>
            </w:r>
          </w:p>
        </w:tc>
      </w:tr>
      <w:tr w:rsidR="00E129ED" w14:paraId="483497C0" w14:textId="77777777" w:rsidTr="001873FB">
        <w:trPr>
          <w:trHeight w:val="400"/>
          <w:jc w:val="center"/>
        </w:trPr>
        <w:tc>
          <w:tcPr>
            <w:tcW w:w="2175" w:type="dxa"/>
            <w:shd w:val="clear" w:color="auto" w:fill="auto"/>
            <w:tcMar>
              <w:top w:w="100" w:type="dxa"/>
              <w:left w:w="100" w:type="dxa"/>
              <w:bottom w:w="100" w:type="dxa"/>
              <w:right w:w="100" w:type="dxa"/>
            </w:tcMar>
            <w:vAlign w:val="center"/>
          </w:tcPr>
          <w:p w14:paraId="1E4BE486" w14:textId="77777777" w:rsidR="00E129ED" w:rsidRDefault="00E129ED" w:rsidP="001873FB">
            <w:pPr>
              <w:widowControl w:val="0"/>
              <w:spacing w:line="240" w:lineRule="auto"/>
              <w:ind w:left="-20"/>
              <w:jc w:val="center"/>
              <w:rPr>
                <w:sz w:val="20"/>
                <w:szCs w:val="20"/>
              </w:rPr>
            </w:pPr>
            <w:r>
              <w:rPr>
                <w:sz w:val="20"/>
                <w:szCs w:val="20"/>
              </w:rPr>
              <w:t>Risk Equalization Formula</w:t>
            </w:r>
          </w:p>
        </w:tc>
        <w:tc>
          <w:tcPr>
            <w:tcW w:w="2715" w:type="dxa"/>
            <w:shd w:val="clear" w:color="auto" w:fill="auto"/>
            <w:tcMar>
              <w:top w:w="100" w:type="dxa"/>
              <w:left w:w="100" w:type="dxa"/>
              <w:bottom w:w="100" w:type="dxa"/>
              <w:right w:w="100" w:type="dxa"/>
            </w:tcMar>
            <w:vAlign w:val="center"/>
          </w:tcPr>
          <w:p w14:paraId="608AA3B9" w14:textId="77777777" w:rsidR="00E129ED" w:rsidRDefault="00E129ED" w:rsidP="00E129ED">
            <w:pPr>
              <w:widowControl w:val="0"/>
              <w:spacing w:line="240" w:lineRule="auto"/>
              <w:ind w:left="-260"/>
              <w:jc w:val="center"/>
              <w:rPr>
                <w:i/>
                <w:sz w:val="20"/>
                <w:szCs w:val="20"/>
              </w:rPr>
            </w:pPr>
            <w:r>
              <w:rPr>
                <w:i/>
                <w:sz w:val="20"/>
                <w:szCs w:val="20"/>
              </w:rPr>
              <w:t>Ex-post,</w:t>
            </w:r>
          </w:p>
          <w:p w14:paraId="41B7CF24" w14:textId="77777777" w:rsidR="00E129ED" w:rsidRDefault="00E129ED" w:rsidP="00E129ED">
            <w:pPr>
              <w:widowControl w:val="0"/>
              <w:spacing w:line="240" w:lineRule="auto"/>
              <w:ind w:left="-260"/>
              <w:jc w:val="center"/>
              <w:rPr>
                <w:sz w:val="20"/>
                <w:szCs w:val="20"/>
              </w:rPr>
            </w:pPr>
            <w:r>
              <w:rPr>
                <w:sz w:val="20"/>
                <w:szCs w:val="20"/>
              </w:rPr>
              <w:t>zero sum game</w:t>
            </w:r>
          </w:p>
        </w:tc>
        <w:tc>
          <w:tcPr>
            <w:tcW w:w="2750" w:type="dxa"/>
            <w:vAlign w:val="center"/>
          </w:tcPr>
          <w:p w14:paraId="755F7026" w14:textId="77777777" w:rsidR="00E129ED" w:rsidRDefault="00E129ED" w:rsidP="00E129ED">
            <w:pPr>
              <w:widowControl w:val="0"/>
              <w:spacing w:line="240" w:lineRule="auto"/>
              <w:ind w:left="-260"/>
              <w:jc w:val="center"/>
              <w:rPr>
                <w:i/>
                <w:sz w:val="20"/>
                <w:szCs w:val="20"/>
              </w:rPr>
            </w:pPr>
            <w:r>
              <w:rPr>
                <w:i/>
                <w:sz w:val="20"/>
                <w:szCs w:val="20"/>
              </w:rPr>
              <w:t>Ex-post,</w:t>
            </w:r>
          </w:p>
          <w:p w14:paraId="0F526E18" w14:textId="695E4CCD" w:rsidR="00E129ED" w:rsidRDefault="00E129ED" w:rsidP="00E129ED">
            <w:pPr>
              <w:widowControl w:val="0"/>
              <w:spacing w:line="240" w:lineRule="auto"/>
              <w:ind w:left="-260"/>
              <w:jc w:val="center"/>
              <w:rPr>
                <w:i/>
                <w:sz w:val="20"/>
                <w:szCs w:val="20"/>
              </w:rPr>
            </w:pPr>
            <w:r>
              <w:rPr>
                <w:sz w:val="20"/>
                <w:szCs w:val="20"/>
              </w:rPr>
              <w:t>zero sum game</w:t>
            </w:r>
          </w:p>
        </w:tc>
        <w:tc>
          <w:tcPr>
            <w:tcW w:w="2580" w:type="dxa"/>
            <w:vAlign w:val="center"/>
          </w:tcPr>
          <w:p w14:paraId="4392773D" w14:textId="0DF1C655" w:rsidR="00E129ED" w:rsidRDefault="00E129ED" w:rsidP="00E129ED">
            <w:pPr>
              <w:widowControl w:val="0"/>
              <w:spacing w:line="240" w:lineRule="auto"/>
              <w:ind w:left="-260"/>
              <w:jc w:val="center"/>
              <w:rPr>
                <w:i/>
                <w:sz w:val="20"/>
                <w:szCs w:val="20"/>
              </w:rPr>
            </w:pPr>
            <w:r>
              <w:rPr>
                <w:i/>
                <w:sz w:val="20"/>
                <w:szCs w:val="20"/>
              </w:rPr>
              <w:t>Ex-ante</w:t>
            </w:r>
          </w:p>
        </w:tc>
        <w:tc>
          <w:tcPr>
            <w:tcW w:w="3315" w:type="dxa"/>
            <w:shd w:val="clear" w:color="auto" w:fill="auto"/>
            <w:tcMar>
              <w:top w:w="100" w:type="dxa"/>
              <w:left w:w="100" w:type="dxa"/>
              <w:bottom w:w="100" w:type="dxa"/>
              <w:right w:w="100" w:type="dxa"/>
            </w:tcMar>
            <w:vAlign w:val="center"/>
          </w:tcPr>
          <w:p w14:paraId="63E44B96" w14:textId="77777777" w:rsidR="00E129ED" w:rsidRDefault="00E129ED" w:rsidP="00E129ED">
            <w:pPr>
              <w:widowControl w:val="0"/>
              <w:spacing w:line="240" w:lineRule="auto"/>
              <w:ind w:left="-260"/>
              <w:jc w:val="center"/>
              <w:rPr>
                <w:sz w:val="20"/>
                <w:szCs w:val="20"/>
              </w:rPr>
            </w:pPr>
            <w:r>
              <w:rPr>
                <w:sz w:val="20"/>
                <w:szCs w:val="20"/>
              </w:rPr>
              <w:t>None</w:t>
            </w:r>
          </w:p>
        </w:tc>
      </w:tr>
    </w:tbl>
    <w:p w14:paraId="24AE8DEC" w14:textId="7D746870" w:rsidR="00ED6425" w:rsidRDefault="00AD437C">
      <w:pPr>
        <w:spacing w:before="240" w:after="240" w:line="240" w:lineRule="auto"/>
      </w:pPr>
      <w:r>
        <w:rPr>
          <w:i/>
        </w:rPr>
        <w:t xml:space="preserve">Table Notes: </w:t>
      </w:r>
      <w:r>
        <w:t xml:space="preserve">Table summarizes features of four </w:t>
      </w:r>
      <w:proofErr w:type="gramStart"/>
      <w:r>
        <w:t>publicly-funded</w:t>
      </w:r>
      <w:proofErr w:type="gramEnd"/>
      <w:r>
        <w:t xml:space="preserve"> or publicly-subsidized coverage paths available in the United States, each of which could be a viable model for expanding access to managed competition. All rows are based on 2021 data. Column 3 </w:t>
      </w:r>
      <w:r>
        <w:lastRenderedPageBreak/>
        <w:t xml:space="preserve">presents information only for a single state’s Medicaid MCO structure (Massachusetts), due to high variability across states. </w:t>
      </w:r>
      <w:r>
        <w:rPr>
          <w:i/>
        </w:rPr>
        <w:t>Sources</w:t>
      </w:r>
      <w:r>
        <w:t xml:space="preserve">: (column 2) MEDPAC 2021; KFF 2021b (column </w:t>
      </w:r>
      <w:r w:rsidR="00373492">
        <w:t>3</w:t>
      </w:r>
      <w:r>
        <w:t xml:space="preserve">) CMS 2021; KFF 2022; </w:t>
      </w:r>
      <w:r w:rsidR="00373492">
        <w:t xml:space="preserve">(column 4) </w:t>
      </w:r>
      <w:proofErr w:type="spellStart"/>
      <w:r w:rsidR="00373492">
        <w:t>Kauter</w:t>
      </w:r>
      <w:proofErr w:type="spellEnd"/>
      <w:r w:rsidR="00373492">
        <w:t xml:space="preserve"> et al., 2014; Mike and Yilmaz, 2021; </w:t>
      </w:r>
      <w:r>
        <w:t>(column 5). Ash et al., 2017; KFF 2019b.</w:t>
      </w:r>
    </w:p>
    <w:p w14:paraId="57876329" w14:textId="1BB04D59" w:rsidR="00ED6425" w:rsidRDefault="00AD437C">
      <w:pPr>
        <w:spacing w:before="240" w:after="240" w:line="240" w:lineRule="auto"/>
        <w:rPr>
          <w:sz w:val="24"/>
          <w:szCs w:val="24"/>
        </w:rPr>
        <w:sectPr w:rsidR="00ED6425">
          <w:pgSz w:w="15840" w:h="12240" w:orient="landscape"/>
          <w:pgMar w:top="1440" w:right="1440" w:bottom="1440" w:left="1440" w:header="720" w:footer="720" w:gutter="0"/>
          <w:cols w:space="720"/>
        </w:sectPr>
      </w:pPr>
      <w:r>
        <w:rPr>
          <w:i/>
        </w:rPr>
        <w:t>Abbreviations</w:t>
      </w:r>
      <w:r>
        <w:t>: CMS-HCC = Center for Medicare Services: Hierarchical Conditions Categories; DRG = Diagnosis Related Groups; ESI = Employer-sponsored insurance; FFS = Fee for Service; HHS-HCC = Department of Health and Human Services: Hierarchical Conditions Categories; MAC = Medicare Administrative Contractor; RBRVS = Resource-based relative value scale; SDOH = Social determinants of health</w:t>
      </w:r>
      <w:r w:rsidR="00F30F35">
        <w:t xml:space="preserve">; DxCG = the DxCG risk adjustment software </w:t>
      </w:r>
      <w:r w:rsidR="00F30F35" w:rsidRPr="00F30F35">
        <w:t>developed by researchers at Verisk Health, Inc. (formerly DxCG Inc.).</w:t>
      </w:r>
    </w:p>
    <w:p w14:paraId="7FF40038" w14:textId="45092701" w:rsidR="00ED6425" w:rsidRPr="009E43F2" w:rsidRDefault="00AD437C">
      <w:pPr>
        <w:spacing w:line="360" w:lineRule="auto"/>
        <w:ind w:firstLine="720"/>
        <w:rPr>
          <w:sz w:val="24"/>
          <w:szCs w:val="24"/>
        </w:rPr>
      </w:pPr>
      <w:r w:rsidRPr="009E43F2">
        <w:rPr>
          <w:sz w:val="24"/>
          <w:szCs w:val="24"/>
        </w:rPr>
        <w:lastRenderedPageBreak/>
        <w:t xml:space="preserve">The ACA did not create a single </w:t>
      </w:r>
      <w:r w:rsidR="0066607E" w:rsidRPr="009E43F2">
        <w:rPr>
          <w:sz w:val="24"/>
          <w:szCs w:val="24"/>
        </w:rPr>
        <w:t>marketplace but</w:t>
      </w:r>
      <w:r w:rsidRPr="009E43F2">
        <w:rPr>
          <w:sz w:val="24"/>
          <w:szCs w:val="24"/>
        </w:rPr>
        <w:t xml:space="preserve"> </w:t>
      </w:r>
      <w:r w:rsidR="00682C15" w:rsidRPr="009E43F2">
        <w:rPr>
          <w:sz w:val="24"/>
          <w:szCs w:val="24"/>
        </w:rPr>
        <w:t>created</w:t>
      </w:r>
      <w:r w:rsidRPr="009E43F2">
        <w:rPr>
          <w:sz w:val="24"/>
          <w:szCs w:val="24"/>
        </w:rPr>
        <w:t xml:space="preserve"> state-specific marketplaces.</w:t>
      </w:r>
      <w:r w:rsidRPr="009E43F2">
        <w:rPr>
          <w:sz w:val="24"/>
          <w:szCs w:val="24"/>
          <w:vertAlign w:val="superscript"/>
        </w:rPr>
        <w:footnoteReference w:id="3"/>
      </w:r>
      <w:r w:rsidRPr="009E43F2">
        <w:rPr>
          <w:sz w:val="24"/>
          <w:szCs w:val="24"/>
        </w:rPr>
        <w:t xml:space="preserve"> This restriction, which limits plans to competing in each state separately, perpetuates the widespread problem of insurance portability across states and inherently limits competition. </w:t>
      </w:r>
      <w:r w:rsidR="00AB2E60">
        <w:rPr>
          <w:sz w:val="24"/>
          <w:szCs w:val="24"/>
        </w:rPr>
        <w:t>Plus, many states are too small</w:t>
      </w:r>
      <w:r w:rsidR="00E44A4B">
        <w:rPr>
          <w:sz w:val="24"/>
          <w:szCs w:val="24"/>
        </w:rPr>
        <w:t>:</w:t>
      </w:r>
      <w:r w:rsidR="00AB2E60">
        <w:rPr>
          <w:sz w:val="24"/>
          <w:szCs w:val="24"/>
        </w:rPr>
        <w:t xml:space="preserve"> Wyoming ha</w:t>
      </w:r>
      <w:r w:rsidR="00E44A4B">
        <w:rPr>
          <w:sz w:val="24"/>
          <w:szCs w:val="24"/>
        </w:rPr>
        <w:t>s</w:t>
      </w:r>
      <w:r w:rsidR="00AB2E60">
        <w:rPr>
          <w:sz w:val="24"/>
          <w:szCs w:val="24"/>
        </w:rPr>
        <w:t xml:space="preserve"> </w:t>
      </w:r>
      <w:r w:rsidR="00E44A4B">
        <w:rPr>
          <w:sz w:val="24"/>
          <w:szCs w:val="24"/>
        </w:rPr>
        <w:t>less than</w:t>
      </w:r>
      <w:r w:rsidR="00AB2E60">
        <w:rPr>
          <w:sz w:val="24"/>
          <w:szCs w:val="24"/>
        </w:rPr>
        <w:t xml:space="preserve"> </w:t>
      </w:r>
      <w:r w:rsidR="00E44A4B">
        <w:rPr>
          <w:sz w:val="24"/>
          <w:szCs w:val="24"/>
        </w:rPr>
        <w:t xml:space="preserve">35,000 Marketplace enrollees split between two insurers. </w:t>
      </w:r>
      <w:r w:rsidRPr="009E43F2">
        <w:rPr>
          <w:sz w:val="24"/>
          <w:szCs w:val="24"/>
        </w:rPr>
        <w:t xml:space="preserve">The average number of insurance plans available on the Marketplaces is five, ranging from thirteen options in Wisconsin to only a single plan in Delaware (KFF 2022). There is evidence that increasing the number of insurers offering plans on a given Marketplace is associated with lower consumer premiums and overall costs (Van Parys 2018; Dafny, Gruber, and </w:t>
      </w:r>
      <w:proofErr w:type="spellStart"/>
      <w:r w:rsidRPr="009E43F2">
        <w:rPr>
          <w:sz w:val="24"/>
          <w:szCs w:val="24"/>
        </w:rPr>
        <w:t>Ody</w:t>
      </w:r>
      <w:proofErr w:type="spellEnd"/>
      <w:r w:rsidRPr="009E43F2">
        <w:rPr>
          <w:sz w:val="24"/>
          <w:szCs w:val="24"/>
        </w:rPr>
        <w:t xml:space="preserve">, 2015); hence, harmonizing Marketplaces by allowing national competition may both incentivize competition and reduce geographic disparities in healthcare costs and access. </w:t>
      </w:r>
      <w:r w:rsidR="00814259" w:rsidRPr="009E43F2">
        <w:rPr>
          <w:sz w:val="24"/>
          <w:szCs w:val="24"/>
        </w:rPr>
        <w:t xml:space="preserve">It was unexpected when the Marketplace was introduced that the direct purchase of individual policies without ACA </w:t>
      </w:r>
      <w:r w:rsidR="0066607E" w:rsidRPr="009E43F2">
        <w:rPr>
          <w:sz w:val="24"/>
          <w:szCs w:val="24"/>
        </w:rPr>
        <w:t>subsidies</w:t>
      </w:r>
      <w:r w:rsidR="00082EA8">
        <w:rPr>
          <w:sz w:val="24"/>
          <w:szCs w:val="24"/>
        </w:rPr>
        <w:t xml:space="preserve"> would be </w:t>
      </w:r>
      <w:r w:rsidR="00814259" w:rsidRPr="009E43F2">
        <w:rPr>
          <w:sz w:val="24"/>
          <w:szCs w:val="24"/>
        </w:rPr>
        <w:t>substantial</w:t>
      </w:r>
      <w:r w:rsidR="00082EA8">
        <w:rPr>
          <w:sz w:val="24"/>
          <w:szCs w:val="24"/>
        </w:rPr>
        <w:t xml:space="preserve">; now these purchases represent </w:t>
      </w:r>
      <w:r w:rsidR="00814259" w:rsidRPr="009E43F2">
        <w:rPr>
          <w:sz w:val="24"/>
          <w:szCs w:val="24"/>
        </w:rPr>
        <w:t>nearly as many individuals as the Marketplace</w:t>
      </w:r>
      <w:r w:rsidR="00082EA8">
        <w:rPr>
          <w:sz w:val="24"/>
          <w:szCs w:val="24"/>
        </w:rPr>
        <w:t xml:space="preserve"> subsidizes</w:t>
      </w:r>
      <w:r w:rsidR="00814259" w:rsidRPr="009E43F2">
        <w:rPr>
          <w:sz w:val="24"/>
          <w:szCs w:val="24"/>
        </w:rPr>
        <w:t xml:space="preserve">, particularly </w:t>
      </w:r>
      <w:r w:rsidR="00082EA8">
        <w:rPr>
          <w:sz w:val="24"/>
          <w:szCs w:val="24"/>
        </w:rPr>
        <w:t>among</w:t>
      </w:r>
      <w:r w:rsidR="00082EA8" w:rsidRPr="009E43F2">
        <w:rPr>
          <w:sz w:val="24"/>
          <w:szCs w:val="24"/>
        </w:rPr>
        <w:t xml:space="preserve"> </w:t>
      </w:r>
      <w:r w:rsidR="00814259" w:rsidRPr="009E43F2">
        <w:rPr>
          <w:sz w:val="24"/>
          <w:szCs w:val="24"/>
        </w:rPr>
        <w:t>younger adults (</w:t>
      </w:r>
      <w:r w:rsidR="00726948">
        <w:rPr>
          <w:sz w:val="24"/>
          <w:szCs w:val="24"/>
        </w:rPr>
        <w:t>Table</w:t>
      </w:r>
      <w:r w:rsidR="00726948" w:rsidRPr="009E43F2">
        <w:rPr>
          <w:sz w:val="24"/>
          <w:szCs w:val="24"/>
        </w:rPr>
        <w:t xml:space="preserve"> </w:t>
      </w:r>
      <w:r w:rsidR="00814259" w:rsidRPr="009E43F2">
        <w:rPr>
          <w:sz w:val="24"/>
          <w:szCs w:val="24"/>
        </w:rPr>
        <w:t>1).</w:t>
      </w:r>
    </w:p>
    <w:p w14:paraId="4EB96CDD" w14:textId="4B9F8A04" w:rsidR="00ED6425" w:rsidRPr="009E43F2" w:rsidRDefault="00AD437C">
      <w:pPr>
        <w:spacing w:line="360" w:lineRule="auto"/>
        <w:ind w:firstLine="720"/>
        <w:rPr>
          <w:sz w:val="24"/>
          <w:szCs w:val="24"/>
        </w:rPr>
      </w:pPr>
      <w:r w:rsidRPr="009E43F2">
        <w:rPr>
          <w:sz w:val="24"/>
          <w:szCs w:val="24"/>
        </w:rPr>
        <w:t>The success of insurer competition in segmented Marketplaces therefore relie</w:t>
      </w:r>
      <w:r w:rsidR="00814259" w:rsidRPr="009E43F2">
        <w:rPr>
          <w:sz w:val="24"/>
          <w:szCs w:val="24"/>
        </w:rPr>
        <w:t>d</w:t>
      </w:r>
      <w:r w:rsidRPr="009E43F2">
        <w:rPr>
          <w:sz w:val="24"/>
          <w:szCs w:val="24"/>
        </w:rPr>
        <w:t xml:space="preserve"> </w:t>
      </w:r>
      <w:r w:rsidR="00814259" w:rsidRPr="009E43F2">
        <w:rPr>
          <w:sz w:val="24"/>
          <w:szCs w:val="24"/>
        </w:rPr>
        <w:t xml:space="preserve">importantly </w:t>
      </w:r>
      <w:r w:rsidRPr="009E43F2">
        <w:rPr>
          <w:sz w:val="24"/>
          <w:szCs w:val="24"/>
        </w:rPr>
        <w:t xml:space="preserve">on incentivizing new entry of insurers into each </w:t>
      </w:r>
      <w:r w:rsidR="00814259" w:rsidRPr="009E43F2">
        <w:rPr>
          <w:sz w:val="24"/>
          <w:szCs w:val="24"/>
        </w:rPr>
        <w:t xml:space="preserve">state </w:t>
      </w:r>
      <w:r w:rsidRPr="009E43F2">
        <w:rPr>
          <w:sz w:val="24"/>
          <w:szCs w:val="24"/>
        </w:rPr>
        <w:t xml:space="preserve">market. </w:t>
      </w:r>
      <w:r w:rsidR="00814259" w:rsidRPr="009E43F2">
        <w:rPr>
          <w:sz w:val="24"/>
          <w:szCs w:val="24"/>
        </w:rPr>
        <w:t>Special risk sha</w:t>
      </w:r>
      <w:r w:rsidR="003A64A6">
        <w:rPr>
          <w:sz w:val="24"/>
          <w:szCs w:val="24"/>
        </w:rPr>
        <w:t>r</w:t>
      </w:r>
      <w:r w:rsidR="00814259" w:rsidRPr="009E43F2">
        <w:rPr>
          <w:sz w:val="24"/>
          <w:szCs w:val="24"/>
        </w:rPr>
        <w:t xml:space="preserve">ing and reinsurance programs were relied upon in the first five years to promote entry. </w:t>
      </w:r>
      <w:r w:rsidRPr="009E43F2">
        <w:rPr>
          <w:sz w:val="24"/>
          <w:szCs w:val="24"/>
        </w:rPr>
        <w:t xml:space="preserve">The Marketplace generated mixed results: many large insurers took heavy financial losses and exited the Marketplace, while smaller insurers earned profits and expanded their foothold (Garthwaite &amp; Graves, 2017). </w:t>
      </w:r>
      <w:r w:rsidR="00C115DC" w:rsidRPr="009E43F2">
        <w:rPr>
          <w:sz w:val="24"/>
          <w:szCs w:val="24"/>
        </w:rPr>
        <w:t xml:space="preserve">Narrow networks rather than </w:t>
      </w:r>
      <w:r w:rsidRPr="009E43F2">
        <w:rPr>
          <w:sz w:val="24"/>
          <w:szCs w:val="24"/>
        </w:rPr>
        <w:t xml:space="preserve">provider competition can be attributed to the structure of the Marketplace: many insurers found that their </w:t>
      </w:r>
      <w:r w:rsidR="00C115DC" w:rsidRPr="009E43F2">
        <w:rPr>
          <w:sz w:val="24"/>
          <w:szCs w:val="24"/>
        </w:rPr>
        <w:t xml:space="preserve">commercial plan broad </w:t>
      </w:r>
      <w:r w:rsidRPr="009E43F2">
        <w:rPr>
          <w:sz w:val="24"/>
          <w:szCs w:val="24"/>
        </w:rPr>
        <w:t xml:space="preserve">networks </w:t>
      </w:r>
      <w:r w:rsidR="00C115DC" w:rsidRPr="009E43F2">
        <w:rPr>
          <w:sz w:val="24"/>
          <w:szCs w:val="24"/>
        </w:rPr>
        <w:t xml:space="preserve">were unprofitable </w:t>
      </w:r>
      <w:r w:rsidRPr="009E43F2">
        <w:rPr>
          <w:sz w:val="24"/>
          <w:szCs w:val="24"/>
        </w:rPr>
        <w:t xml:space="preserve">in the </w:t>
      </w:r>
      <w:r w:rsidR="001C4633" w:rsidRPr="009E43F2">
        <w:rPr>
          <w:sz w:val="24"/>
          <w:szCs w:val="24"/>
        </w:rPr>
        <w:t>ACA Marketplace and</w:t>
      </w:r>
      <w:r w:rsidRPr="009E43F2">
        <w:rPr>
          <w:sz w:val="24"/>
          <w:szCs w:val="24"/>
        </w:rPr>
        <w:t xml:space="preserve"> found financial success only by limiting the</w:t>
      </w:r>
      <w:r w:rsidR="00C115DC" w:rsidRPr="009E43F2">
        <w:rPr>
          <w:sz w:val="24"/>
          <w:szCs w:val="24"/>
        </w:rPr>
        <w:t xml:space="preserve">ir provider </w:t>
      </w:r>
      <w:r w:rsidRPr="009E43F2">
        <w:rPr>
          <w:sz w:val="24"/>
          <w:szCs w:val="24"/>
        </w:rPr>
        <w:t xml:space="preserve">networks. In addition, in many commercial markets, large insurers </w:t>
      </w:r>
      <w:r w:rsidR="00FE62F6" w:rsidRPr="009E43F2">
        <w:rPr>
          <w:sz w:val="24"/>
          <w:szCs w:val="24"/>
        </w:rPr>
        <w:t xml:space="preserve">benefit from economies </w:t>
      </w:r>
      <w:r w:rsidRPr="009E43F2">
        <w:rPr>
          <w:sz w:val="24"/>
          <w:szCs w:val="24"/>
        </w:rPr>
        <w:t xml:space="preserve">on administrative </w:t>
      </w:r>
      <w:r w:rsidR="00FE62F6" w:rsidRPr="009E43F2">
        <w:rPr>
          <w:sz w:val="24"/>
          <w:szCs w:val="24"/>
        </w:rPr>
        <w:t>costs</w:t>
      </w:r>
      <w:r w:rsidRPr="009E43F2">
        <w:rPr>
          <w:sz w:val="24"/>
          <w:szCs w:val="24"/>
        </w:rPr>
        <w:t xml:space="preserve"> and </w:t>
      </w:r>
      <w:r w:rsidR="00FE62F6" w:rsidRPr="009E43F2">
        <w:rPr>
          <w:sz w:val="24"/>
          <w:szCs w:val="24"/>
        </w:rPr>
        <w:t xml:space="preserve">marketing with </w:t>
      </w:r>
      <w:r w:rsidRPr="009E43F2">
        <w:rPr>
          <w:sz w:val="24"/>
          <w:szCs w:val="24"/>
        </w:rPr>
        <w:t xml:space="preserve">broad multi-state appeal to cushion profits against actuarial </w:t>
      </w:r>
      <w:r w:rsidR="001C4633" w:rsidRPr="009E43F2">
        <w:rPr>
          <w:sz w:val="24"/>
          <w:szCs w:val="24"/>
        </w:rPr>
        <w:t>risk,</w:t>
      </w:r>
      <w:r w:rsidRPr="009E43F2">
        <w:rPr>
          <w:sz w:val="24"/>
          <w:szCs w:val="24"/>
        </w:rPr>
        <w:t xml:space="preserve"> </w:t>
      </w:r>
      <w:r w:rsidR="00C115DC" w:rsidRPr="009E43F2">
        <w:rPr>
          <w:sz w:val="24"/>
          <w:szCs w:val="24"/>
        </w:rPr>
        <w:t xml:space="preserve">while </w:t>
      </w:r>
      <w:r w:rsidRPr="009E43F2">
        <w:rPr>
          <w:sz w:val="24"/>
          <w:szCs w:val="24"/>
        </w:rPr>
        <w:t xml:space="preserve">this </w:t>
      </w:r>
      <w:r w:rsidR="005F7F9A" w:rsidRPr="009E43F2">
        <w:rPr>
          <w:sz w:val="24"/>
          <w:szCs w:val="24"/>
        </w:rPr>
        <w:t xml:space="preserve">is </w:t>
      </w:r>
      <w:r w:rsidRPr="009E43F2">
        <w:rPr>
          <w:sz w:val="24"/>
          <w:szCs w:val="24"/>
        </w:rPr>
        <w:t xml:space="preserve">not true </w:t>
      </w:r>
      <w:r w:rsidR="005F7F9A" w:rsidRPr="009E43F2">
        <w:rPr>
          <w:sz w:val="24"/>
          <w:szCs w:val="24"/>
        </w:rPr>
        <w:t xml:space="preserve">for </w:t>
      </w:r>
      <w:r w:rsidR="00C115DC" w:rsidRPr="009E43F2">
        <w:rPr>
          <w:sz w:val="24"/>
          <w:szCs w:val="24"/>
        </w:rPr>
        <w:t xml:space="preserve">the </w:t>
      </w:r>
      <w:r w:rsidRPr="009E43F2">
        <w:rPr>
          <w:sz w:val="24"/>
          <w:szCs w:val="24"/>
        </w:rPr>
        <w:t xml:space="preserve">state Marketplaces. As insurers </w:t>
      </w:r>
      <w:r w:rsidRPr="009E43F2">
        <w:rPr>
          <w:sz w:val="24"/>
          <w:szCs w:val="24"/>
        </w:rPr>
        <w:lastRenderedPageBreak/>
        <w:t xml:space="preserve">adapted to these unique features, the number of available plans rebounded, with insurers continuing to enter new markets in 2019 and 2020 (RWJF 2021). </w:t>
      </w:r>
    </w:p>
    <w:p w14:paraId="3A923254" w14:textId="0B2A1ED8" w:rsidR="00ED6425" w:rsidRPr="009E43F2" w:rsidRDefault="0066607E">
      <w:pPr>
        <w:spacing w:line="360" w:lineRule="auto"/>
        <w:ind w:firstLine="720"/>
        <w:rPr>
          <w:sz w:val="24"/>
          <w:szCs w:val="24"/>
        </w:rPr>
      </w:pPr>
      <w:r w:rsidRPr="009E43F2">
        <w:rPr>
          <w:sz w:val="24"/>
          <w:szCs w:val="24"/>
        </w:rPr>
        <w:t>To</w:t>
      </w:r>
      <w:r w:rsidR="005F7F9A" w:rsidRPr="009E43F2">
        <w:rPr>
          <w:sz w:val="24"/>
          <w:szCs w:val="24"/>
        </w:rPr>
        <w:t xml:space="preserve"> be profitable, most </w:t>
      </w:r>
      <w:r w:rsidR="00AD437C" w:rsidRPr="009E43F2">
        <w:rPr>
          <w:sz w:val="24"/>
          <w:szCs w:val="24"/>
        </w:rPr>
        <w:t xml:space="preserve">Marketplace plans </w:t>
      </w:r>
      <w:r w:rsidR="00C115DC" w:rsidRPr="009E43F2">
        <w:rPr>
          <w:sz w:val="24"/>
          <w:szCs w:val="24"/>
        </w:rPr>
        <w:t xml:space="preserve">now </w:t>
      </w:r>
      <w:r w:rsidR="005F7F9A" w:rsidRPr="009E43F2">
        <w:rPr>
          <w:sz w:val="24"/>
          <w:szCs w:val="24"/>
        </w:rPr>
        <w:t xml:space="preserve">offer </w:t>
      </w:r>
      <w:r w:rsidR="00AD437C" w:rsidRPr="009E43F2">
        <w:rPr>
          <w:sz w:val="24"/>
          <w:szCs w:val="24"/>
        </w:rPr>
        <w:t xml:space="preserve">narrower </w:t>
      </w:r>
      <w:r w:rsidR="005F7F9A" w:rsidRPr="009E43F2">
        <w:rPr>
          <w:sz w:val="24"/>
          <w:szCs w:val="24"/>
        </w:rPr>
        <w:t xml:space="preserve">provider </w:t>
      </w:r>
      <w:r w:rsidR="00AD437C" w:rsidRPr="009E43F2">
        <w:rPr>
          <w:sz w:val="24"/>
          <w:szCs w:val="24"/>
        </w:rPr>
        <w:t>networks than commercial plans</w:t>
      </w:r>
      <w:r w:rsidR="005F7F9A" w:rsidRPr="009E43F2">
        <w:rPr>
          <w:sz w:val="24"/>
          <w:szCs w:val="24"/>
        </w:rPr>
        <w:t xml:space="preserve">. </w:t>
      </w:r>
      <w:proofErr w:type="spellStart"/>
      <w:r w:rsidR="005F7F9A" w:rsidRPr="009E43F2">
        <w:rPr>
          <w:sz w:val="24"/>
          <w:szCs w:val="24"/>
        </w:rPr>
        <w:t>Haeder</w:t>
      </w:r>
      <w:proofErr w:type="spellEnd"/>
      <w:r w:rsidR="005F7F9A" w:rsidRPr="009E43F2">
        <w:rPr>
          <w:sz w:val="24"/>
          <w:szCs w:val="24"/>
        </w:rPr>
        <w:t xml:space="preserve">, Weimer, and </w:t>
      </w:r>
      <w:proofErr w:type="spellStart"/>
      <w:r w:rsidR="005F7F9A" w:rsidRPr="009E43F2">
        <w:rPr>
          <w:sz w:val="24"/>
          <w:szCs w:val="24"/>
        </w:rPr>
        <w:t>Mukamel</w:t>
      </w:r>
      <w:proofErr w:type="spellEnd"/>
      <w:r w:rsidR="005F7F9A" w:rsidRPr="009E43F2">
        <w:rPr>
          <w:sz w:val="24"/>
          <w:szCs w:val="24"/>
        </w:rPr>
        <w:t>, (2015)</w:t>
      </w:r>
      <w:r w:rsidR="00F61300" w:rsidRPr="009E43F2">
        <w:rPr>
          <w:sz w:val="24"/>
          <w:szCs w:val="24"/>
        </w:rPr>
        <w:t xml:space="preserve"> find </w:t>
      </w:r>
      <w:r w:rsidR="00AD437C" w:rsidRPr="009E43F2">
        <w:rPr>
          <w:sz w:val="24"/>
          <w:szCs w:val="24"/>
        </w:rPr>
        <w:t xml:space="preserve">little </w:t>
      </w:r>
      <w:r w:rsidR="005F7F9A" w:rsidRPr="009E43F2">
        <w:rPr>
          <w:sz w:val="24"/>
          <w:szCs w:val="24"/>
        </w:rPr>
        <w:t xml:space="preserve">evidence of a </w:t>
      </w:r>
      <w:r w:rsidR="00AD437C" w:rsidRPr="009E43F2">
        <w:rPr>
          <w:sz w:val="24"/>
          <w:szCs w:val="24"/>
        </w:rPr>
        <w:t>reduction in either access to services or overall quality</w:t>
      </w:r>
      <w:r w:rsidR="005F7F9A" w:rsidRPr="009E43F2">
        <w:rPr>
          <w:sz w:val="24"/>
          <w:szCs w:val="24"/>
        </w:rPr>
        <w:t>.</w:t>
      </w:r>
      <w:r w:rsidR="00AD437C" w:rsidRPr="009E43F2">
        <w:rPr>
          <w:sz w:val="24"/>
          <w:szCs w:val="24"/>
        </w:rPr>
        <w:t xml:space="preserve"> </w:t>
      </w:r>
      <w:r w:rsidR="005F7F9A" w:rsidRPr="009E43F2">
        <w:rPr>
          <w:sz w:val="24"/>
          <w:szCs w:val="24"/>
        </w:rPr>
        <w:t xml:space="preserve">Cai et al., (2022) find </w:t>
      </w:r>
      <w:r w:rsidR="00AD437C" w:rsidRPr="009E43F2">
        <w:rPr>
          <w:sz w:val="24"/>
          <w:szCs w:val="24"/>
        </w:rPr>
        <w:t>that Marketplace plans may be particularly adept at increas</w:t>
      </w:r>
      <w:r w:rsidR="005F7F9A" w:rsidRPr="009E43F2">
        <w:rPr>
          <w:sz w:val="24"/>
          <w:szCs w:val="24"/>
        </w:rPr>
        <w:t>ing</w:t>
      </w:r>
      <w:r w:rsidR="00AD437C" w:rsidRPr="009E43F2">
        <w:rPr>
          <w:sz w:val="24"/>
          <w:szCs w:val="24"/>
        </w:rPr>
        <w:t xml:space="preserve"> quality of services offered through vertical integration between insurers and providers, including the use of provider-sponsored health plans</w:t>
      </w:r>
      <w:r w:rsidR="005F7F9A" w:rsidRPr="009E43F2">
        <w:rPr>
          <w:sz w:val="24"/>
          <w:szCs w:val="24"/>
        </w:rPr>
        <w:t>.</w:t>
      </w:r>
      <w:r w:rsidR="00AD437C" w:rsidRPr="009E43F2">
        <w:rPr>
          <w:sz w:val="24"/>
          <w:szCs w:val="24"/>
        </w:rPr>
        <w:t xml:space="preserve"> </w:t>
      </w:r>
    </w:p>
    <w:p w14:paraId="15A18467" w14:textId="683F9CBE" w:rsidR="00ED6425" w:rsidRPr="009E43F2" w:rsidRDefault="0004212C">
      <w:pPr>
        <w:spacing w:line="360" w:lineRule="auto"/>
        <w:ind w:firstLine="720"/>
        <w:rPr>
          <w:sz w:val="24"/>
          <w:szCs w:val="24"/>
        </w:rPr>
      </w:pPr>
      <w:r w:rsidRPr="009E43F2">
        <w:rPr>
          <w:sz w:val="24"/>
          <w:szCs w:val="24"/>
        </w:rPr>
        <w:t>Th</w:t>
      </w:r>
      <w:r w:rsidR="001C4633">
        <w:rPr>
          <w:sz w:val="24"/>
          <w:szCs w:val="24"/>
        </w:rPr>
        <w:t>e trajectory of Marketplace plans</w:t>
      </w:r>
      <w:r w:rsidRPr="009E43F2">
        <w:rPr>
          <w:sz w:val="24"/>
          <w:szCs w:val="24"/>
        </w:rPr>
        <w:t xml:space="preserve"> suggests that</w:t>
      </w:r>
      <w:r w:rsidR="00AD437C" w:rsidRPr="009E43F2">
        <w:rPr>
          <w:sz w:val="24"/>
          <w:szCs w:val="24"/>
        </w:rPr>
        <w:t xml:space="preserve"> expanding managed competition using the strategy of the Marketplace, with </w:t>
      </w:r>
      <w:r w:rsidRPr="009E43F2">
        <w:rPr>
          <w:sz w:val="24"/>
          <w:szCs w:val="24"/>
        </w:rPr>
        <w:t xml:space="preserve">large subsidies or mandated coverage with penalties for noninsurance, </w:t>
      </w:r>
      <w:r w:rsidR="00AD437C" w:rsidRPr="009E43F2">
        <w:rPr>
          <w:sz w:val="24"/>
          <w:szCs w:val="24"/>
        </w:rPr>
        <w:t xml:space="preserve">may </w:t>
      </w:r>
      <w:r w:rsidRPr="009E43F2">
        <w:rPr>
          <w:sz w:val="24"/>
          <w:szCs w:val="24"/>
        </w:rPr>
        <w:t xml:space="preserve">hold promise for </w:t>
      </w:r>
      <w:r w:rsidR="00AD437C" w:rsidRPr="009E43F2">
        <w:rPr>
          <w:sz w:val="24"/>
          <w:szCs w:val="24"/>
        </w:rPr>
        <w:t>reduc</w:t>
      </w:r>
      <w:r w:rsidRPr="009E43F2">
        <w:rPr>
          <w:sz w:val="24"/>
          <w:szCs w:val="24"/>
        </w:rPr>
        <w:t>ing</w:t>
      </w:r>
      <w:r w:rsidR="00AD437C" w:rsidRPr="009E43F2">
        <w:rPr>
          <w:sz w:val="24"/>
          <w:szCs w:val="24"/>
        </w:rPr>
        <w:t xml:space="preserve"> costs without sacrificing quality. However, even with more </w:t>
      </w:r>
      <w:r w:rsidRPr="009E43F2">
        <w:rPr>
          <w:sz w:val="24"/>
          <w:szCs w:val="24"/>
        </w:rPr>
        <w:t>affordable</w:t>
      </w:r>
      <w:r w:rsidR="00AD437C" w:rsidRPr="009E43F2">
        <w:rPr>
          <w:sz w:val="24"/>
          <w:szCs w:val="24"/>
        </w:rPr>
        <w:t xml:space="preserve"> premiums, enrollment in the Marketplace has proven to be highly responsive to premium fluctuations, particularly for those receiving coverage without subsidies (KFF 2019c). </w:t>
      </w:r>
      <w:r w:rsidR="00373492">
        <w:rPr>
          <w:sz w:val="24"/>
          <w:szCs w:val="24"/>
        </w:rPr>
        <w:t>Given</w:t>
      </w:r>
      <w:r w:rsidR="00373492" w:rsidRPr="009E43F2">
        <w:rPr>
          <w:sz w:val="24"/>
          <w:szCs w:val="24"/>
        </w:rPr>
        <w:t xml:space="preserve"> </w:t>
      </w:r>
      <w:r w:rsidRPr="009E43F2">
        <w:rPr>
          <w:sz w:val="24"/>
          <w:szCs w:val="24"/>
        </w:rPr>
        <w:t xml:space="preserve">that people in the Marketplace can move into and out of the program as their employment, income or preferences change, </w:t>
      </w:r>
      <w:r w:rsidR="00373492">
        <w:rPr>
          <w:sz w:val="24"/>
          <w:szCs w:val="24"/>
        </w:rPr>
        <w:t>increased, persistent</w:t>
      </w:r>
      <w:r w:rsidR="00373492" w:rsidRPr="009E43F2">
        <w:rPr>
          <w:sz w:val="24"/>
          <w:szCs w:val="24"/>
        </w:rPr>
        <w:t xml:space="preserve"> </w:t>
      </w:r>
      <w:r w:rsidRPr="009E43F2">
        <w:rPr>
          <w:sz w:val="24"/>
          <w:szCs w:val="24"/>
        </w:rPr>
        <w:t xml:space="preserve">enrollment will require sizeable premium subsidies </w:t>
      </w:r>
      <w:r w:rsidR="00AD437C" w:rsidRPr="009E43F2">
        <w:rPr>
          <w:sz w:val="24"/>
          <w:szCs w:val="24"/>
        </w:rPr>
        <w:t xml:space="preserve">to </w:t>
      </w:r>
      <w:r w:rsidRPr="009E43F2">
        <w:rPr>
          <w:sz w:val="24"/>
          <w:szCs w:val="24"/>
        </w:rPr>
        <w:t xml:space="preserve">reduce </w:t>
      </w:r>
      <w:r w:rsidR="00AD437C" w:rsidRPr="009E43F2">
        <w:rPr>
          <w:sz w:val="24"/>
          <w:szCs w:val="24"/>
        </w:rPr>
        <w:t xml:space="preserve">enrollment volatility in </w:t>
      </w:r>
      <w:r w:rsidRPr="009E43F2">
        <w:rPr>
          <w:sz w:val="24"/>
          <w:szCs w:val="24"/>
        </w:rPr>
        <w:t xml:space="preserve">this </w:t>
      </w:r>
      <w:r w:rsidR="00AD437C" w:rsidRPr="009E43F2">
        <w:rPr>
          <w:sz w:val="24"/>
          <w:szCs w:val="24"/>
        </w:rPr>
        <w:t>individual-based insurance market</w:t>
      </w:r>
      <w:r w:rsidRPr="009E43F2">
        <w:rPr>
          <w:sz w:val="24"/>
          <w:szCs w:val="24"/>
        </w:rPr>
        <w:t xml:space="preserve"> (Finkelstein et al, 2019).</w:t>
      </w:r>
      <w:r w:rsidR="00AD437C" w:rsidRPr="009E43F2">
        <w:rPr>
          <w:sz w:val="24"/>
          <w:szCs w:val="24"/>
        </w:rPr>
        <w:t xml:space="preserve"> </w:t>
      </w:r>
    </w:p>
    <w:p w14:paraId="70612C9F" w14:textId="77777777" w:rsidR="00ED6425" w:rsidRPr="009E43F2" w:rsidRDefault="00AD437C">
      <w:pPr>
        <w:spacing w:before="240" w:after="240" w:line="240" w:lineRule="auto"/>
        <w:rPr>
          <w:b/>
          <w:sz w:val="24"/>
          <w:szCs w:val="24"/>
        </w:rPr>
      </w:pPr>
      <w:r w:rsidRPr="009E43F2">
        <w:rPr>
          <w:b/>
          <w:sz w:val="24"/>
          <w:szCs w:val="24"/>
        </w:rPr>
        <w:t>3.2</w:t>
      </w:r>
      <w:r w:rsidRPr="009E43F2">
        <w:rPr>
          <w:b/>
          <w:sz w:val="24"/>
          <w:szCs w:val="24"/>
        </w:rPr>
        <w:tab/>
        <w:t>Medicare Advantage</w:t>
      </w:r>
    </w:p>
    <w:p w14:paraId="5AF9BB5C" w14:textId="66DC4C10" w:rsidR="00ED6425" w:rsidRPr="009E43F2" w:rsidRDefault="00AD437C">
      <w:pPr>
        <w:spacing w:line="360" w:lineRule="auto"/>
        <w:ind w:firstLine="720"/>
        <w:rPr>
          <w:sz w:val="24"/>
          <w:szCs w:val="24"/>
        </w:rPr>
      </w:pPr>
      <w:r w:rsidRPr="009E43F2">
        <w:rPr>
          <w:sz w:val="24"/>
          <w:szCs w:val="24"/>
        </w:rPr>
        <w:t xml:space="preserve">Medicare Advantage programs were created </w:t>
      </w:r>
      <w:r w:rsidR="0004212C" w:rsidRPr="009E43F2">
        <w:rPr>
          <w:sz w:val="24"/>
          <w:szCs w:val="24"/>
        </w:rPr>
        <w:t xml:space="preserve">in the 1980s </w:t>
      </w:r>
      <w:r w:rsidRPr="009E43F2">
        <w:rPr>
          <w:sz w:val="24"/>
          <w:szCs w:val="24"/>
        </w:rPr>
        <w:t>in response to increasing costs associated with traditional Medicare programs</w:t>
      </w:r>
      <w:r w:rsidR="00653B1F">
        <w:rPr>
          <w:sz w:val="24"/>
          <w:szCs w:val="24"/>
        </w:rPr>
        <w:t xml:space="preserve"> (</w:t>
      </w:r>
      <w:r w:rsidR="00C05605" w:rsidRPr="009E43F2">
        <w:rPr>
          <w:sz w:val="24"/>
          <w:szCs w:val="24"/>
        </w:rPr>
        <w:t>McGuire et al, 2011)</w:t>
      </w:r>
      <w:r w:rsidR="00FA4FFF">
        <w:rPr>
          <w:sz w:val="24"/>
          <w:szCs w:val="24"/>
        </w:rPr>
        <w:t>.</w:t>
      </w:r>
      <w:r w:rsidRPr="009E43F2">
        <w:rPr>
          <w:sz w:val="24"/>
          <w:szCs w:val="24"/>
        </w:rPr>
        <w:t xml:space="preserve"> By incentivizing physicians to provide comprehensive care, the program passed on financial risk to providers </w:t>
      </w:r>
      <w:r w:rsidR="00F3364B" w:rsidRPr="009E43F2">
        <w:rPr>
          <w:sz w:val="24"/>
          <w:szCs w:val="24"/>
        </w:rPr>
        <w:t>to</w:t>
      </w:r>
      <w:r w:rsidRPr="009E43F2">
        <w:rPr>
          <w:sz w:val="24"/>
          <w:szCs w:val="24"/>
        </w:rPr>
        <w:t xml:space="preserve"> curb utilization. While the program initially struggled due to low subsidy rates and strong cream-skimming incentives, more comprehensive risk-adjustment programs spurred large growth in MA enrollment in recent decades, although problems of premium setting and sorting persist (Glazer &amp; McGuire, 2017). </w:t>
      </w:r>
    </w:p>
    <w:p w14:paraId="39958BF8" w14:textId="37DA154D" w:rsidR="00ED6425" w:rsidRPr="009E43F2" w:rsidRDefault="00AD437C">
      <w:pPr>
        <w:spacing w:line="360" w:lineRule="auto"/>
        <w:ind w:firstLine="720"/>
        <w:rPr>
          <w:sz w:val="24"/>
          <w:szCs w:val="24"/>
        </w:rPr>
      </w:pPr>
      <w:r w:rsidRPr="009E43F2">
        <w:rPr>
          <w:sz w:val="24"/>
          <w:szCs w:val="24"/>
        </w:rPr>
        <w:t xml:space="preserve">Medicare Advantage has several advantages over the other programs explored here. First, its system of capitation payments allows MA plans to offer a wider selection of benefits. Second, plans </w:t>
      </w:r>
      <w:r w:rsidR="0058610D" w:rsidRPr="009E43F2">
        <w:rPr>
          <w:sz w:val="24"/>
          <w:szCs w:val="24"/>
        </w:rPr>
        <w:t>can</w:t>
      </w:r>
      <w:r w:rsidRPr="009E43F2">
        <w:rPr>
          <w:sz w:val="24"/>
          <w:szCs w:val="24"/>
        </w:rPr>
        <w:t xml:space="preserve"> set their own payment mechanisms </w:t>
      </w:r>
      <w:proofErr w:type="gramStart"/>
      <w:r w:rsidRPr="009E43F2">
        <w:rPr>
          <w:sz w:val="24"/>
          <w:szCs w:val="24"/>
        </w:rPr>
        <w:t>in order to</w:t>
      </w:r>
      <w:proofErr w:type="gramEnd"/>
      <w:r w:rsidRPr="009E43F2">
        <w:rPr>
          <w:sz w:val="24"/>
          <w:szCs w:val="24"/>
        </w:rPr>
        <w:t xml:space="preserve"> attain efficiency and quality goals (Butler, 2020). Finally, MA plans even serve as the model to </w:t>
      </w:r>
      <w:r w:rsidRPr="009E43F2">
        <w:rPr>
          <w:sz w:val="24"/>
          <w:szCs w:val="24"/>
        </w:rPr>
        <w:lastRenderedPageBreak/>
        <w:t xml:space="preserve">expand beyond the traditional scope of health benefits to address broader social determinants of health, including food deliveries and transportation to doctors’ offices (Jaffe, 2018). However, expanding MA plans in the </w:t>
      </w:r>
      <w:r w:rsidR="00B5000D">
        <w:rPr>
          <w:sz w:val="24"/>
          <w:szCs w:val="24"/>
        </w:rPr>
        <w:t>US</w:t>
      </w:r>
      <w:r w:rsidRPr="009E43F2">
        <w:rPr>
          <w:sz w:val="24"/>
          <w:szCs w:val="24"/>
        </w:rPr>
        <w:t xml:space="preserve"> requires dealing with two issues: market concentration and patient selection. </w:t>
      </w:r>
    </w:p>
    <w:p w14:paraId="392770E0" w14:textId="6B6D0228" w:rsidR="00ED6425" w:rsidRPr="009E43F2" w:rsidRDefault="00AD437C">
      <w:pPr>
        <w:spacing w:line="360" w:lineRule="auto"/>
        <w:ind w:firstLine="720"/>
        <w:rPr>
          <w:sz w:val="24"/>
          <w:szCs w:val="24"/>
        </w:rPr>
      </w:pPr>
      <w:r w:rsidRPr="009E43F2">
        <w:rPr>
          <w:sz w:val="24"/>
          <w:szCs w:val="24"/>
        </w:rPr>
        <w:t xml:space="preserve">Today, market concentration plagues MA coverage. Most Medicare enrollees are served by few insurers, and 97 percent of </w:t>
      </w:r>
      <w:r w:rsidR="0058610D">
        <w:rPr>
          <w:sz w:val="24"/>
          <w:szCs w:val="24"/>
        </w:rPr>
        <w:t xml:space="preserve">the US </w:t>
      </w:r>
      <w:r w:rsidRPr="009E43F2">
        <w:rPr>
          <w:sz w:val="24"/>
          <w:szCs w:val="24"/>
        </w:rPr>
        <w:t>county markets in the MA program are “highly concentrated” using the FTC and DOJ measures (Frank and McGuire, 2019). This may be the result of overall consolidation in the insurance market, but also may have arisen from direct features of the managed care structure of MA plans. For example, Medicare policies changed in 2011 to require all MA plans to create provider networks, which prompted some health insurers to cancel up to ⅔ of the affected plans and resulted in increased consolidation (</w:t>
      </w:r>
      <w:proofErr w:type="spellStart"/>
      <w:r w:rsidRPr="009E43F2">
        <w:rPr>
          <w:sz w:val="24"/>
          <w:szCs w:val="24"/>
        </w:rPr>
        <w:t>Pelech</w:t>
      </w:r>
      <w:proofErr w:type="spellEnd"/>
      <w:r w:rsidRPr="009E43F2">
        <w:rPr>
          <w:sz w:val="24"/>
          <w:szCs w:val="24"/>
        </w:rPr>
        <w:t xml:space="preserve">, 2017). Expanding MA-style plans may need to accommodate these features </w:t>
      </w:r>
      <w:r w:rsidR="0066607E" w:rsidRPr="009E43F2">
        <w:rPr>
          <w:sz w:val="24"/>
          <w:szCs w:val="24"/>
        </w:rPr>
        <w:t>to</w:t>
      </w:r>
      <w:r w:rsidRPr="009E43F2">
        <w:rPr>
          <w:sz w:val="24"/>
          <w:szCs w:val="24"/>
        </w:rPr>
        <w:t xml:space="preserve"> adequately encourage competition. </w:t>
      </w:r>
    </w:p>
    <w:p w14:paraId="39221BAA" w14:textId="40D01A26" w:rsidR="00ED6425" w:rsidRPr="009E43F2" w:rsidRDefault="00AD437C">
      <w:pPr>
        <w:spacing w:line="360" w:lineRule="auto"/>
        <w:ind w:firstLine="720"/>
        <w:rPr>
          <w:sz w:val="24"/>
          <w:szCs w:val="24"/>
        </w:rPr>
      </w:pPr>
      <w:r w:rsidRPr="009E43F2">
        <w:rPr>
          <w:sz w:val="24"/>
          <w:szCs w:val="24"/>
        </w:rPr>
        <w:t xml:space="preserve">A second issue with MA plans is patient selection. Only relatively healthy Medicare patients tend to enroll in MA plans, an adverse selection problem which persists even after risk adjustment (Brown et al., 2014; Morrisey et al., 2013). </w:t>
      </w:r>
      <w:r w:rsidR="00C05605" w:rsidRPr="009E43F2">
        <w:rPr>
          <w:sz w:val="24"/>
          <w:szCs w:val="24"/>
        </w:rPr>
        <w:t xml:space="preserve">There is controversy over the extent of this bias, </w:t>
      </w:r>
      <w:r w:rsidR="004B1176" w:rsidRPr="009E43F2">
        <w:rPr>
          <w:sz w:val="24"/>
          <w:szCs w:val="24"/>
        </w:rPr>
        <w:t xml:space="preserve">the related issue of diagnostic upcoding, </w:t>
      </w:r>
      <w:r w:rsidR="00C05605" w:rsidRPr="009E43F2">
        <w:rPr>
          <w:sz w:val="24"/>
          <w:szCs w:val="24"/>
        </w:rPr>
        <w:t xml:space="preserve">and whether </w:t>
      </w:r>
      <w:r w:rsidR="000A0A4A" w:rsidRPr="009E43F2">
        <w:rPr>
          <w:sz w:val="24"/>
          <w:szCs w:val="24"/>
        </w:rPr>
        <w:t xml:space="preserve">existing </w:t>
      </w:r>
      <w:r w:rsidR="00F3364B" w:rsidRPr="009E43F2">
        <w:rPr>
          <w:sz w:val="24"/>
          <w:szCs w:val="24"/>
        </w:rPr>
        <w:t>adjustments</w:t>
      </w:r>
      <w:r w:rsidR="000A0A4A" w:rsidRPr="009E43F2">
        <w:rPr>
          <w:sz w:val="24"/>
          <w:szCs w:val="24"/>
        </w:rPr>
        <w:t xml:space="preserve"> by Medicare undoes some of this systemic bias (Geruso and Layton, 2019</w:t>
      </w:r>
      <w:r w:rsidR="00F3364B">
        <w:rPr>
          <w:sz w:val="24"/>
          <w:szCs w:val="24"/>
        </w:rPr>
        <w:t>;</w:t>
      </w:r>
      <w:r w:rsidR="003A64A6">
        <w:rPr>
          <w:sz w:val="24"/>
          <w:szCs w:val="24"/>
        </w:rPr>
        <w:t xml:space="preserve"> </w:t>
      </w:r>
      <w:r w:rsidR="004B1176" w:rsidRPr="009E43F2">
        <w:rPr>
          <w:sz w:val="24"/>
          <w:szCs w:val="24"/>
        </w:rPr>
        <w:t>Newhouse et al</w:t>
      </w:r>
      <w:r w:rsidR="00F3364B">
        <w:rPr>
          <w:sz w:val="24"/>
          <w:szCs w:val="24"/>
        </w:rPr>
        <w:t xml:space="preserve">., </w:t>
      </w:r>
      <w:r w:rsidR="004B1176" w:rsidRPr="009E43F2">
        <w:rPr>
          <w:sz w:val="24"/>
          <w:szCs w:val="24"/>
        </w:rPr>
        <w:t>2019).</w:t>
      </w:r>
      <w:r w:rsidR="001C4633">
        <w:rPr>
          <w:sz w:val="24"/>
          <w:szCs w:val="24"/>
        </w:rPr>
        <w:t xml:space="preserve"> </w:t>
      </w:r>
      <w:r w:rsidR="004B1176" w:rsidRPr="009E43F2">
        <w:rPr>
          <w:sz w:val="24"/>
          <w:szCs w:val="24"/>
        </w:rPr>
        <w:t xml:space="preserve">These concerns </w:t>
      </w:r>
      <w:r w:rsidRPr="009E43F2">
        <w:rPr>
          <w:sz w:val="24"/>
          <w:szCs w:val="24"/>
        </w:rPr>
        <w:t>bias</w:t>
      </w:r>
      <w:r w:rsidR="004B1176" w:rsidRPr="009E43F2">
        <w:rPr>
          <w:sz w:val="24"/>
          <w:szCs w:val="24"/>
        </w:rPr>
        <w:t xml:space="preserve"> discussion </w:t>
      </w:r>
      <w:r w:rsidRPr="009E43F2">
        <w:rPr>
          <w:sz w:val="24"/>
          <w:szCs w:val="24"/>
        </w:rPr>
        <w:t xml:space="preserve">about the effect of expanding access to these plans. Although there is some evidence that this selection problem may be mitigated by reducing or eliminating the switching costs into and across Medicare plans, pursuing managed competition in the style of MA plans would require evolving past enrolling only the healthiest subset of the population. </w:t>
      </w:r>
    </w:p>
    <w:p w14:paraId="6C8C1DE0" w14:textId="77777777" w:rsidR="00ED6425" w:rsidRPr="009E43F2" w:rsidRDefault="00ED6425">
      <w:pPr>
        <w:spacing w:line="360" w:lineRule="auto"/>
        <w:ind w:firstLine="720"/>
        <w:rPr>
          <w:sz w:val="24"/>
          <w:szCs w:val="24"/>
        </w:rPr>
      </w:pPr>
    </w:p>
    <w:p w14:paraId="56630166" w14:textId="77777777" w:rsidR="00ED6425" w:rsidRPr="009E43F2" w:rsidRDefault="00AD437C">
      <w:pPr>
        <w:spacing w:line="360" w:lineRule="auto"/>
        <w:rPr>
          <w:b/>
          <w:sz w:val="24"/>
          <w:szCs w:val="24"/>
        </w:rPr>
      </w:pPr>
      <w:r w:rsidRPr="009E43F2">
        <w:rPr>
          <w:b/>
          <w:sz w:val="24"/>
          <w:szCs w:val="24"/>
        </w:rPr>
        <w:t>3.3</w:t>
      </w:r>
      <w:r w:rsidRPr="009E43F2">
        <w:rPr>
          <w:b/>
          <w:sz w:val="24"/>
          <w:szCs w:val="24"/>
        </w:rPr>
        <w:tab/>
        <w:t>Medicaid MCOs</w:t>
      </w:r>
    </w:p>
    <w:p w14:paraId="2F399CF8" w14:textId="0A880D75" w:rsidR="00ED6425" w:rsidRPr="009E43F2" w:rsidRDefault="00AD437C">
      <w:pPr>
        <w:spacing w:line="360" w:lineRule="auto"/>
        <w:ind w:firstLine="720"/>
        <w:rPr>
          <w:sz w:val="24"/>
          <w:szCs w:val="24"/>
        </w:rPr>
      </w:pPr>
      <w:r w:rsidRPr="009E43F2">
        <w:rPr>
          <w:sz w:val="24"/>
          <w:szCs w:val="24"/>
        </w:rPr>
        <w:t xml:space="preserve">Finally, we consider the potential implications of expanding the availability of Medicaid managed care organizations (MCO) coverage. As of 2019, 83% of all Medicaid patients were in MCOs (KFF 2019b). Here, we document two features of Medicaid MCOs that would impact managed competition in the </w:t>
      </w:r>
      <w:r w:rsidR="00B5000D">
        <w:rPr>
          <w:sz w:val="24"/>
          <w:szCs w:val="24"/>
        </w:rPr>
        <w:t>US</w:t>
      </w:r>
      <w:r w:rsidRPr="009E43F2">
        <w:rPr>
          <w:sz w:val="24"/>
          <w:szCs w:val="24"/>
        </w:rPr>
        <w:t xml:space="preserve">: low reimbursement rates and </w:t>
      </w:r>
      <w:r w:rsidR="00FB7CF0" w:rsidRPr="009E43F2">
        <w:rPr>
          <w:sz w:val="24"/>
          <w:szCs w:val="24"/>
        </w:rPr>
        <w:t>enormous</w:t>
      </w:r>
      <w:r w:rsidRPr="009E43F2">
        <w:rPr>
          <w:sz w:val="24"/>
          <w:szCs w:val="24"/>
        </w:rPr>
        <w:t xml:space="preserve"> state variation. </w:t>
      </w:r>
    </w:p>
    <w:p w14:paraId="504793AF" w14:textId="6774A052" w:rsidR="00ED6425" w:rsidRPr="009E43F2" w:rsidRDefault="00AD437C">
      <w:pPr>
        <w:spacing w:line="360" w:lineRule="auto"/>
        <w:ind w:firstLine="720"/>
        <w:rPr>
          <w:sz w:val="24"/>
          <w:szCs w:val="24"/>
        </w:rPr>
      </w:pPr>
      <w:r w:rsidRPr="009E43F2">
        <w:rPr>
          <w:sz w:val="24"/>
          <w:szCs w:val="24"/>
        </w:rPr>
        <w:lastRenderedPageBreak/>
        <w:t>Unlike traditional FFS-based Medicaid, Medicaid MCO plans may set their own rates with providers. These rates vary across states, but are typically very low, averaging only 72% of what traditional Medicare pays. This dramatically reduces the costs associated with Medicaid MCOs relative to both traditional Medicaid and the other programs we have considered thus far, but these low rates create a key challenge in the expansion of Medicaid MCOs in the form of provider incentives. Low provider reimbursement is a principal driver of both availability of services and wait times, with only 70% of physicians accepting new Medicaid patients compared to about 90% accepting patients covered with ESI (</w:t>
      </w:r>
      <w:proofErr w:type="spellStart"/>
      <w:r w:rsidRPr="009E43F2">
        <w:rPr>
          <w:sz w:val="24"/>
          <w:szCs w:val="24"/>
        </w:rPr>
        <w:t>Holgash</w:t>
      </w:r>
      <w:proofErr w:type="spellEnd"/>
      <w:r w:rsidRPr="009E43F2">
        <w:rPr>
          <w:sz w:val="24"/>
          <w:szCs w:val="24"/>
        </w:rPr>
        <w:t xml:space="preserve"> and </w:t>
      </w:r>
      <w:proofErr w:type="spellStart"/>
      <w:r w:rsidRPr="009E43F2">
        <w:rPr>
          <w:sz w:val="24"/>
          <w:szCs w:val="24"/>
        </w:rPr>
        <w:t>Heberlein</w:t>
      </w:r>
      <w:proofErr w:type="spellEnd"/>
      <w:r w:rsidRPr="009E43F2">
        <w:rPr>
          <w:sz w:val="24"/>
          <w:szCs w:val="24"/>
        </w:rPr>
        <w:t xml:space="preserve">, 2019). In fact, as many as half of providers in a Medicaid MCO plan’s network could not accommodate new </w:t>
      </w:r>
      <w:r w:rsidR="00B337F4" w:rsidRPr="009E43F2">
        <w:rPr>
          <w:sz w:val="24"/>
          <w:szCs w:val="24"/>
        </w:rPr>
        <w:t>patients and</w:t>
      </w:r>
      <w:r w:rsidRPr="009E43F2">
        <w:rPr>
          <w:sz w:val="24"/>
          <w:szCs w:val="24"/>
        </w:rPr>
        <w:t xml:space="preserve"> wait times for enrollees in managed Medicaid can be dramatically higher than other plans (Levinson 2014). These differences are even starker for specialty care than for general practitioners. </w:t>
      </w:r>
    </w:p>
    <w:p w14:paraId="64F98640" w14:textId="14ABC8C4" w:rsidR="00ED6425" w:rsidRPr="009E43F2" w:rsidRDefault="00E44A4B">
      <w:pPr>
        <w:spacing w:line="360" w:lineRule="auto"/>
        <w:ind w:firstLine="720"/>
        <w:rPr>
          <w:sz w:val="24"/>
          <w:szCs w:val="24"/>
        </w:rPr>
      </w:pPr>
      <w:r>
        <w:rPr>
          <w:sz w:val="24"/>
          <w:szCs w:val="24"/>
        </w:rPr>
        <w:t>Low r</w:t>
      </w:r>
      <w:r w:rsidR="00AD437C" w:rsidRPr="009E43F2">
        <w:rPr>
          <w:sz w:val="24"/>
          <w:szCs w:val="24"/>
        </w:rPr>
        <w:t xml:space="preserve">eimbursement rates, rather than the presence of managed care or Medicaid expansion overall, appears to be the principal limiting factor on physician supply to treat Medicaid patients. Access to Medicaid services typically did not decrease </w:t>
      </w:r>
      <w:r w:rsidR="00F3364B" w:rsidRPr="009E43F2">
        <w:rPr>
          <w:sz w:val="24"/>
          <w:szCs w:val="24"/>
        </w:rPr>
        <w:t>because of</w:t>
      </w:r>
      <w:r w:rsidR="00AD437C" w:rsidRPr="009E43F2">
        <w:rPr>
          <w:sz w:val="24"/>
          <w:szCs w:val="24"/>
        </w:rPr>
        <w:t xml:space="preserve"> a state’s Medicaid expansion (</w:t>
      </w:r>
      <w:proofErr w:type="spellStart"/>
      <w:r w:rsidR="00AD437C" w:rsidRPr="009E43F2">
        <w:rPr>
          <w:sz w:val="24"/>
          <w:szCs w:val="24"/>
        </w:rPr>
        <w:t>Mazurenko</w:t>
      </w:r>
      <w:proofErr w:type="spellEnd"/>
      <w:r w:rsidR="00AD437C" w:rsidRPr="009E43F2">
        <w:rPr>
          <w:sz w:val="24"/>
          <w:szCs w:val="24"/>
        </w:rPr>
        <w:t xml:space="preserve"> et al., 2018). On the other hand, increasing reimbursement rates may make expansion of Medicaid MCO-style plans more feasible. Physician acceptance rates increase by nearly 1 percentage point (0.78) for every percentage point increase in the ratio between Medicaid and Medicare fees (</w:t>
      </w:r>
      <w:proofErr w:type="spellStart"/>
      <w:r w:rsidR="00AD437C" w:rsidRPr="009E43F2">
        <w:rPr>
          <w:sz w:val="24"/>
          <w:szCs w:val="24"/>
        </w:rPr>
        <w:t>Holgash</w:t>
      </w:r>
      <w:proofErr w:type="spellEnd"/>
      <w:r w:rsidR="00AD437C" w:rsidRPr="009E43F2">
        <w:rPr>
          <w:sz w:val="24"/>
          <w:szCs w:val="24"/>
        </w:rPr>
        <w:t xml:space="preserve"> and </w:t>
      </w:r>
      <w:proofErr w:type="spellStart"/>
      <w:r w:rsidR="00AD437C" w:rsidRPr="009E43F2">
        <w:rPr>
          <w:sz w:val="24"/>
          <w:szCs w:val="24"/>
        </w:rPr>
        <w:t>Heberlein</w:t>
      </w:r>
      <w:proofErr w:type="spellEnd"/>
      <w:r w:rsidR="00AD437C" w:rsidRPr="009E43F2">
        <w:rPr>
          <w:sz w:val="24"/>
          <w:szCs w:val="24"/>
        </w:rPr>
        <w:t xml:space="preserve">, 2019). Another option to encourage supply of services is to expand on the model of extra payments mandated for services furnished by Federally Qualified Health Centers (MACPAC, 2017). </w:t>
      </w:r>
    </w:p>
    <w:p w14:paraId="53A031BF" w14:textId="4FF8B044" w:rsidR="00ED6425" w:rsidRPr="009E43F2" w:rsidRDefault="00AD437C">
      <w:pPr>
        <w:spacing w:line="360" w:lineRule="auto"/>
        <w:ind w:firstLine="720"/>
        <w:rPr>
          <w:sz w:val="24"/>
          <w:szCs w:val="24"/>
        </w:rPr>
      </w:pPr>
      <w:r w:rsidRPr="009E43F2">
        <w:rPr>
          <w:sz w:val="24"/>
          <w:szCs w:val="24"/>
        </w:rPr>
        <w:t>Additionally, Medicaid MCOs differ widely across states, making them in essence 52 separate plans (50 states plus D.C. and Puerto Rico). In addition to statewide variation in fees, enrollment expansions, and services covered by Medicaid programs, states also differ in the structure of managed care.</w:t>
      </w:r>
      <w:r w:rsidR="00BD0BD9">
        <w:rPr>
          <w:rStyle w:val="FootnoteReference"/>
          <w:sz w:val="24"/>
          <w:szCs w:val="24"/>
        </w:rPr>
        <w:footnoteReference w:id="4"/>
      </w:r>
      <w:r w:rsidRPr="009E43F2">
        <w:rPr>
          <w:sz w:val="24"/>
          <w:szCs w:val="24"/>
        </w:rPr>
        <w:t xml:space="preserve"> Some states require automatic </w:t>
      </w:r>
      <w:r w:rsidRPr="009E43F2">
        <w:rPr>
          <w:sz w:val="24"/>
          <w:szCs w:val="24"/>
        </w:rPr>
        <w:lastRenderedPageBreak/>
        <w:t xml:space="preserve">enrollment in MCOs (e.g., California), while others allow voluntary participation (e.g., New York and Massachusetts). Additionally, states typically use one of two structures: capitation </w:t>
      </w:r>
      <w:r w:rsidRPr="009E43F2">
        <w:rPr>
          <w:sz w:val="24"/>
          <w:szCs w:val="24"/>
          <w:highlight w:val="white"/>
        </w:rPr>
        <w:t xml:space="preserve">contracts with health maintenance organizations (HMOs) and primary care case management (PCCM) programs, which incentivize providers to increase the coordination of care while retaining FFS payment models. Some state MCOs, such as New York, include regulated competition principles like plan choice, open enrollment periods, and risk adjustment; others, however, (e.g., Missouri) restrict the entry of plans </w:t>
      </w:r>
      <w:r w:rsidR="0066607E" w:rsidRPr="009E43F2">
        <w:rPr>
          <w:sz w:val="24"/>
          <w:szCs w:val="24"/>
          <w:highlight w:val="white"/>
        </w:rPr>
        <w:t>to</w:t>
      </w:r>
      <w:r w:rsidRPr="009E43F2">
        <w:rPr>
          <w:sz w:val="24"/>
          <w:szCs w:val="24"/>
          <w:highlight w:val="white"/>
        </w:rPr>
        <w:t xml:space="preserve"> maintain high quality among the admitted plans. </w:t>
      </w:r>
    </w:p>
    <w:p w14:paraId="43A146D3" w14:textId="00374C40" w:rsidR="00ED6425" w:rsidRPr="009E43F2" w:rsidRDefault="00AD437C">
      <w:pPr>
        <w:spacing w:line="360" w:lineRule="auto"/>
        <w:ind w:firstLine="720"/>
        <w:rPr>
          <w:sz w:val="24"/>
          <w:szCs w:val="24"/>
        </w:rPr>
      </w:pPr>
      <w:r w:rsidRPr="009E43F2">
        <w:rPr>
          <w:sz w:val="24"/>
          <w:szCs w:val="24"/>
        </w:rPr>
        <w:t xml:space="preserve">Hence, expanding managed competition in the </w:t>
      </w:r>
      <w:r w:rsidR="00B5000D">
        <w:rPr>
          <w:sz w:val="24"/>
          <w:szCs w:val="24"/>
        </w:rPr>
        <w:t>US</w:t>
      </w:r>
      <w:r w:rsidRPr="009E43F2">
        <w:rPr>
          <w:sz w:val="24"/>
          <w:szCs w:val="24"/>
        </w:rPr>
        <w:t xml:space="preserve"> using a Medicaid MCO model would require harmonization of multiple different styles of care and creativity to maintain access to providers. This might require increased subsidies for provider reimbursement or new reimbursement schemes </w:t>
      </w:r>
      <w:r w:rsidR="00B337F4" w:rsidRPr="009E43F2">
        <w:rPr>
          <w:sz w:val="24"/>
          <w:szCs w:val="24"/>
        </w:rPr>
        <w:t>altogether and</w:t>
      </w:r>
      <w:r w:rsidRPr="009E43F2">
        <w:rPr>
          <w:sz w:val="24"/>
          <w:szCs w:val="24"/>
        </w:rPr>
        <w:t xml:space="preserve"> would certainly require novel ways to leverage many of the preconditions of managed competition. In addition, MMC expansion may leverage a government’s power to provide additional “managing” that improves quality of outcomes, such as restricting entry or automatically assigning enrollees into plans (Layton et al., 2018). These actions would substantially alter how managed competition ultimately takes shape in the </w:t>
      </w:r>
      <w:r w:rsidR="00B5000D">
        <w:rPr>
          <w:sz w:val="24"/>
          <w:szCs w:val="24"/>
        </w:rPr>
        <w:t>US</w:t>
      </w:r>
    </w:p>
    <w:p w14:paraId="1D26EFB6" w14:textId="77777777" w:rsidR="00ED6425" w:rsidRPr="009E43F2" w:rsidRDefault="00ED6425">
      <w:pPr>
        <w:spacing w:line="360" w:lineRule="auto"/>
        <w:ind w:firstLine="720"/>
        <w:rPr>
          <w:sz w:val="24"/>
          <w:szCs w:val="24"/>
        </w:rPr>
      </w:pPr>
    </w:p>
    <w:p w14:paraId="79C6D189" w14:textId="3A7472FC" w:rsidR="00ED6425" w:rsidRPr="009E43F2" w:rsidRDefault="00AD437C">
      <w:pPr>
        <w:spacing w:line="360" w:lineRule="auto"/>
        <w:rPr>
          <w:b/>
          <w:sz w:val="24"/>
          <w:szCs w:val="24"/>
        </w:rPr>
      </w:pPr>
      <w:r w:rsidRPr="009E43F2">
        <w:rPr>
          <w:b/>
          <w:sz w:val="24"/>
          <w:szCs w:val="24"/>
        </w:rPr>
        <w:t xml:space="preserve">3.4 Traditional Medicare as </w:t>
      </w:r>
      <w:r w:rsidR="00E44A4B">
        <w:rPr>
          <w:b/>
          <w:sz w:val="24"/>
          <w:szCs w:val="24"/>
        </w:rPr>
        <w:t xml:space="preserve">a foundation for </w:t>
      </w:r>
      <w:r w:rsidRPr="009E43F2">
        <w:rPr>
          <w:b/>
          <w:sz w:val="24"/>
          <w:szCs w:val="24"/>
        </w:rPr>
        <w:t>regulated competition</w:t>
      </w:r>
    </w:p>
    <w:p w14:paraId="5B616C5B" w14:textId="178586F8" w:rsidR="00ED6425" w:rsidRPr="009E43F2" w:rsidRDefault="00AD437C">
      <w:pPr>
        <w:spacing w:line="360" w:lineRule="auto"/>
        <w:ind w:firstLine="720"/>
        <w:rPr>
          <w:sz w:val="24"/>
          <w:szCs w:val="24"/>
        </w:rPr>
      </w:pPr>
      <w:r w:rsidRPr="009E43F2">
        <w:rPr>
          <w:sz w:val="24"/>
          <w:szCs w:val="24"/>
        </w:rPr>
        <w:t xml:space="preserve">Given that “Medicare for All'' is a commonly discussed alternative to relying on regulated competition, we benchmark our discussion of managed competition against the single payer alternative of expanding traditional Medicare. A variety of proposals have been made for the </w:t>
      </w:r>
      <w:r w:rsidR="00B5000D">
        <w:rPr>
          <w:sz w:val="24"/>
          <w:szCs w:val="24"/>
        </w:rPr>
        <w:t>US</w:t>
      </w:r>
      <w:r w:rsidRPr="009E43F2">
        <w:rPr>
          <w:sz w:val="24"/>
          <w:szCs w:val="24"/>
        </w:rPr>
        <w:t xml:space="preserve"> in which there is only one health insurer, with competing but regulated price providers (KFF 2019a, Liu and Eibner 2019, CBO 2020).</w:t>
      </w:r>
      <w:r w:rsidR="00871342" w:rsidRPr="00871342">
        <w:rPr>
          <w:sz w:val="24"/>
          <w:szCs w:val="24"/>
          <w:vertAlign w:val="superscript"/>
        </w:rPr>
        <w:t xml:space="preserve"> </w:t>
      </w:r>
      <w:r w:rsidR="00871342" w:rsidRPr="009E43F2">
        <w:rPr>
          <w:sz w:val="24"/>
          <w:szCs w:val="24"/>
          <w:vertAlign w:val="superscript"/>
        </w:rPr>
        <w:footnoteReference w:id="5"/>
      </w:r>
      <w:r w:rsidRPr="009E43F2">
        <w:rPr>
          <w:sz w:val="24"/>
          <w:szCs w:val="24"/>
        </w:rPr>
        <w:t xml:space="preserve"> Many countries around the world rely upon only one primary insurer (e.g., Canada, France, and Spain) or very few insurers (e.g., Israel and Belgium), so a single plan should be part of the discussion of the merits of managed competition</w:t>
      </w:r>
      <w:r w:rsidR="00871342">
        <w:rPr>
          <w:sz w:val="24"/>
          <w:szCs w:val="24"/>
        </w:rPr>
        <w:t xml:space="preserve"> against alternative reforms. </w:t>
      </w:r>
      <w:r w:rsidRPr="009E43F2">
        <w:rPr>
          <w:sz w:val="24"/>
          <w:szCs w:val="24"/>
        </w:rPr>
        <w:t xml:space="preserve"> In general, single-payer systems tend to promote equitable access to coverage and </w:t>
      </w:r>
      <w:r w:rsidRPr="009E43F2">
        <w:rPr>
          <w:sz w:val="24"/>
          <w:szCs w:val="24"/>
        </w:rPr>
        <w:lastRenderedPageBreak/>
        <w:t xml:space="preserve">services; in addition, single-payer systems have the potential for strong negotiating power to control prices. For example, although most health plans in the </w:t>
      </w:r>
      <w:r w:rsidR="00B5000D">
        <w:rPr>
          <w:sz w:val="24"/>
          <w:szCs w:val="24"/>
        </w:rPr>
        <w:t>US</w:t>
      </w:r>
      <w:r w:rsidRPr="009E43F2">
        <w:rPr>
          <w:sz w:val="24"/>
          <w:szCs w:val="24"/>
        </w:rPr>
        <w:t xml:space="preserve"> negotiate their own payment rates for each provider, the traditional Medicare program has a standardized, national fee schedule as well as bundled payment for many other types of facility charges. This, coupled with a significant reduction in overhead expenses, makes a consolidation of health services into a single national insurer an encouraging option. </w:t>
      </w:r>
    </w:p>
    <w:p w14:paraId="4386B500" w14:textId="554D3359" w:rsidR="00ED6425" w:rsidRDefault="00AD437C">
      <w:pPr>
        <w:spacing w:line="360" w:lineRule="auto"/>
        <w:ind w:firstLine="720"/>
        <w:rPr>
          <w:sz w:val="24"/>
          <w:szCs w:val="24"/>
        </w:rPr>
      </w:pPr>
      <w:bookmarkStart w:id="7" w:name="_Hlk118102550"/>
      <w:r w:rsidRPr="009E43F2">
        <w:rPr>
          <w:sz w:val="24"/>
          <w:szCs w:val="24"/>
        </w:rPr>
        <w:t xml:space="preserve">However, a Medicare-for-All program may struggle to meet diverse health needs and incentivize quality of outcomes, control costs, or promote the diffusion of health innovations (McGuire &amp; van Kleef, 2018). </w:t>
      </w:r>
      <w:r w:rsidR="00871342">
        <w:rPr>
          <w:sz w:val="24"/>
          <w:szCs w:val="24"/>
        </w:rPr>
        <w:t>Recent work has highlighted that regulated competition frameworks can</w:t>
      </w:r>
      <w:r w:rsidR="00AE5C49">
        <w:rPr>
          <w:sz w:val="24"/>
          <w:szCs w:val="24"/>
        </w:rPr>
        <w:t xml:space="preserve"> leverage price benchmarks to</w:t>
      </w:r>
      <w:r w:rsidR="00871342">
        <w:rPr>
          <w:sz w:val="24"/>
          <w:szCs w:val="24"/>
        </w:rPr>
        <w:t xml:space="preserve"> generate nearly equivalent cost savings</w:t>
      </w:r>
      <w:r w:rsidR="00AE5C49">
        <w:rPr>
          <w:sz w:val="24"/>
          <w:szCs w:val="24"/>
        </w:rPr>
        <w:t>,</w:t>
      </w:r>
      <w:r w:rsidR="00871342">
        <w:rPr>
          <w:sz w:val="24"/>
          <w:szCs w:val="24"/>
        </w:rPr>
        <w:t xml:space="preserve"> while passing on</w:t>
      </w:r>
      <w:r w:rsidR="00AE5C49">
        <w:rPr>
          <w:sz w:val="24"/>
          <w:szCs w:val="24"/>
        </w:rPr>
        <w:t xml:space="preserve"> higher</w:t>
      </w:r>
      <w:r w:rsidR="00871342">
        <w:rPr>
          <w:sz w:val="24"/>
          <w:szCs w:val="24"/>
        </w:rPr>
        <w:t xml:space="preserve"> surplus to enrollees in the form of health benefits</w:t>
      </w:r>
      <w:r w:rsidR="00AE5C49">
        <w:rPr>
          <w:sz w:val="24"/>
          <w:szCs w:val="24"/>
        </w:rPr>
        <w:t xml:space="preserve"> </w:t>
      </w:r>
      <w:r w:rsidR="00871342">
        <w:rPr>
          <w:sz w:val="24"/>
          <w:szCs w:val="24"/>
        </w:rPr>
        <w:t xml:space="preserve">(Curto et al., 2021). </w:t>
      </w:r>
      <w:r w:rsidRPr="009E43F2">
        <w:rPr>
          <w:sz w:val="24"/>
          <w:szCs w:val="24"/>
        </w:rPr>
        <w:t xml:space="preserve">In addition, reforms implementing single-payer systems tend to be much costlier than even broad reforms aimed at encouraging managed competition (Ellis and Hoagland, 2022). Finally, political support for a single-payer system in the </w:t>
      </w:r>
      <w:r w:rsidR="00B5000D">
        <w:rPr>
          <w:sz w:val="24"/>
          <w:szCs w:val="24"/>
        </w:rPr>
        <w:t>US</w:t>
      </w:r>
      <w:r w:rsidRPr="009E43F2">
        <w:rPr>
          <w:sz w:val="24"/>
          <w:szCs w:val="24"/>
        </w:rPr>
        <w:t xml:space="preserve"> continues to be weak, particularly when the costs associated with such a plan are communicated (KFF, 2020).</w:t>
      </w:r>
      <w:r w:rsidRPr="009E43F2">
        <w:rPr>
          <w:sz w:val="24"/>
          <w:szCs w:val="24"/>
          <w:vertAlign w:val="superscript"/>
        </w:rPr>
        <w:footnoteReference w:id="6"/>
      </w:r>
      <w:r w:rsidRPr="009E43F2">
        <w:rPr>
          <w:sz w:val="24"/>
          <w:szCs w:val="24"/>
        </w:rPr>
        <w:t xml:space="preserve"> </w:t>
      </w:r>
      <w:r w:rsidR="00E44A4B">
        <w:rPr>
          <w:sz w:val="24"/>
          <w:szCs w:val="24"/>
        </w:rPr>
        <w:t>A</w:t>
      </w:r>
      <w:r w:rsidRPr="009E43F2">
        <w:rPr>
          <w:sz w:val="24"/>
          <w:szCs w:val="24"/>
        </w:rPr>
        <w:t xml:space="preserve">lthough there are values in promoting single-payer reforms in the </w:t>
      </w:r>
      <w:r w:rsidR="00B5000D">
        <w:rPr>
          <w:sz w:val="24"/>
          <w:szCs w:val="24"/>
        </w:rPr>
        <w:t>US</w:t>
      </w:r>
      <w:r w:rsidRPr="009E43F2">
        <w:rPr>
          <w:sz w:val="24"/>
          <w:szCs w:val="24"/>
        </w:rPr>
        <w:t xml:space="preserve"> and elsewhere, we </w:t>
      </w:r>
      <w:r w:rsidR="00E44A4B">
        <w:rPr>
          <w:sz w:val="24"/>
          <w:szCs w:val="24"/>
        </w:rPr>
        <w:t xml:space="preserve">see some attractions in </w:t>
      </w:r>
      <w:r w:rsidRPr="009E43F2">
        <w:rPr>
          <w:sz w:val="24"/>
          <w:szCs w:val="24"/>
        </w:rPr>
        <w:t>balanc</w:t>
      </w:r>
      <w:r w:rsidR="00E44A4B">
        <w:rPr>
          <w:sz w:val="24"/>
          <w:szCs w:val="24"/>
        </w:rPr>
        <w:t>ing</w:t>
      </w:r>
      <w:r w:rsidRPr="009E43F2">
        <w:rPr>
          <w:sz w:val="24"/>
          <w:szCs w:val="24"/>
        </w:rPr>
        <w:t xml:space="preserve"> pure competition and pure regulation using the framework of managed competition. </w:t>
      </w:r>
    </w:p>
    <w:bookmarkEnd w:id="7"/>
    <w:p w14:paraId="254A0322" w14:textId="77777777" w:rsidR="00F3364B" w:rsidRPr="009E43F2" w:rsidRDefault="00F3364B">
      <w:pPr>
        <w:spacing w:line="360" w:lineRule="auto"/>
        <w:ind w:firstLine="720"/>
        <w:rPr>
          <w:sz w:val="24"/>
          <w:szCs w:val="24"/>
        </w:rPr>
      </w:pPr>
    </w:p>
    <w:p w14:paraId="750F8890" w14:textId="4BE3329B" w:rsidR="009E43F2" w:rsidRPr="009E43F2" w:rsidRDefault="009E43F2" w:rsidP="009E43F2">
      <w:pPr>
        <w:spacing w:line="360" w:lineRule="auto"/>
        <w:rPr>
          <w:b/>
          <w:sz w:val="24"/>
          <w:szCs w:val="24"/>
        </w:rPr>
      </w:pPr>
      <w:r>
        <w:rPr>
          <w:b/>
          <w:sz w:val="24"/>
          <w:szCs w:val="24"/>
        </w:rPr>
        <w:t>4</w:t>
      </w:r>
      <w:r w:rsidRPr="009E43F2">
        <w:rPr>
          <w:b/>
          <w:sz w:val="24"/>
          <w:szCs w:val="24"/>
        </w:rPr>
        <w:t>.</w:t>
      </w:r>
      <w:r w:rsidRPr="009E43F2">
        <w:rPr>
          <w:b/>
          <w:sz w:val="24"/>
          <w:szCs w:val="24"/>
        </w:rPr>
        <w:tab/>
        <w:t xml:space="preserve">TO WHAT EXTENT ARE THE PRECONDITIONS </w:t>
      </w:r>
      <w:r w:rsidR="00F3364B">
        <w:rPr>
          <w:b/>
          <w:sz w:val="24"/>
          <w:szCs w:val="24"/>
        </w:rPr>
        <w:t xml:space="preserve">FOR </w:t>
      </w:r>
      <w:r w:rsidR="003A64A6">
        <w:rPr>
          <w:b/>
          <w:sz w:val="24"/>
          <w:szCs w:val="24"/>
        </w:rPr>
        <w:t xml:space="preserve">MANAGED COMPETITION </w:t>
      </w:r>
      <w:r w:rsidRPr="009E43F2">
        <w:rPr>
          <w:b/>
          <w:sz w:val="24"/>
          <w:szCs w:val="24"/>
        </w:rPr>
        <w:t>MET?</w:t>
      </w:r>
    </w:p>
    <w:p w14:paraId="6FF6EDC0" w14:textId="41E22522" w:rsidR="009E43F2" w:rsidRPr="009E43F2" w:rsidRDefault="009E43F2" w:rsidP="009E43F2">
      <w:pPr>
        <w:spacing w:line="360" w:lineRule="auto"/>
        <w:ind w:firstLine="720"/>
        <w:rPr>
          <w:sz w:val="24"/>
          <w:szCs w:val="24"/>
        </w:rPr>
      </w:pPr>
      <w:r w:rsidRPr="009E43F2">
        <w:rPr>
          <w:sz w:val="24"/>
          <w:szCs w:val="24"/>
        </w:rPr>
        <w:t xml:space="preserve">Making a greater push for managed competition in the </w:t>
      </w:r>
      <w:r w:rsidR="00B5000D">
        <w:rPr>
          <w:sz w:val="24"/>
          <w:szCs w:val="24"/>
        </w:rPr>
        <w:t>US</w:t>
      </w:r>
      <w:r w:rsidRPr="009E43F2">
        <w:rPr>
          <w:sz w:val="24"/>
          <w:szCs w:val="24"/>
        </w:rPr>
        <w:t xml:space="preserve"> requires first understanding </w:t>
      </w:r>
      <w:r w:rsidR="00F3364B" w:rsidRPr="009E43F2">
        <w:rPr>
          <w:sz w:val="24"/>
          <w:szCs w:val="24"/>
        </w:rPr>
        <w:t>whether</w:t>
      </w:r>
      <w:r w:rsidRPr="009E43F2">
        <w:rPr>
          <w:sz w:val="24"/>
          <w:szCs w:val="24"/>
        </w:rPr>
        <w:t xml:space="preserve"> the elements necessary for economic incentives to work effectively are in place. Our literature analysis and survey suggest that none of the existing programs examined contain sufficient competitive pressure to successfully achieve the promises of managed competition as identified in van de Ven (2013) and developed in the subsequent literature. </w:t>
      </w:r>
    </w:p>
    <w:p w14:paraId="6842CB4E" w14:textId="185C4BBC" w:rsidR="00F3364B" w:rsidRDefault="009E43F2" w:rsidP="009E43F2">
      <w:pPr>
        <w:spacing w:line="360" w:lineRule="auto"/>
        <w:ind w:firstLine="720"/>
        <w:rPr>
          <w:sz w:val="24"/>
          <w:szCs w:val="24"/>
        </w:rPr>
      </w:pPr>
      <w:bookmarkStart w:id="8" w:name="_Hlk117759695"/>
      <w:r w:rsidRPr="009E43F2">
        <w:rPr>
          <w:sz w:val="24"/>
          <w:szCs w:val="24"/>
        </w:rPr>
        <w:lastRenderedPageBreak/>
        <w:t xml:space="preserve">To understand more precisely the ways in which existing </w:t>
      </w:r>
      <w:r w:rsidR="00B5000D">
        <w:rPr>
          <w:sz w:val="24"/>
          <w:szCs w:val="24"/>
        </w:rPr>
        <w:t>US</w:t>
      </w:r>
      <w:r w:rsidRPr="009E43F2">
        <w:rPr>
          <w:sz w:val="24"/>
          <w:szCs w:val="24"/>
        </w:rPr>
        <w:t xml:space="preserve"> programs fail or succeed at achieving these preconditions, </w:t>
      </w:r>
      <w:r w:rsidR="00DC4728">
        <w:rPr>
          <w:sz w:val="24"/>
          <w:szCs w:val="24"/>
        </w:rPr>
        <w:t xml:space="preserve">and to expand the perspective beyond those of only the authors, </w:t>
      </w:r>
      <w:r w:rsidRPr="009E43F2">
        <w:rPr>
          <w:sz w:val="24"/>
          <w:szCs w:val="24"/>
        </w:rPr>
        <w:t xml:space="preserve">we conducted a </w:t>
      </w:r>
      <w:r w:rsidR="00E44A4B">
        <w:rPr>
          <w:sz w:val="24"/>
          <w:szCs w:val="24"/>
        </w:rPr>
        <w:t xml:space="preserve">web-based </w:t>
      </w:r>
      <w:r w:rsidRPr="009E43F2">
        <w:rPr>
          <w:sz w:val="24"/>
          <w:szCs w:val="24"/>
        </w:rPr>
        <w:t xml:space="preserve">survey of </w:t>
      </w:r>
      <w:r w:rsidR="00B5000D">
        <w:rPr>
          <w:sz w:val="24"/>
          <w:szCs w:val="24"/>
        </w:rPr>
        <w:t>US</w:t>
      </w:r>
      <w:r w:rsidRPr="009E43F2">
        <w:rPr>
          <w:sz w:val="24"/>
          <w:szCs w:val="24"/>
        </w:rPr>
        <w:t xml:space="preserve">-based health economists and knowledgeable healthcare systems experts from other disciplines. The survey was sent to a mixture of </w:t>
      </w:r>
      <w:r w:rsidR="00C36605">
        <w:rPr>
          <w:sz w:val="24"/>
          <w:szCs w:val="24"/>
        </w:rPr>
        <w:t xml:space="preserve">junior and </w:t>
      </w:r>
      <w:r w:rsidRPr="009E43F2">
        <w:rPr>
          <w:sz w:val="24"/>
          <w:szCs w:val="24"/>
        </w:rPr>
        <w:t xml:space="preserve">senior </w:t>
      </w:r>
      <w:r w:rsidR="00DC4728">
        <w:rPr>
          <w:sz w:val="24"/>
          <w:szCs w:val="24"/>
        </w:rPr>
        <w:t xml:space="preserve">faculty, </w:t>
      </w:r>
      <w:r w:rsidR="00C36605">
        <w:rPr>
          <w:sz w:val="24"/>
          <w:szCs w:val="24"/>
        </w:rPr>
        <w:t xml:space="preserve">researchers </w:t>
      </w:r>
      <w:r w:rsidRPr="009E43F2">
        <w:rPr>
          <w:sz w:val="24"/>
          <w:szCs w:val="24"/>
        </w:rPr>
        <w:t xml:space="preserve">and post docs </w:t>
      </w:r>
      <w:r w:rsidR="00C36605">
        <w:rPr>
          <w:sz w:val="24"/>
          <w:szCs w:val="24"/>
        </w:rPr>
        <w:t xml:space="preserve">at </w:t>
      </w:r>
      <w:r w:rsidR="00373492">
        <w:rPr>
          <w:sz w:val="24"/>
          <w:szCs w:val="24"/>
        </w:rPr>
        <w:t xml:space="preserve">top </w:t>
      </w:r>
      <w:r w:rsidR="00955CC0" w:rsidRPr="00955CC0">
        <w:rPr>
          <w:sz w:val="24"/>
          <w:szCs w:val="24"/>
        </w:rPr>
        <w:t xml:space="preserve">research universities </w:t>
      </w:r>
      <w:r w:rsidR="00C36605">
        <w:rPr>
          <w:sz w:val="24"/>
          <w:szCs w:val="24"/>
        </w:rPr>
        <w:t xml:space="preserve">and think tanks </w:t>
      </w:r>
      <w:r w:rsidR="00373492">
        <w:rPr>
          <w:sz w:val="24"/>
          <w:szCs w:val="24"/>
        </w:rPr>
        <w:t>in 1</w:t>
      </w:r>
      <w:r w:rsidR="00C36605">
        <w:rPr>
          <w:sz w:val="24"/>
          <w:szCs w:val="24"/>
        </w:rPr>
        <w:t>2</w:t>
      </w:r>
      <w:r w:rsidR="00373492">
        <w:rPr>
          <w:sz w:val="24"/>
          <w:szCs w:val="24"/>
        </w:rPr>
        <w:t xml:space="preserve"> states</w:t>
      </w:r>
      <w:r w:rsidR="00F3364B">
        <w:rPr>
          <w:sz w:val="24"/>
          <w:szCs w:val="24"/>
        </w:rPr>
        <w:t xml:space="preserve">. </w:t>
      </w:r>
      <w:r w:rsidR="00373492">
        <w:rPr>
          <w:sz w:val="24"/>
          <w:szCs w:val="24"/>
        </w:rPr>
        <w:t>We received</w:t>
      </w:r>
      <w:r w:rsidR="00F3364B">
        <w:rPr>
          <w:sz w:val="24"/>
          <w:szCs w:val="24"/>
        </w:rPr>
        <w:t xml:space="preserve"> </w:t>
      </w:r>
      <w:r w:rsidRPr="009E43F2">
        <w:rPr>
          <w:sz w:val="24"/>
          <w:szCs w:val="24"/>
        </w:rPr>
        <w:t>14 respondents</w:t>
      </w:r>
      <w:r w:rsidR="00373492">
        <w:rPr>
          <w:sz w:val="24"/>
          <w:szCs w:val="24"/>
        </w:rPr>
        <w:t xml:space="preserve"> </w:t>
      </w:r>
      <w:r w:rsidR="00373492" w:rsidRPr="00955CC0">
        <w:rPr>
          <w:sz w:val="24"/>
          <w:szCs w:val="24"/>
        </w:rPr>
        <w:t xml:space="preserve">from eight </w:t>
      </w:r>
      <w:r w:rsidR="00C36605">
        <w:rPr>
          <w:sz w:val="24"/>
          <w:szCs w:val="24"/>
        </w:rPr>
        <w:t>states</w:t>
      </w:r>
      <w:r w:rsidR="00373492" w:rsidRPr="00955CC0">
        <w:rPr>
          <w:sz w:val="24"/>
          <w:szCs w:val="24"/>
        </w:rPr>
        <w:t xml:space="preserve"> and all four census regions</w:t>
      </w:r>
      <w:r w:rsidR="00373492">
        <w:rPr>
          <w:sz w:val="24"/>
          <w:szCs w:val="24"/>
        </w:rPr>
        <w:t xml:space="preserve">, </w:t>
      </w:r>
      <w:r w:rsidRPr="009E43F2">
        <w:rPr>
          <w:sz w:val="24"/>
          <w:szCs w:val="24"/>
        </w:rPr>
        <w:t xml:space="preserve">a </w:t>
      </w:r>
      <w:r w:rsidR="00726948">
        <w:rPr>
          <w:sz w:val="24"/>
          <w:szCs w:val="24"/>
        </w:rPr>
        <w:t>47</w:t>
      </w:r>
      <w:r w:rsidRPr="009E43F2">
        <w:rPr>
          <w:sz w:val="24"/>
          <w:szCs w:val="24"/>
        </w:rPr>
        <w:t xml:space="preserve">% response rate. </w:t>
      </w:r>
      <w:r w:rsidR="00F3364B">
        <w:rPr>
          <w:sz w:val="24"/>
          <w:szCs w:val="24"/>
        </w:rPr>
        <w:t>Their responses allowed</w:t>
      </w:r>
      <w:r w:rsidRPr="009E43F2">
        <w:rPr>
          <w:sz w:val="24"/>
          <w:szCs w:val="24"/>
        </w:rPr>
        <w:t xml:space="preserve"> us to summarize a broad range of views on this complicated question. </w:t>
      </w:r>
    </w:p>
    <w:bookmarkEnd w:id="8"/>
    <w:p w14:paraId="358087DF" w14:textId="281D9E01" w:rsidR="009E43F2" w:rsidRPr="009E43F2" w:rsidRDefault="009E43F2" w:rsidP="009E43F2">
      <w:pPr>
        <w:spacing w:line="360" w:lineRule="auto"/>
        <w:ind w:firstLine="720"/>
        <w:rPr>
          <w:sz w:val="24"/>
          <w:szCs w:val="24"/>
        </w:rPr>
      </w:pPr>
      <w:r w:rsidRPr="009E43F2">
        <w:rPr>
          <w:sz w:val="24"/>
          <w:szCs w:val="24"/>
        </w:rPr>
        <w:t>Respondents were asked to rate on a scale from 1 to 5 their agreement or disagreement with a paraphrased summary of the thirteen preconditions.</w:t>
      </w:r>
      <w:r w:rsidR="001C4633">
        <w:rPr>
          <w:sz w:val="24"/>
          <w:szCs w:val="24"/>
        </w:rPr>
        <w:t xml:space="preserve"> </w:t>
      </w:r>
      <w:r w:rsidRPr="009E43F2">
        <w:rPr>
          <w:sz w:val="24"/>
          <w:szCs w:val="24"/>
        </w:rPr>
        <w:t xml:space="preserve">We presented each respondent with thirteen precondition prompts and asked them to rate the extent to which the precondition was met in each of the three programs surveyed in this article (on a scale of 1 to 5 with 1 = disagree strongly, 2 = disagree somewhat, 3= Neither agree nor disagree, 4=Agree somewhat and 5=Agree strongly). We also included two overview questions about the extent to which the program at hand achieves equity and efficiency relative to other international health systems. This survey gathered opinions about the success of existing programs, rather than about some future program after healthcare reform. The results give insight into how well current federal and state programs take advantage of (or ignore) the conditions that may allow regulated competition to flourish in the </w:t>
      </w:r>
      <w:r w:rsidR="00B5000D">
        <w:rPr>
          <w:sz w:val="24"/>
          <w:szCs w:val="24"/>
        </w:rPr>
        <w:t>US</w:t>
      </w:r>
      <w:r w:rsidR="00F3364B">
        <w:rPr>
          <w:sz w:val="24"/>
          <w:szCs w:val="24"/>
        </w:rPr>
        <w:t xml:space="preserve">. </w:t>
      </w:r>
    </w:p>
    <w:p w14:paraId="1EE945F6" w14:textId="20FDE2F0" w:rsidR="009E43F2" w:rsidRPr="009E43F2" w:rsidRDefault="009E43F2" w:rsidP="009E43F2">
      <w:pPr>
        <w:spacing w:line="360" w:lineRule="auto"/>
        <w:ind w:firstLine="720"/>
        <w:rPr>
          <w:sz w:val="24"/>
          <w:szCs w:val="24"/>
        </w:rPr>
      </w:pPr>
      <w:bookmarkStart w:id="9" w:name="_Hlk118102385"/>
      <w:r w:rsidRPr="009E43F2">
        <w:rPr>
          <w:sz w:val="24"/>
          <w:szCs w:val="24"/>
        </w:rPr>
        <w:t xml:space="preserve">Figure </w:t>
      </w:r>
      <w:r w:rsidR="00726948">
        <w:rPr>
          <w:sz w:val="24"/>
          <w:szCs w:val="24"/>
        </w:rPr>
        <w:t>1</w:t>
      </w:r>
      <w:r w:rsidRPr="009E43F2">
        <w:rPr>
          <w:sz w:val="24"/>
          <w:szCs w:val="24"/>
        </w:rPr>
        <w:t xml:space="preserve"> presents results from this survey. </w:t>
      </w:r>
      <w:r w:rsidR="00082EA8">
        <w:rPr>
          <w:sz w:val="24"/>
          <w:szCs w:val="24"/>
        </w:rPr>
        <w:t>Pooling responses</w:t>
      </w:r>
      <w:r w:rsidR="007A33D5">
        <w:rPr>
          <w:sz w:val="24"/>
          <w:szCs w:val="24"/>
        </w:rPr>
        <w:t xml:space="preserve"> across all </w:t>
      </w:r>
      <w:r w:rsidR="00082EA8">
        <w:rPr>
          <w:sz w:val="24"/>
          <w:szCs w:val="24"/>
        </w:rPr>
        <w:t>survey questions</w:t>
      </w:r>
      <w:r w:rsidR="00C45895">
        <w:rPr>
          <w:sz w:val="24"/>
          <w:szCs w:val="24"/>
        </w:rPr>
        <w:t xml:space="preserve">, </w:t>
      </w:r>
      <w:r w:rsidR="005A57F6">
        <w:rPr>
          <w:sz w:val="24"/>
          <w:szCs w:val="24"/>
        </w:rPr>
        <w:t xml:space="preserve">the average ratings for each program (with their 95% confidence intervals) are 2.55 </w:t>
      </w:r>
      <w:r w:rsidR="00082EA8">
        <w:rPr>
          <w:sz w:val="24"/>
          <w:szCs w:val="24"/>
        </w:rPr>
        <w:t>[</w:t>
      </w:r>
      <w:r w:rsidR="005A57F6">
        <w:rPr>
          <w:sz w:val="24"/>
          <w:szCs w:val="24"/>
        </w:rPr>
        <w:t>2.38, 2.71</w:t>
      </w:r>
      <w:r w:rsidR="00082EA8">
        <w:rPr>
          <w:sz w:val="24"/>
          <w:szCs w:val="24"/>
        </w:rPr>
        <w:t>]</w:t>
      </w:r>
      <w:r w:rsidR="005A57F6">
        <w:rPr>
          <w:sz w:val="24"/>
          <w:szCs w:val="24"/>
        </w:rPr>
        <w:t xml:space="preserve"> for the ACA Marketplace, 2.55 </w:t>
      </w:r>
      <w:r w:rsidR="00082EA8">
        <w:rPr>
          <w:sz w:val="24"/>
          <w:szCs w:val="24"/>
        </w:rPr>
        <w:t>[</w:t>
      </w:r>
      <w:r w:rsidR="005A57F6">
        <w:rPr>
          <w:sz w:val="24"/>
          <w:szCs w:val="24"/>
        </w:rPr>
        <w:t>2.38, 2.72</w:t>
      </w:r>
      <w:r w:rsidR="00082EA8">
        <w:rPr>
          <w:sz w:val="24"/>
          <w:szCs w:val="24"/>
        </w:rPr>
        <w:t>]</w:t>
      </w:r>
      <w:r w:rsidR="005A57F6">
        <w:rPr>
          <w:sz w:val="24"/>
          <w:szCs w:val="24"/>
        </w:rPr>
        <w:t xml:space="preserve"> for Medicaid MCOs, and 2.70 </w:t>
      </w:r>
      <w:r w:rsidR="00082EA8">
        <w:rPr>
          <w:sz w:val="24"/>
          <w:szCs w:val="24"/>
        </w:rPr>
        <w:t>[</w:t>
      </w:r>
      <w:r w:rsidR="005A57F6">
        <w:rPr>
          <w:sz w:val="24"/>
          <w:szCs w:val="24"/>
        </w:rPr>
        <w:t>2.54, 2.87</w:t>
      </w:r>
      <w:r w:rsidR="00082EA8">
        <w:rPr>
          <w:sz w:val="24"/>
          <w:szCs w:val="24"/>
        </w:rPr>
        <w:t>]</w:t>
      </w:r>
      <w:r w:rsidR="005A57F6">
        <w:rPr>
          <w:sz w:val="24"/>
          <w:szCs w:val="24"/>
        </w:rPr>
        <w:t xml:space="preserve"> for Medicare Advantage. Taken together, this indicates that survey respondents </w:t>
      </w:r>
      <w:r w:rsidR="00613C0A">
        <w:rPr>
          <w:sz w:val="24"/>
          <w:szCs w:val="24"/>
        </w:rPr>
        <w:t xml:space="preserve">may </w:t>
      </w:r>
      <w:r w:rsidR="005A57F6">
        <w:rPr>
          <w:sz w:val="24"/>
          <w:szCs w:val="24"/>
        </w:rPr>
        <w:t xml:space="preserve">have a </w:t>
      </w:r>
      <w:r w:rsidR="00613C0A">
        <w:rPr>
          <w:sz w:val="24"/>
          <w:szCs w:val="24"/>
        </w:rPr>
        <w:t xml:space="preserve">slightly </w:t>
      </w:r>
      <w:r w:rsidR="005A57F6">
        <w:rPr>
          <w:sz w:val="24"/>
          <w:szCs w:val="24"/>
        </w:rPr>
        <w:t>higher opinion of the Medicare Advantage as a form of managed competition than the other two programs</w:t>
      </w:r>
      <w:r w:rsidR="00613C0A">
        <w:rPr>
          <w:sz w:val="24"/>
          <w:szCs w:val="24"/>
        </w:rPr>
        <w:t>, although the differences are not statistically or economically significant</w:t>
      </w:r>
      <w:r w:rsidR="005A57F6">
        <w:rPr>
          <w:sz w:val="24"/>
          <w:szCs w:val="24"/>
        </w:rPr>
        <w:t xml:space="preserve"> (</w:t>
      </w:r>
      <w:r w:rsidR="005A57F6">
        <w:rPr>
          <w:i/>
          <w:iCs/>
          <w:sz w:val="24"/>
          <w:szCs w:val="24"/>
        </w:rPr>
        <w:t>p</w:t>
      </w:r>
      <w:r w:rsidR="005A57F6" w:rsidRPr="001873FB">
        <w:rPr>
          <w:sz w:val="24"/>
          <w:szCs w:val="24"/>
        </w:rPr>
        <w:t>=0.18</w:t>
      </w:r>
      <w:r w:rsidR="005A57F6">
        <w:rPr>
          <w:i/>
          <w:iCs/>
          <w:sz w:val="24"/>
          <w:szCs w:val="24"/>
        </w:rPr>
        <w:t xml:space="preserve"> </w:t>
      </w:r>
      <w:r w:rsidR="005A57F6">
        <w:rPr>
          <w:sz w:val="24"/>
          <w:szCs w:val="24"/>
        </w:rPr>
        <w:t xml:space="preserve">and </w:t>
      </w:r>
      <w:r w:rsidR="005A57F6">
        <w:rPr>
          <w:i/>
          <w:iCs/>
          <w:sz w:val="24"/>
          <w:szCs w:val="24"/>
        </w:rPr>
        <w:t>p</w:t>
      </w:r>
      <w:r w:rsidR="005A57F6" w:rsidRPr="001873FB">
        <w:rPr>
          <w:sz w:val="24"/>
          <w:szCs w:val="24"/>
        </w:rPr>
        <w:t>=0.22</w:t>
      </w:r>
      <w:r w:rsidR="005A57F6">
        <w:rPr>
          <w:sz w:val="24"/>
          <w:szCs w:val="24"/>
        </w:rPr>
        <w:t xml:space="preserve">, respectively). </w:t>
      </w:r>
      <w:r w:rsidR="0001604B">
        <w:rPr>
          <w:sz w:val="24"/>
          <w:szCs w:val="24"/>
        </w:rPr>
        <w:t xml:space="preserve">In general, </w:t>
      </w:r>
      <w:r w:rsidRPr="009E43F2">
        <w:rPr>
          <w:sz w:val="24"/>
          <w:szCs w:val="24"/>
        </w:rPr>
        <w:t>there is no system of regulated competition in the US that is rated positively on more than 5 preconditions.</w:t>
      </w:r>
      <w:r w:rsidR="00C45895">
        <w:rPr>
          <w:rStyle w:val="FootnoteReference"/>
          <w:sz w:val="24"/>
          <w:szCs w:val="24"/>
        </w:rPr>
        <w:footnoteReference w:id="7"/>
      </w:r>
      <w:r w:rsidRPr="009E43F2">
        <w:rPr>
          <w:sz w:val="24"/>
          <w:szCs w:val="24"/>
        </w:rPr>
        <w:t xml:space="preserve"> </w:t>
      </w:r>
    </w:p>
    <w:bookmarkEnd w:id="9"/>
    <w:p w14:paraId="762DC0EF" w14:textId="387906BD" w:rsidR="009E43F2" w:rsidRPr="009E43F2" w:rsidRDefault="009E43F2" w:rsidP="009E43F2">
      <w:pPr>
        <w:spacing w:line="360" w:lineRule="auto"/>
        <w:ind w:firstLine="720"/>
        <w:rPr>
          <w:sz w:val="24"/>
          <w:szCs w:val="24"/>
        </w:rPr>
      </w:pPr>
      <w:r w:rsidRPr="009E43F2">
        <w:rPr>
          <w:sz w:val="24"/>
          <w:szCs w:val="24"/>
        </w:rPr>
        <w:lastRenderedPageBreak/>
        <w:t xml:space="preserve">The Medicare Advantage program has the highest average ratings with 5 </w:t>
      </w:r>
      <w:r w:rsidR="00F3364B" w:rsidRPr="009E43F2">
        <w:rPr>
          <w:sz w:val="24"/>
          <w:szCs w:val="24"/>
        </w:rPr>
        <w:t>positive</w:t>
      </w:r>
      <w:r w:rsidR="00F3364B">
        <w:rPr>
          <w:sz w:val="24"/>
          <w:szCs w:val="24"/>
        </w:rPr>
        <w:t xml:space="preserve"> </w:t>
      </w:r>
      <w:r w:rsidR="00B337F4">
        <w:rPr>
          <w:sz w:val="24"/>
          <w:szCs w:val="24"/>
        </w:rPr>
        <w:t>attribute</w:t>
      </w:r>
      <w:r w:rsidR="00B337F4" w:rsidRPr="009E43F2">
        <w:rPr>
          <w:sz w:val="24"/>
          <w:szCs w:val="24"/>
        </w:rPr>
        <w:t>s</w:t>
      </w:r>
      <w:r w:rsidRPr="009E43F2">
        <w:rPr>
          <w:sz w:val="24"/>
          <w:szCs w:val="24"/>
        </w:rPr>
        <w:t xml:space="preserve"> (consumer choice, consumer information/transparency, guaranteed access to care, affordable out-of-pocket costs, and basic benefit coverage), 1 neutral and 9 </w:t>
      </w:r>
      <w:proofErr w:type="gramStart"/>
      <w:r w:rsidRPr="009E43F2">
        <w:rPr>
          <w:sz w:val="24"/>
          <w:szCs w:val="24"/>
        </w:rPr>
        <w:t>negative</w:t>
      </w:r>
      <w:proofErr w:type="gramEnd"/>
      <w:r w:rsidRPr="009E43F2">
        <w:rPr>
          <w:sz w:val="24"/>
          <w:szCs w:val="24"/>
        </w:rPr>
        <w:t>. The Medicaid MCOs and the ACA marketplace share the lowest average ratings. Across the three systems, the ratings that are most negative are for appropriate regulation of contracts and integration</w:t>
      </w:r>
      <w:r w:rsidR="00F3364B">
        <w:rPr>
          <w:sz w:val="24"/>
          <w:szCs w:val="24"/>
        </w:rPr>
        <w:t>;</w:t>
      </w:r>
      <w:r w:rsidRPr="009E43F2">
        <w:rPr>
          <w:sz w:val="24"/>
          <w:szCs w:val="24"/>
        </w:rPr>
        <w:t xml:space="preserve"> contestable markets: providers</w:t>
      </w:r>
      <w:r w:rsidR="00F3364B">
        <w:rPr>
          <w:sz w:val="24"/>
          <w:szCs w:val="24"/>
        </w:rPr>
        <w:t>;</w:t>
      </w:r>
      <w:r w:rsidRPr="009E43F2">
        <w:rPr>
          <w:sz w:val="24"/>
          <w:szCs w:val="24"/>
        </w:rPr>
        <w:t xml:space="preserve"> equity considerations</w:t>
      </w:r>
      <w:r w:rsidR="00F3364B">
        <w:rPr>
          <w:sz w:val="24"/>
          <w:szCs w:val="24"/>
        </w:rPr>
        <w:t>;</w:t>
      </w:r>
      <w:r w:rsidRPr="009E43F2">
        <w:rPr>
          <w:sz w:val="24"/>
          <w:szCs w:val="24"/>
        </w:rPr>
        <w:t xml:space="preserve"> and efficiency considerations. The highest average ratings are for the basic benefit package, affordable out-of-pocket costs, and guaranteed access. Not surprisingly, Medicaid MCOs rate highly on affordability, given that fees for all services are all zero, however that system rates very poorly on quality and equity.</w:t>
      </w:r>
      <w:r w:rsidR="00CE50AB">
        <w:rPr>
          <w:sz w:val="24"/>
          <w:szCs w:val="24"/>
        </w:rPr>
        <w:t xml:space="preserve"> The overall correlation of responses between the Medicare Advantage program and the ACA marketplace is 0.82, and the ratings of these two programs are most correlated among </w:t>
      </w:r>
      <w:r w:rsidR="00D75CDA">
        <w:rPr>
          <w:sz w:val="24"/>
          <w:szCs w:val="24"/>
        </w:rPr>
        <w:t xml:space="preserve">contestable markets: providers (0.97); </w:t>
      </w:r>
      <w:r w:rsidR="00D75CDA" w:rsidRPr="009E43F2">
        <w:rPr>
          <w:sz w:val="24"/>
          <w:szCs w:val="24"/>
        </w:rPr>
        <w:t>appropriate regulation of contracts and integration</w:t>
      </w:r>
      <w:r w:rsidR="00D75CDA">
        <w:rPr>
          <w:sz w:val="24"/>
          <w:szCs w:val="24"/>
        </w:rPr>
        <w:t xml:space="preserve"> (0.94); and efficiency considerations (0.93). </w:t>
      </w:r>
    </w:p>
    <w:p w14:paraId="544F9778" w14:textId="4EE24541" w:rsidR="009E43F2" w:rsidRPr="009E43F2" w:rsidRDefault="009E43F2" w:rsidP="009E43F2">
      <w:pPr>
        <w:spacing w:line="360" w:lineRule="auto"/>
        <w:ind w:firstLine="720"/>
        <w:rPr>
          <w:sz w:val="24"/>
          <w:szCs w:val="24"/>
        </w:rPr>
      </w:pPr>
      <w:r w:rsidRPr="009E43F2">
        <w:rPr>
          <w:sz w:val="24"/>
          <w:szCs w:val="24"/>
        </w:rPr>
        <w:t xml:space="preserve">Overall, survey results about the three systems give little support for the view that the US has found a workable model for managed competition as envisioned by Enthoven (1993) or van de Ven et al (2013). The programs examined in this article, unsurprisingly, fall </w:t>
      </w:r>
      <w:r w:rsidR="00DC4728">
        <w:rPr>
          <w:sz w:val="24"/>
          <w:szCs w:val="24"/>
        </w:rPr>
        <w:t xml:space="preserve">seriously </w:t>
      </w:r>
      <w:r w:rsidRPr="009E43F2">
        <w:rPr>
          <w:sz w:val="24"/>
          <w:szCs w:val="24"/>
        </w:rPr>
        <w:t xml:space="preserve">short. Some of these programs partially or fully subsidize cost-sharing at the consumer level, leaving insurers no way to “pass through” cost savings to enrollees and thereby gutting any efficiency gains from price competition (Layton et al., 2018). Instead, these programs rely on other forms of state power to control costs, including fixing reimbursement rates, arbitrarily excluding plans from the market, and assigning consumers automatically to lower-priced plans. </w:t>
      </w:r>
      <w:r w:rsidR="00DC4728">
        <w:rPr>
          <w:sz w:val="24"/>
          <w:szCs w:val="24"/>
        </w:rPr>
        <w:t xml:space="preserve">US programs differ greatly </w:t>
      </w:r>
      <w:r w:rsidRPr="009E43F2">
        <w:rPr>
          <w:sz w:val="24"/>
          <w:szCs w:val="24"/>
        </w:rPr>
        <w:t xml:space="preserve">from </w:t>
      </w:r>
      <w:r w:rsidR="00DC4728">
        <w:rPr>
          <w:sz w:val="24"/>
          <w:szCs w:val="24"/>
        </w:rPr>
        <w:t xml:space="preserve">what is </w:t>
      </w:r>
      <w:r w:rsidRPr="009E43F2">
        <w:rPr>
          <w:sz w:val="24"/>
          <w:szCs w:val="24"/>
        </w:rPr>
        <w:t xml:space="preserve">proposed by Enthoven (1993) or van de Ven et al (2013). </w:t>
      </w:r>
    </w:p>
    <w:p w14:paraId="0C72C02C" w14:textId="46F7E602" w:rsidR="009E43F2" w:rsidRDefault="009E43F2" w:rsidP="009E43F2">
      <w:pPr>
        <w:spacing w:before="240" w:after="240" w:line="240" w:lineRule="auto"/>
        <w:rPr>
          <w:sz w:val="24"/>
          <w:szCs w:val="24"/>
        </w:rPr>
      </w:pPr>
      <w:r>
        <w:rPr>
          <w:b/>
        </w:rPr>
        <w:lastRenderedPageBreak/>
        <w:t xml:space="preserve">Figure </w:t>
      </w:r>
      <w:r w:rsidR="00726948">
        <w:rPr>
          <w:b/>
        </w:rPr>
        <w:t>1</w:t>
      </w:r>
      <w:r>
        <w:rPr>
          <w:b/>
        </w:rPr>
        <w:t xml:space="preserve">. Economist Opinions on Existence of </w:t>
      </w:r>
      <w:r w:rsidR="00B5000D">
        <w:rPr>
          <w:b/>
        </w:rPr>
        <w:t>US</w:t>
      </w:r>
      <w:r>
        <w:rPr>
          <w:b/>
        </w:rPr>
        <w:t xml:space="preserve"> Preconditions for Effective Managed Competition</w:t>
      </w:r>
      <w:r>
        <w:rPr>
          <w:b/>
          <w:noProof/>
          <w:lang w:val="en-US"/>
        </w:rPr>
        <w:drawing>
          <wp:inline distT="114300" distB="114300" distL="114300" distR="114300" wp14:anchorId="0BB6E412" wp14:editId="0258305A">
            <wp:extent cx="5943600" cy="4318000"/>
            <wp:effectExtent l="0" t="0" r="0" b="0"/>
            <wp:docPr id="1"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Chart, bar chart&#10;&#10;Description automatically generated"/>
                    <pic:cNvPicPr preferRelativeResize="0"/>
                  </pic:nvPicPr>
                  <pic:blipFill>
                    <a:blip r:embed="rId8"/>
                    <a:srcRect/>
                    <a:stretch>
                      <a:fillRect/>
                    </a:stretch>
                  </pic:blipFill>
                  <pic:spPr>
                    <a:xfrm>
                      <a:off x="0" y="0"/>
                      <a:ext cx="5943600" cy="4318000"/>
                    </a:xfrm>
                    <a:prstGeom prst="rect">
                      <a:avLst/>
                    </a:prstGeom>
                    <a:ln/>
                  </pic:spPr>
                </pic:pic>
              </a:graphicData>
            </a:graphic>
          </wp:inline>
        </w:drawing>
      </w:r>
    </w:p>
    <w:p w14:paraId="294308D7" w14:textId="464864AE" w:rsidR="009E43F2" w:rsidRDefault="009E43F2" w:rsidP="009E43F2">
      <w:pPr>
        <w:spacing w:before="240" w:after="240" w:line="240" w:lineRule="auto"/>
      </w:pPr>
      <w:r>
        <w:rPr>
          <w:i/>
        </w:rPr>
        <w:t>Figure Notes</w:t>
      </w:r>
      <w:r>
        <w:t xml:space="preserve">: </w:t>
      </w:r>
      <w:bookmarkStart w:id="10" w:name="_Hlk117759461"/>
      <w:bookmarkStart w:id="11" w:name="_Hlk118102327"/>
      <w:r w:rsidR="005A2339">
        <w:t>Figure shows results of N=14 health economist opinions on the extent to which preconditions are met across Medicaid MCOs, Medicare Advantage, and the ACA Marketplace. Respondents rated the 3 programs on a scale of 1 (strongly disagree) to 5 (strongly agree) on each of the thirteen preconditions, plus two additional</w:t>
      </w:r>
      <w:r w:rsidR="005A2339" w:rsidRPr="008258FD">
        <w:t xml:space="preserve"> </w:t>
      </w:r>
      <w:r w:rsidR="005A2339">
        <w:t xml:space="preserve">questions on </w:t>
      </w:r>
      <w:r w:rsidR="005A2339" w:rsidRPr="008258FD">
        <w:t>equity and efficiency</w:t>
      </w:r>
      <w:r w:rsidR="005A2339">
        <w:t>. Averages for each response are presented</w:t>
      </w:r>
      <w:bookmarkEnd w:id="10"/>
      <w:r w:rsidR="005A2339">
        <w:t>.</w:t>
      </w:r>
      <w:bookmarkEnd w:id="11"/>
    </w:p>
    <w:p w14:paraId="6C2A334D" w14:textId="77777777" w:rsidR="00B337F4" w:rsidRDefault="00B337F4">
      <w:pPr>
        <w:spacing w:line="360" w:lineRule="auto"/>
        <w:rPr>
          <w:b/>
          <w:sz w:val="24"/>
          <w:szCs w:val="24"/>
        </w:rPr>
      </w:pPr>
    </w:p>
    <w:p w14:paraId="5C6A0525" w14:textId="22B3F0D0" w:rsidR="00ED6425" w:rsidRPr="009E43F2" w:rsidRDefault="009E43F2">
      <w:pPr>
        <w:spacing w:line="360" w:lineRule="auto"/>
        <w:rPr>
          <w:sz w:val="24"/>
          <w:szCs w:val="24"/>
        </w:rPr>
      </w:pPr>
      <w:r>
        <w:rPr>
          <w:b/>
          <w:sz w:val="24"/>
          <w:szCs w:val="24"/>
        </w:rPr>
        <w:t>5</w:t>
      </w:r>
      <w:r w:rsidR="00AD437C" w:rsidRPr="009E43F2">
        <w:rPr>
          <w:b/>
          <w:sz w:val="24"/>
          <w:szCs w:val="24"/>
        </w:rPr>
        <w:t>.</w:t>
      </w:r>
      <w:r w:rsidR="00AD437C" w:rsidRPr="009E43F2">
        <w:rPr>
          <w:b/>
          <w:sz w:val="24"/>
          <w:szCs w:val="24"/>
        </w:rPr>
        <w:tab/>
        <w:t>ROAD MAPS TO MANAGED COMPETITION</w:t>
      </w:r>
    </w:p>
    <w:p w14:paraId="6A543D8C" w14:textId="27473BB5" w:rsidR="00ED6425" w:rsidRPr="009E43F2" w:rsidRDefault="00AD437C">
      <w:pPr>
        <w:spacing w:line="360" w:lineRule="auto"/>
        <w:ind w:firstLine="720"/>
        <w:rPr>
          <w:sz w:val="24"/>
          <w:szCs w:val="24"/>
        </w:rPr>
      </w:pPr>
      <w:r w:rsidRPr="009E43F2">
        <w:rPr>
          <w:sz w:val="24"/>
          <w:szCs w:val="24"/>
        </w:rPr>
        <w:t xml:space="preserve">Given the historic complexity of the </w:t>
      </w:r>
      <w:r w:rsidR="00B5000D">
        <w:rPr>
          <w:sz w:val="24"/>
          <w:szCs w:val="24"/>
        </w:rPr>
        <w:t>US</w:t>
      </w:r>
      <w:r w:rsidRPr="009E43F2">
        <w:rPr>
          <w:sz w:val="24"/>
          <w:szCs w:val="24"/>
        </w:rPr>
        <w:t xml:space="preserve"> healthcare system and its present rate of consolidation, </w:t>
      </w:r>
      <w:r w:rsidR="00F3364B">
        <w:rPr>
          <w:sz w:val="24"/>
          <w:szCs w:val="24"/>
        </w:rPr>
        <w:t xml:space="preserve">increasing </w:t>
      </w:r>
      <w:r w:rsidRPr="009E43F2">
        <w:rPr>
          <w:sz w:val="24"/>
          <w:szCs w:val="24"/>
        </w:rPr>
        <w:t xml:space="preserve">reliance on managed competition appears to be an uphill struggle. In general, all </w:t>
      </w:r>
      <w:r w:rsidR="00B5000D">
        <w:rPr>
          <w:sz w:val="24"/>
          <w:szCs w:val="24"/>
        </w:rPr>
        <w:t>US</w:t>
      </w:r>
      <w:r w:rsidRPr="009E43F2">
        <w:rPr>
          <w:sz w:val="24"/>
          <w:szCs w:val="24"/>
        </w:rPr>
        <w:t xml:space="preserve"> health systems currently struggle with market segmentation, resulting in a patchwork of both private and public insurance systems that are rarely portable across states. Hindering consumer substitution severely restricts competition among both insurers and providers, and dampens each program’s ability to control premiums, costs, and quality. This problem is further complicated by the increased rate </w:t>
      </w:r>
      <w:r w:rsidRPr="009E43F2">
        <w:rPr>
          <w:sz w:val="24"/>
          <w:szCs w:val="24"/>
        </w:rPr>
        <w:lastRenderedPageBreak/>
        <w:t xml:space="preserve">at which provider and insurance markets are consolidating. Any move to expand the role of regulated competition in the </w:t>
      </w:r>
      <w:r w:rsidR="00B5000D">
        <w:rPr>
          <w:sz w:val="24"/>
          <w:szCs w:val="24"/>
        </w:rPr>
        <w:t>US</w:t>
      </w:r>
      <w:r w:rsidRPr="009E43F2">
        <w:rPr>
          <w:sz w:val="24"/>
          <w:szCs w:val="24"/>
        </w:rPr>
        <w:t xml:space="preserve"> should first and foremost resolve the problem of </w:t>
      </w:r>
      <w:r w:rsidR="00DC4728" w:rsidRPr="009E43F2">
        <w:rPr>
          <w:sz w:val="24"/>
          <w:szCs w:val="24"/>
        </w:rPr>
        <w:t>overly localized</w:t>
      </w:r>
      <w:r w:rsidRPr="009E43F2">
        <w:rPr>
          <w:sz w:val="24"/>
          <w:szCs w:val="24"/>
        </w:rPr>
        <w:t xml:space="preserve"> markets, either by creating a method for plan portability or otherwise by introducing a harmonized system of coverage.</w:t>
      </w:r>
    </w:p>
    <w:p w14:paraId="3CCA0D49" w14:textId="7754BFAC" w:rsidR="00ED6425" w:rsidRPr="009E43F2" w:rsidRDefault="002562B8">
      <w:pPr>
        <w:spacing w:line="360" w:lineRule="auto"/>
        <w:ind w:firstLine="720"/>
        <w:rPr>
          <w:sz w:val="24"/>
          <w:szCs w:val="24"/>
        </w:rPr>
      </w:pPr>
      <w:r>
        <w:rPr>
          <w:sz w:val="24"/>
          <w:szCs w:val="24"/>
        </w:rPr>
        <w:t>E</w:t>
      </w:r>
      <w:r w:rsidR="00AD437C" w:rsidRPr="009E43F2">
        <w:rPr>
          <w:sz w:val="24"/>
          <w:szCs w:val="24"/>
        </w:rPr>
        <w:t xml:space="preserve">ach of three large </w:t>
      </w:r>
      <w:r w:rsidR="00DC4728" w:rsidRPr="009E43F2">
        <w:rPr>
          <w:sz w:val="24"/>
          <w:szCs w:val="24"/>
        </w:rPr>
        <w:t>publicly funded</w:t>
      </w:r>
      <w:r w:rsidR="00AD437C" w:rsidRPr="009E43F2">
        <w:rPr>
          <w:sz w:val="24"/>
          <w:szCs w:val="24"/>
        </w:rPr>
        <w:t xml:space="preserve"> programs in the </w:t>
      </w:r>
      <w:r w:rsidR="00B5000D">
        <w:rPr>
          <w:sz w:val="24"/>
          <w:szCs w:val="24"/>
        </w:rPr>
        <w:t>US</w:t>
      </w:r>
      <w:r w:rsidR="00AD437C" w:rsidRPr="009E43F2">
        <w:rPr>
          <w:sz w:val="24"/>
          <w:szCs w:val="24"/>
        </w:rPr>
        <w:t xml:space="preserve"> utilizing principles of regulated competition could form the foundation of a new universal managed competition structure. However, whichever path is taken, challenges remain. These three programs each struggle—in their own ways—to encourage insurer and provider participation or to meet a diverse set of needs from the most vulnerable groups</w:t>
      </w:r>
      <w:r>
        <w:rPr>
          <w:sz w:val="24"/>
          <w:szCs w:val="24"/>
        </w:rPr>
        <w:t xml:space="preserve">, </w:t>
      </w:r>
      <w:r w:rsidR="00AD437C" w:rsidRPr="009E43F2">
        <w:rPr>
          <w:sz w:val="24"/>
          <w:szCs w:val="24"/>
        </w:rPr>
        <w:t xml:space="preserve">including children, individuals with chronic conditions or disabilities, and others with reduced access to the health care system. A roadmap to expanding managed competition in the </w:t>
      </w:r>
      <w:r w:rsidR="00B5000D">
        <w:rPr>
          <w:sz w:val="24"/>
          <w:szCs w:val="24"/>
        </w:rPr>
        <w:t>US</w:t>
      </w:r>
      <w:r w:rsidR="00AD437C" w:rsidRPr="009E43F2">
        <w:rPr>
          <w:sz w:val="24"/>
          <w:szCs w:val="24"/>
        </w:rPr>
        <w:t xml:space="preserve"> requires carefully weighing the tradeoffs associated with universal access and meeting the unique needs of diverse individual</w:t>
      </w:r>
      <w:r>
        <w:rPr>
          <w:sz w:val="24"/>
          <w:szCs w:val="24"/>
        </w:rPr>
        <w:t xml:space="preserve">s </w:t>
      </w:r>
      <w:r w:rsidR="00AD437C" w:rsidRPr="009E43F2">
        <w:rPr>
          <w:sz w:val="24"/>
          <w:szCs w:val="24"/>
        </w:rPr>
        <w:t>in the healthcare system.</w:t>
      </w:r>
    </w:p>
    <w:p w14:paraId="117CEEAE" w14:textId="02ABA217" w:rsidR="00ED6425" w:rsidRPr="009E43F2" w:rsidRDefault="00AD437C">
      <w:pPr>
        <w:spacing w:line="360" w:lineRule="auto"/>
        <w:ind w:firstLine="720"/>
        <w:rPr>
          <w:sz w:val="24"/>
          <w:szCs w:val="24"/>
        </w:rPr>
      </w:pPr>
      <w:r w:rsidRPr="009E43F2">
        <w:rPr>
          <w:sz w:val="24"/>
          <w:szCs w:val="24"/>
        </w:rPr>
        <w:t xml:space="preserve">Even once the structure of managed care is determined and harmonized, expanding access to such a program will require careful consideration. Given the close integration of health insurance and employment, any sweeping health reforms have the potential to significantly alter employer behavior and wages, ultimately imposing significant general equilibrium macroeconomic effects. Additionally, as noted previously, expanding affordable access to </w:t>
      </w:r>
      <w:r w:rsidRPr="009E43F2">
        <w:rPr>
          <w:i/>
          <w:sz w:val="24"/>
          <w:szCs w:val="24"/>
        </w:rPr>
        <w:t xml:space="preserve">coverage </w:t>
      </w:r>
      <w:r w:rsidRPr="009E43F2">
        <w:rPr>
          <w:sz w:val="24"/>
          <w:szCs w:val="24"/>
        </w:rPr>
        <w:t xml:space="preserve">may disrupt supply-side incentives of physicians, leading to new problems of access to </w:t>
      </w:r>
      <w:r w:rsidRPr="009E43F2">
        <w:rPr>
          <w:i/>
          <w:sz w:val="24"/>
          <w:szCs w:val="24"/>
        </w:rPr>
        <w:t xml:space="preserve">services </w:t>
      </w:r>
      <w:r w:rsidRPr="009E43F2">
        <w:rPr>
          <w:sz w:val="24"/>
          <w:szCs w:val="24"/>
        </w:rPr>
        <w:t>if the pendulum is swung too far in the opposite direction. Finally, any potential health reform must consider the political climate, including both the immediate viability of reform and the timeline of any phase-in associated with the change. Such considerations may ultimately lead to reforms which are socially optimal only subject to an added constraint of political feasibility (Ellis and Hoagland, 2022).</w:t>
      </w:r>
    </w:p>
    <w:p w14:paraId="3DCA8E21" w14:textId="77777777" w:rsidR="00ED6425" w:rsidRDefault="00ED6425">
      <w:pPr>
        <w:spacing w:line="360" w:lineRule="auto"/>
        <w:rPr>
          <w:b/>
          <w:sz w:val="24"/>
          <w:szCs w:val="24"/>
        </w:rPr>
      </w:pPr>
    </w:p>
    <w:p w14:paraId="1EBB5641" w14:textId="77777777" w:rsidR="00ED6425" w:rsidRDefault="00AD437C">
      <w:pPr>
        <w:spacing w:line="360" w:lineRule="auto"/>
        <w:rPr>
          <w:b/>
          <w:sz w:val="24"/>
          <w:szCs w:val="24"/>
        </w:rPr>
      </w:pPr>
      <w:r>
        <w:rPr>
          <w:b/>
          <w:sz w:val="24"/>
          <w:szCs w:val="24"/>
        </w:rPr>
        <w:t>6.</w:t>
      </w:r>
      <w:r>
        <w:rPr>
          <w:b/>
          <w:sz w:val="24"/>
          <w:szCs w:val="24"/>
        </w:rPr>
        <w:tab/>
        <w:t>CONCLUDING REMARKS</w:t>
      </w:r>
    </w:p>
    <w:p w14:paraId="13E8B7B5" w14:textId="094A25CB" w:rsidR="00ED6425" w:rsidRDefault="00AD437C">
      <w:pPr>
        <w:spacing w:line="360" w:lineRule="auto"/>
        <w:ind w:firstLine="720"/>
        <w:rPr>
          <w:sz w:val="24"/>
          <w:szCs w:val="24"/>
        </w:rPr>
      </w:pPr>
      <w:r>
        <w:rPr>
          <w:sz w:val="24"/>
          <w:szCs w:val="24"/>
        </w:rPr>
        <w:t xml:space="preserve">In this analysis, we have documented the wide degree of fragmentation in the </w:t>
      </w:r>
      <w:r w:rsidR="00B5000D">
        <w:rPr>
          <w:sz w:val="24"/>
          <w:szCs w:val="24"/>
        </w:rPr>
        <w:t>US</w:t>
      </w:r>
      <w:r>
        <w:rPr>
          <w:sz w:val="24"/>
          <w:szCs w:val="24"/>
        </w:rPr>
        <w:t xml:space="preserve"> health insurance system, examined three forms of existing regulated competition in the </w:t>
      </w:r>
      <w:r w:rsidR="00B5000D">
        <w:rPr>
          <w:sz w:val="24"/>
          <w:szCs w:val="24"/>
        </w:rPr>
        <w:t>US</w:t>
      </w:r>
      <w:r>
        <w:rPr>
          <w:sz w:val="24"/>
          <w:szCs w:val="24"/>
        </w:rPr>
        <w:t>, and considered the extent to which these programs m</w:t>
      </w:r>
      <w:r w:rsidR="007A33D5">
        <w:rPr>
          <w:sz w:val="24"/>
          <w:szCs w:val="24"/>
        </w:rPr>
        <w:t>ight</w:t>
      </w:r>
      <w:r>
        <w:rPr>
          <w:sz w:val="24"/>
          <w:szCs w:val="24"/>
        </w:rPr>
        <w:t xml:space="preserve"> be expanded to encourage managed competition more broadly. We augment our synthesis of the </w:t>
      </w:r>
      <w:r>
        <w:rPr>
          <w:sz w:val="24"/>
          <w:szCs w:val="24"/>
        </w:rPr>
        <w:lastRenderedPageBreak/>
        <w:t xml:space="preserve">literature with results from a survey of </w:t>
      </w:r>
      <w:r w:rsidR="00B5000D">
        <w:rPr>
          <w:sz w:val="24"/>
          <w:szCs w:val="24"/>
        </w:rPr>
        <w:t>US</w:t>
      </w:r>
      <w:r>
        <w:rPr>
          <w:sz w:val="24"/>
          <w:szCs w:val="24"/>
        </w:rPr>
        <w:t xml:space="preserve"> health economists, which suggests that transitioning to a more competitive framework may be difficult to achieve in today’s system. </w:t>
      </w:r>
    </w:p>
    <w:p w14:paraId="61DC6827" w14:textId="21A9E0F6" w:rsidR="00ED6425" w:rsidRDefault="00AD437C">
      <w:pPr>
        <w:spacing w:line="360" w:lineRule="auto"/>
        <w:ind w:firstLine="720"/>
        <w:rPr>
          <w:sz w:val="24"/>
          <w:szCs w:val="24"/>
        </w:rPr>
      </w:pPr>
      <w:proofErr w:type="gramStart"/>
      <w:r>
        <w:rPr>
          <w:sz w:val="24"/>
          <w:szCs w:val="24"/>
        </w:rPr>
        <w:t>In order to</w:t>
      </w:r>
      <w:proofErr w:type="gramEnd"/>
      <w:r>
        <w:rPr>
          <w:sz w:val="24"/>
          <w:szCs w:val="24"/>
        </w:rPr>
        <w:t xml:space="preserve"> encourage managed competition for all in the </w:t>
      </w:r>
      <w:r w:rsidR="00B5000D">
        <w:rPr>
          <w:sz w:val="24"/>
          <w:szCs w:val="24"/>
        </w:rPr>
        <w:t>US</w:t>
      </w:r>
      <w:r>
        <w:rPr>
          <w:sz w:val="24"/>
          <w:szCs w:val="24"/>
        </w:rPr>
        <w:t xml:space="preserve">, we argue that systemic changes are necessary on two levels. First, the current patchwork system of coverage—built around market </w:t>
      </w:r>
      <w:r w:rsidR="00660EFA">
        <w:rPr>
          <w:sz w:val="24"/>
          <w:szCs w:val="24"/>
        </w:rPr>
        <w:t xml:space="preserve">segmentation </w:t>
      </w:r>
      <w:r>
        <w:rPr>
          <w:sz w:val="24"/>
          <w:szCs w:val="24"/>
        </w:rPr>
        <w:t xml:space="preserve">across state lines and significant variation </w:t>
      </w:r>
      <w:r w:rsidR="008955A9">
        <w:rPr>
          <w:sz w:val="24"/>
          <w:szCs w:val="24"/>
        </w:rPr>
        <w:t>eligibility</w:t>
      </w:r>
      <w:r w:rsidR="00660EFA">
        <w:rPr>
          <w:sz w:val="24"/>
          <w:szCs w:val="24"/>
        </w:rPr>
        <w:t xml:space="preserve"> and coverage </w:t>
      </w:r>
      <w:r>
        <w:rPr>
          <w:sz w:val="24"/>
          <w:szCs w:val="24"/>
        </w:rPr>
        <w:t xml:space="preserve">in publicly-funded </w:t>
      </w:r>
      <w:r w:rsidR="00660EFA">
        <w:rPr>
          <w:sz w:val="24"/>
          <w:szCs w:val="24"/>
        </w:rPr>
        <w:t xml:space="preserve">Medicaid MCO </w:t>
      </w:r>
      <w:r>
        <w:rPr>
          <w:sz w:val="24"/>
          <w:szCs w:val="24"/>
        </w:rPr>
        <w:t xml:space="preserve">programs—requires harmonization </w:t>
      </w:r>
      <w:r w:rsidR="00C21EFD">
        <w:rPr>
          <w:sz w:val="24"/>
          <w:szCs w:val="24"/>
        </w:rPr>
        <w:t>to</w:t>
      </w:r>
      <w:r>
        <w:rPr>
          <w:sz w:val="24"/>
          <w:szCs w:val="24"/>
        </w:rPr>
        <w:t xml:space="preserve"> promote more effective competition. Only after reducing the silos dampening competition can other changes take place, such as</w:t>
      </w:r>
      <w:r w:rsidR="003F3831">
        <w:rPr>
          <w:sz w:val="24"/>
          <w:szCs w:val="24"/>
        </w:rPr>
        <w:t xml:space="preserve"> more unified approach</w:t>
      </w:r>
      <w:r w:rsidR="00BD0BD9">
        <w:rPr>
          <w:sz w:val="24"/>
          <w:szCs w:val="24"/>
        </w:rPr>
        <w:t>es</w:t>
      </w:r>
      <w:r w:rsidR="003F3831">
        <w:rPr>
          <w:sz w:val="24"/>
          <w:szCs w:val="24"/>
        </w:rPr>
        <w:t xml:space="preserve"> to providing health plan subsidies, </w:t>
      </w:r>
      <w:proofErr w:type="gramStart"/>
      <w:r w:rsidR="003F3831">
        <w:rPr>
          <w:sz w:val="24"/>
          <w:szCs w:val="24"/>
        </w:rPr>
        <w:t>standardization</w:t>
      </w:r>
      <w:proofErr w:type="gramEnd"/>
      <w:r w:rsidR="003F3831">
        <w:rPr>
          <w:sz w:val="24"/>
          <w:szCs w:val="24"/>
        </w:rPr>
        <w:t xml:space="preserve"> and regulation of provider-level </w:t>
      </w:r>
      <w:r w:rsidR="002562B8">
        <w:rPr>
          <w:sz w:val="24"/>
          <w:szCs w:val="24"/>
        </w:rPr>
        <w:t>fee</w:t>
      </w:r>
      <w:r w:rsidR="00BD0BD9">
        <w:rPr>
          <w:sz w:val="24"/>
          <w:szCs w:val="24"/>
        </w:rPr>
        <w:t>s</w:t>
      </w:r>
      <w:r w:rsidR="002562B8">
        <w:rPr>
          <w:sz w:val="24"/>
          <w:szCs w:val="24"/>
        </w:rPr>
        <w:t>, and</w:t>
      </w:r>
      <w:r w:rsidR="003F3831">
        <w:rPr>
          <w:sz w:val="24"/>
          <w:szCs w:val="24"/>
        </w:rPr>
        <w:t xml:space="preserve"> </w:t>
      </w:r>
      <w:r>
        <w:rPr>
          <w:sz w:val="24"/>
          <w:szCs w:val="24"/>
        </w:rPr>
        <w:t>reduc</w:t>
      </w:r>
      <w:r w:rsidR="003F3831">
        <w:rPr>
          <w:sz w:val="24"/>
          <w:szCs w:val="24"/>
        </w:rPr>
        <w:t>ing</w:t>
      </w:r>
      <w:r>
        <w:rPr>
          <w:sz w:val="24"/>
          <w:szCs w:val="24"/>
        </w:rPr>
        <w:t xml:space="preserve"> </w:t>
      </w:r>
      <w:r w:rsidR="003F3831">
        <w:rPr>
          <w:sz w:val="24"/>
          <w:szCs w:val="24"/>
        </w:rPr>
        <w:t xml:space="preserve">market </w:t>
      </w:r>
      <w:r>
        <w:rPr>
          <w:sz w:val="24"/>
          <w:szCs w:val="24"/>
        </w:rPr>
        <w:t xml:space="preserve">consolidation </w:t>
      </w:r>
      <w:r w:rsidR="003F3831">
        <w:rPr>
          <w:sz w:val="24"/>
          <w:szCs w:val="24"/>
        </w:rPr>
        <w:t>at the plan and provider levels</w:t>
      </w:r>
      <w:r>
        <w:rPr>
          <w:sz w:val="24"/>
          <w:szCs w:val="24"/>
        </w:rPr>
        <w:t xml:space="preserve">. </w:t>
      </w:r>
    </w:p>
    <w:p w14:paraId="5F94925B" w14:textId="3ACEB76F" w:rsidR="00ED6425" w:rsidRDefault="00AD437C">
      <w:pPr>
        <w:spacing w:line="360" w:lineRule="auto"/>
        <w:ind w:firstLine="720"/>
        <w:rPr>
          <w:sz w:val="24"/>
          <w:szCs w:val="24"/>
        </w:rPr>
      </w:pPr>
      <w:r>
        <w:rPr>
          <w:sz w:val="24"/>
          <w:szCs w:val="24"/>
        </w:rPr>
        <w:t xml:space="preserve">While a </w:t>
      </w:r>
      <w:r w:rsidR="008955A9">
        <w:rPr>
          <w:sz w:val="24"/>
          <w:szCs w:val="24"/>
        </w:rPr>
        <w:t xml:space="preserve">clear </w:t>
      </w:r>
      <w:r>
        <w:rPr>
          <w:sz w:val="24"/>
          <w:szCs w:val="24"/>
        </w:rPr>
        <w:t xml:space="preserve">road map to </w:t>
      </w:r>
      <w:r w:rsidR="008955A9">
        <w:rPr>
          <w:sz w:val="24"/>
          <w:szCs w:val="24"/>
        </w:rPr>
        <w:t xml:space="preserve">workable </w:t>
      </w:r>
      <w:r>
        <w:rPr>
          <w:sz w:val="24"/>
          <w:szCs w:val="24"/>
        </w:rPr>
        <w:t xml:space="preserve">managed competition in the </w:t>
      </w:r>
      <w:r w:rsidR="00B5000D">
        <w:rPr>
          <w:sz w:val="24"/>
          <w:szCs w:val="24"/>
        </w:rPr>
        <w:t>US</w:t>
      </w:r>
      <w:r>
        <w:rPr>
          <w:sz w:val="24"/>
          <w:szCs w:val="24"/>
        </w:rPr>
        <w:t xml:space="preserve"> remains unclear, managed competition health systems remain interesting possibilities for a radically redesigned </w:t>
      </w:r>
      <w:r w:rsidR="00B5000D">
        <w:rPr>
          <w:sz w:val="24"/>
          <w:szCs w:val="24"/>
        </w:rPr>
        <w:t>US</w:t>
      </w:r>
      <w:r>
        <w:rPr>
          <w:sz w:val="24"/>
          <w:szCs w:val="24"/>
        </w:rPr>
        <w:t xml:space="preserve"> delivery system. Countries who have been successful in embracing this system achieve more attractive health outcomes and greater equity at much lower costs than the </w:t>
      </w:r>
      <w:r w:rsidR="00B5000D">
        <w:rPr>
          <w:sz w:val="24"/>
          <w:szCs w:val="24"/>
        </w:rPr>
        <w:t>US</w:t>
      </w:r>
      <w:r w:rsidR="008955A9">
        <w:rPr>
          <w:sz w:val="24"/>
          <w:szCs w:val="24"/>
        </w:rPr>
        <w:t>.</w:t>
      </w:r>
      <w:r>
        <w:rPr>
          <w:sz w:val="24"/>
          <w:szCs w:val="24"/>
        </w:rPr>
        <w:t xml:space="preserve"> Whether they are feasible to attain in the </w:t>
      </w:r>
      <w:r w:rsidR="00B5000D">
        <w:rPr>
          <w:sz w:val="24"/>
          <w:szCs w:val="24"/>
        </w:rPr>
        <w:t>US</w:t>
      </w:r>
      <w:r>
        <w:rPr>
          <w:sz w:val="24"/>
          <w:szCs w:val="24"/>
        </w:rPr>
        <w:t xml:space="preserve"> today we leave for future research.</w:t>
      </w:r>
    </w:p>
    <w:p w14:paraId="275FE57B" w14:textId="77777777" w:rsidR="0049113E" w:rsidRDefault="0049113E">
      <w:pPr>
        <w:spacing w:line="360" w:lineRule="auto"/>
        <w:ind w:firstLine="720"/>
        <w:rPr>
          <w:sz w:val="24"/>
          <w:szCs w:val="24"/>
        </w:rPr>
      </w:pPr>
    </w:p>
    <w:p w14:paraId="20AB5595" w14:textId="77777777" w:rsidR="00ED6425" w:rsidRDefault="00AD437C">
      <w:pPr>
        <w:spacing w:before="240" w:after="240" w:line="240" w:lineRule="auto"/>
        <w:rPr>
          <w:b/>
          <w:sz w:val="24"/>
          <w:szCs w:val="24"/>
        </w:rPr>
      </w:pPr>
      <w:r>
        <w:rPr>
          <w:b/>
          <w:sz w:val="24"/>
          <w:szCs w:val="24"/>
        </w:rPr>
        <w:t>References</w:t>
      </w:r>
    </w:p>
    <w:p w14:paraId="67FEEBF9" w14:textId="77777777" w:rsidR="00ED6425" w:rsidRPr="00BD0BD9" w:rsidRDefault="00AD437C">
      <w:pPr>
        <w:spacing w:line="360" w:lineRule="auto"/>
        <w:ind w:left="720" w:hanging="720"/>
        <w:rPr>
          <w:sz w:val="24"/>
          <w:szCs w:val="24"/>
        </w:rPr>
      </w:pPr>
      <w:r w:rsidRPr="00BD0BD9">
        <w:rPr>
          <w:sz w:val="24"/>
          <w:szCs w:val="24"/>
        </w:rPr>
        <w:t>Ash, A. S., Mick, E. O., Ellis, R. P., Kiefe, C. I., Allison, J. J., &amp; Clark, M. A. (2017). “Social Determinants of Health in Managed Care Payment Formulas”,</w:t>
      </w:r>
      <w:r w:rsidRPr="00BD0BD9">
        <w:rPr>
          <w:i/>
          <w:sz w:val="24"/>
          <w:szCs w:val="24"/>
        </w:rPr>
        <w:t xml:space="preserve"> JAMA internal medicine, 177</w:t>
      </w:r>
      <w:r w:rsidRPr="00BD0BD9">
        <w:rPr>
          <w:sz w:val="24"/>
          <w:szCs w:val="24"/>
        </w:rPr>
        <w:t xml:space="preserve">(10), 1424–1430. </w:t>
      </w:r>
      <w:hyperlink r:id="rId9">
        <w:r w:rsidRPr="00BD0BD9">
          <w:rPr>
            <w:color w:val="1155CC"/>
            <w:sz w:val="24"/>
            <w:szCs w:val="24"/>
            <w:u w:val="single"/>
          </w:rPr>
          <w:t>https://doi.org/10.1001/jamainternmed.2017.3317</w:t>
        </w:r>
      </w:hyperlink>
      <w:r w:rsidRPr="00BD0BD9">
        <w:rPr>
          <w:sz w:val="24"/>
          <w:szCs w:val="24"/>
        </w:rPr>
        <w:t xml:space="preserve">. </w:t>
      </w:r>
    </w:p>
    <w:p w14:paraId="39AFAE29" w14:textId="57167544" w:rsidR="00ED6425" w:rsidRPr="00BD0BD9" w:rsidRDefault="00AD437C">
      <w:pPr>
        <w:spacing w:line="360" w:lineRule="auto"/>
        <w:ind w:left="720" w:hanging="720"/>
        <w:rPr>
          <w:sz w:val="24"/>
          <w:szCs w:val="24"/>
        </w:rPr>
      </w:pPr>
      <w:proofErr w:type="spellStart"/>
      <w:r w:rsidRPr="00BD0BD9">
        <w:rPr>
          <w:sz w:val="24"/>
          <w:szCs w:val="24"/>
        </w:rPr>
        <w:t>Berchick</w:t>
      </w:r>
      <w:proofErr w:type="spellEnd"/>
      <w:r w:rsidRPr="00BD0BD9">
        <w:rPr>
          <w:sz w:val="24"/>
          <w:szCs w:val="24"/>
        </w:rPr>
        <w:t>, E. R., Barnett, J. C., &amp; Upton, R. D. (2018) “Health Insurance Coverage in the United States: 2018.” U.S. Government Printing Office, Washington D.C.</w:t>
      </w:r>
    </w:p>
    <w:p w14:paraId="139D9830" w14:textId="440D5B83" w:rsidR="007702A9" w:rsidRPr="00BD0BD9" w:rsidRDefault="007702A9">
      <w:pPr>
        <w:spacing w:line="360" w:lineRule="auto"/>
        <w:ind w:left="720" w:hanging="720"/>
        <w:rPr>
          <w:sz w:val="24"/>
          <w:szCs w:val="24"/>
        </w:rPr>
      </w:pPr>
      <w:r w:rsidRPr="001873FB">
        <w:rPr>
          <w:sz w:val="24"/>
          <w:szCs w:val="24"/>
        </w:rPr>
        <w:t xml:space="preserve">Blomqvist, </w:t>
      </w:r>
      <w:proofErr w:type="spellStart"/>
      <w:r w:rsidRPr="001873FB">
        <w:rPr>
          <w:sz w:val="24"/>
          <w:szCs w:val="24"/>
        </w:rPr>
        <w:t>Åke</w:t>
      </w:r>
      <w:proofErr w:type="spellEnd"/>
      <w:r w:rsidRPr="001873FB">
        <w:rPr>
          <w:sz w:val="24"/>
          <w:szCs w:val="24"/>
        </w:rPr>
        <w:t xml:space="preserve">. 2022. Going Dutch: Choice, Competition and Equity in Healthcare. </w:t>
      </w:r>
      <w:r w:rsidRPr="001873FB">
        <w:rPr>
          <w:i/>
          <w:iCs/>
          <w:sz w:val="24"/>
          <w:szCs w:val="24"/>
        </w:rPr>
        <w:t>Commentary-CD Howe Institute</w:t>
      </w:r>
      <w:r w:rsidRPr="001873FB">
        <w:rPr>
          <w:sz w:val="24"/>
          <w:szCs w:val="24"/>
        </w:rPr>
        <w:t>, (621), pp.0_1-26.</w:t>
      </w:r>
    </w:p>
    <w:p w14:paraId="23B93AA8" w14:textId="77777777" w:rsidR="00ED6425" w:rsidRPr="00BD0BD9" w:rsidRDefault="00AD437C">
      <w:pPr>
        <w:spacing w:line="360" w:lineRule="auto"/>
        <w:ind w:left="720" w:hanging="720"/>
        <w:rPr>
          <w:sz w:val="24"/>
          <w:szCs w:val="24"/>
        </w:rPr>
      </w:pPr>
      <w:r w:rsidRPr="00BD0BD9">
        <w:rPr>
          <w:sz w:val="24"/>
          <w:szCs w:val="24"/>
        </w:rPr>
        <w:t xml:space="preserve">Brown, J., Duggan, M., Kuziemko, I., &amp; Woolston, W. (2014). “How does risk selection respond to risk adjustment? New evidence from the Medicare Advantage Program.” </w:t>
      </w:r>
      <w:r w:rsidRPr="00BD0BD9">
        <w:rPr>
          <w:i/>
          <w:sz w:val="24"/>
          <w:szCs w:val="24"/>
        </w:rPr>
        <w:t>American Economic Review, 104</w:t>
      </w:r>
      <w:r w:rsidRPr="00BD0BD9">
        <w:rPr>
          <w:sz w:val="24"/>
          <w:szCs w:val="24"/>
        </w:rPr>
        <w:t>(10), 3335-64.</w:t>
      </w:r>
    </w:p>
    <w:p w14:paraId="140BF7C1" w14:textId="77777777" w:rsidR="00ED6425" w:rsidRPr="00BD0BD9" w:rsidRDefault="00AD437C">
      <w:pPr>
        <w:spacing w:line="360" w:lineRule="auto"/>
        <w:ind w:left="720" w:hanging="720"/>
        <w:rPr>
          <w:sz w:val="24"/>
          <w:szCs w:val="24"/>
        </w:rPr>
      </w:pPr>
      <w:r w:rsidRPr="00BD0BD9">
        <w:rPr>
          <w:sz w:val="24"/>
          <w:szCs w:val="24"/>
        </w:rPr>
        <w:lastRenderedPageBreak/>
        <w:t xml:space="preserve">Buntin, M. B., &amp; Graves, J. A. (2020). “How The ACA Dented </w:t>
      </w:r>
      <w:proofErr w:type="gramStart"/>
      <w:r w:rsidRPr="00BD0BD9">
        <w:rPr>
          <w:sz w:val="24"/>
          <w:szCs w:val="24"/>
        </w:rPr>
        <w:t>The</w:t>
      </w:r>
      <w:proofErr w:type="gramEnd"/>
      <w:r w:rsidRPr="00BD0BD9">
        <w:rPr>
          <w:sz w:val="24"/>
          <w:szCs w:val="24"/>
        </w:rPr>
        <w:t xml:space="preserve"> Cost Curve: An analysis of whether or not the Affordable Care Act reduced the annual rate at which total national health care costs increased and brought per capita health spending growth rates down.” </w:t>
      </w:r>
      <w:r w:rsidRPr="00BD0BD9">
        <w:rPr>
          <w:i/>
          <w:sz w:val="24"/>
          <w:szCs w:val="24"/>
        </w:rPr>
        <w:t>Health Affairs, 39</w:t>
      </w:r>
      <w:r w:rsidRPr="00BD0BD9">
        <w:rPr>
          <w:sz w:val="24"/>
          <w:szCs w:val="24"/>
        </w:rPr>
        <w:t>(3), 403-412.</w:t>
      </w:r>
    </w:p>
    <w:p w14:paraId="2A2C6DD9" w14:textId="77777777" w:rsidR="00ED6425" w:rsidRPr="00BD0BD9" w:rsidRDefault="00AD437C">
      <w:pPr>
        <w:spacing w:line="360" w:lineRule="auto"/>
        <w:ind w:left="720" w:hanging="720"/>
        <w:rPr>
          <w:sz w:val="24"/>
          <w:szCs w:val="24"/>
        </w:rPr>
      </w:pPr>
      <w:r w:rsidRPr="00BD0BD9">
        <w:rPr>
          <w:sz w:val="24"/>
          <w:szCs w:val="24"/>
        </w:rPr>
        <w:t xml:space="preserve">Butler, S. M. (2020). “Medicare Advantage for all, perhaps?”. </w:t>
      </w:r>
      <w:r w:rsidRPr="00BD0BD9">
        <w:rPr>
          <w:i/>
          <w:sz w:val="24"/>
          <w:szCs w:val="24"/>
        </w:rPr>
        <w:t>JAMA Health Forum</w:t>
      </w:r>
      <w:r w:rsidRPr="00BD0BD9">
        <w:rPr>
          <w:sz w:val="24"/>
          <w:szCs w:val="24"/>
        </w:rPr>
        <w:t xml:space="preserve"> (Vol. 1, No. 7, pp. e200967-e200967). American Medical Association.</w:t>
      </w:r>
    </w:p>
    <w:p w14:paraId="5DE27CA9" w14:textId="77777777" w:rsidR="00ED6425" w:rsidRPr="00BD0BD9" w:rsidRDefault="00AD437C">
      <w:pPr>
        <w:spacing w:line="360" w:lineRule="auto"/>
        <w:ind w:left="720" w:hanging="720"/>
        <w:rPr>
          <w:sz w:val="24"/>
          <w:szCs w:val="24"/>
        </w:rPr>
      </w:pPr>
      <w:r w:rsidRPr="00BD0BD9">
        <w:rPr>
          <w:sz w:val="24"/>
          <w:szCs w:val="24"/>
        </w:rPr>
        <w:t xml:space="preserve">Cai, ST., Anderson, D., Drake, C. et al. (2022). “Association Between Provider-Sponsored Health Plan Ownership and Health Insurance Marketplace Plan Quality.” </w:t>
      </w:r>
      <w:r w:rsidRPr="00BD0BD9">
        <w:rPr>
          <w:i/>
          <w:sz w:val="24"/>
          <w:szCs w:val="24"/>
        </w:rPr>
        <w:t xml:space="preserve">Journal of General Internal Medicine. </w:t>
      </w:r>
      <w:hyperlink r:id="rId10">
        <w:r w:rsidRPr="00BD0BD9">
          <w:rPr>
            <w:color w:val="1155CC"/>
            <w:sz w:val="24"/>
            <w:szCs w:val="24"/>
            <w:u w:val="single"/>
          </w:rPr>
          <w:t>https://doi.org/10.1007/s11606-022-07407-6</w:t>
        </w:r>
      </w:hyperlink>
      <w:r w:rsidRPr="00BD0BD9">
        <w:rPr>
          <w:sz w:val="24"/>
          <w:szCs w:val="24"/>
        </w:rPr>
        <w:t xml:space="preserve"> </w:t>
      </w:r>
    </w:p>
    <w:p w14:paraId="54D53AE2" w14:textId="77777777" w:rsidR="00ED6425" w:rsidRPr="00BD0BD9" w:rsidRDefault="00AD437C">
      <w:pPr>
        <w:spacing w:line="360" w:lineRule="auto"/>
        <w:ind w:left="720" w:hanging="720"/>
        <w:rPr>
          <w:b/>
          <w:i/>
          <w:sz w:val="24"/>
          <w:szCs w:val="24"/>
        </w:rPr>
      </w:pPr>
      <w:r w:rsidRPr="00BD0BD9">
        <w:rPr>
          <w:sz w:val="24"/>
          <w:szCs w:val="24"/>
        </w:rPr>
        <w:t xml:space="preserve">Congressional Budget Office (2020). “Key Design Components and Considerations for Establishing a Single-Payer Health Care System”, </w:t>
      </w:r>
      <w:r w:rsidRPr="00BD0BD9">
        <w:rPr>
          <w:i/>
          <w:sz w:val="24"/>
          <w:szCs w:val="24"/>
        </w:rPr>
        <w:t xml:space="preserve">Congressional Budget Office Report. </w:t>
      </w:r>
    </w:p>
    <w:p w14:paraId="1340C1A0" w14:textId="0D31A1B8" w:rsidR="00ED6425" w:rsidRPr="00BD0BD9" w:rsidRDefault="00AD437C">
      <w:pPr>
        <w:spacing w:line="360" w:lineRule="auto"/>
        <w:ind w:left="720" w:hanging="720"/>
        <w:rPr>
          <w:sz w:val="24"/>
          <w:szCs w:val="24"/>
        </w:rPr>
      </w:pPr>
      <w:r w:rsidRPr="00BD0BD9">
        <w:rPr>
          <w:sz w:val="24"/>
          <w:szCs w:val="24"/>
        </w:rPr>
        <w:t xml:space="preserve">Center for Medicare and Medicaid Services </w:t>
      </w:r>
      <w:r w:rsidR="007702A9" w:rsidRPr="00BD0BD9">
        <w:rPr>
          <w:sz w:val="24"/>
          <w:szCs w:val="24"/>
        </w:rPr>
        <w:t xml:space="preserve">(CMS) </w:t>
      </w:r>
      <w:r w:rsidRPr="00BD0BD9">
        <w:rPr>
          <w:sz w:val="24"/>
          <w:szCs w:val="24"/>
        </w:rPr>
        <w:t xml:space="preserve">(2021). “2021 Marketplace Open Enrollment Period Public Use Files.” </w:t>
      </w:r>
      <w:hyperlink r:id="rId11">
        <w:r w:rsidRPr="00BD0BD9">
          <w:rPr>
            <w:color w:val="1155CC"/>
            <w:sz w:val="24"/>
            <w:szCs w:val="24"/>
            <w:u w:val="single"/>
          </w:rPr>
          <w:t>https://www.cms.gov/research-statistics-data-systems/marketplace-products/2021-marketplace-open-enrollment-period-public-use-files</w:t>
        </w:r>
      </w:hyperlink>
      <w:r w:rsidRPr="00BD0BD9">
        <w:rPr>
          <w:sz w:val="24"/>
          <w:szCs w:val="24"/>
        </w:rPr>
        <w:t>. Accessed March 2, 2022.</w:t>
      </w:r>
    </w:p>
    <w:p w14:paraId="496ED1CD" w14:textId="7DAF4434" w:rsidR="00DC01D8" w:rsidRPr="00BD0BD9" w:rsidRDefault="00DC01D8">
      <w:pPr>
        <w:spacing w:line="360" w:lineRule="auto"/>
        <w:ind w:left="720" w:hanging="720"/>
        <w:rPr>
          <w:sz w:val="24"/>
          <w:szCs w:val="24"/>
        </w:rPr>
      </w:pPr>
      <w:r w:rsidRPr="00BD0BD9">
        <w:rPr>
          <w:sz w:val="24"/>
          <w:szCs w:val="24"/>
        </w:rPr>
        <w:t xml:space="preserve">Curto, V., Einav, L., Levin, J., &amp; Bhattacharya, J. (2021). Can health insurance competition work? Evidence from Medicare Advantage. </w:t>
      </w:r>
      <w:r w:rsidRPr="001873FB">
        <w:rPr>
          <w:i/>
          <w:iCs/>
          <w:sz w:val="24"/>
          <w:szCs w:val="24"/>
        </w:rPr>
        <w:t>Journal of Political Economy, 129</w:t>
      </w:r>
      <w:r w:rsidRPr="00BD0BD9">
        <w:rPr>
          <w:sz w:val="24"/>
          <w:szCs w:val="24"/>
        </w:rPr>
        <w:t>(2), 570-606.</w:t>
      </w:r>
    </w:p>
    <w:p w14:paraId="3650E294" w14:textId="1CA38D42" w:rsidR="00ED6425" w:rsidRPr="00BD0BD9" w:rsidRDefault="00AD437C">
      <w:pPr>
        <w:spacing w:line="360" w:lineRule="auto"/>
        <w:ind w:left="720" w:hanging="720"/>
        <w:rPr>
          <w:sz w:val="24"/>
          <w:szCs w:val="24"/>
        </w:rPr>
      </w:pPr>
      <w:r w:rsidRPr="00BD0BD9">
        <w:rPr>
          <w:sz w:val="24"/>
          <w:szCs w:val="24"/>
        </w:rPr>
        <w:t xml:space="preserve">Dafny, L., Gruber, J., &amp; </w:t>
      </w:r>
      <w:proofErr w:type="spellStart"/>
      <w:r w:rsidRPr="00BD0BD9">
        <w:rPr>
          <w:sz w:val="24"/>
          <w:szCs w:val="24"/>
        </w:rPr>
        <w:t>Ody</w:t>
      </w:r>
      <w:proofErr w:type="spellEnd"/>
      <w:r w:rsidRPr="00BD0BD9">
        <w:rPr>
          <w:sz w:val="24"/>
          <w:szCs w:val="24"/>
        </w:rPr>
        <w:t xml:space="preserve">, C. (2015). “More insurers lower premiums: Evidence from initial pricing in the health insurance marketplaces”. </w:t>
      </w:r>
      <w:r w:rsidRPr="00BD0BD9">
        <w:rPr>
          <w:i/>
          <w:sz w:val="24"/>
          <w:szCs w:val="24"/>
        </w:rPr>
        <w:t>American Journal of Health Economics, 1</w:t>
      </w:r>
      <w:r w:rsidRPr="00BD0BD9">
        <w:rPr>
          <w:sz w:val="24"/>
          <w:szCs w:val="24"/>
        </w:rPr>
        <w:t>(1), 53-81.</w:t>
      </w:r>
    </w:p>
    <w:p w14:paraId="58111E3B" w14:textId="5BDD338F" w:rsidR="00ED6425" w:rsidRPr="00BD0BD9" w:rsidRDefault="00AD437C">
      <w:pPr>
        <w:spacing w:line="360" w:lineRule="auto"/>
        <w:ind w:left="720" w:hanging="720"/>
        <w:rPr>
          <w:i/>
          <w:sz w:val="24"/>
          <w:szCs w:val="24"/>
        </w:rPr>
      </w:pPr>
      <w:r w:rsidRPr="00BD0BD9">
        <w:rPr>
          <w:sz w:val="24"/>
          <w:szCs w:val="24"/>
        </w:rPr>
        <w:t xml:space="preserve">Ellis, R. P., &amp; Hoagland, A. (2022). “Individuals, Children, Aged 55+, Risk-Equalization, and Equity (ICARE): A Feasible Transition to a Better US Health Insurance System.” </w:t>
      </w:r>
      <w:r w:rsidRPr="00BD0BD9">
        <w:rPr>
          <w:i/>
          <w:sz w:val="24"/>
          <w:szCs w:val="24"/>
        </w:rPr>
        <w:t xml:space="preserve">Working Paper. </w:t>
      </w:r>
    </w:p>
    <w:p w14:paraId="2F58515E" w14:textId="77777777" w:rsidR="007702A9" w:rsidRPr="00BD0BD9" w:rsidRDefault="007702A9" w:rsidP="007702A9">
      <w:pPr>
        <w:spacing w:line="360" w:lineRule="auto"/>
        <w:ind w:left="720" w:hanging="720"/>
        <w:rPr>
          <w:sz w:val="24"/>
          <w:szCs w:val="24"/>
        </w:rPr>
      </w:pPr>
      <w:r w:rsidRPr="00BD0BD9">
        <w:rPr>
          <w:sz w:val="24"/>
          <w:szCs w:val="24"/>
        </w:rPr>
        <w:t xml:space="preserve">Enthoven, A. C. (1978). “Consumer-choice health plan (first of two parts). Inflation and inequity in health care today: alternatives for cost control and an analysis of proposals for national health insurance”. </w:t>
      </w:r>
      <w:r w:rsidRPr="00BD0BD9">
        <w:rPr>
          <w:i/>
          <w:sz w:val="24"/>
          <w:szCs w:val="24"/>
        </w:rPr>
        <w:t>The New England Journal of Medicine, 298</w:t>
      </w:r>
      <w:r w:rsidRPr="00BD0BD9">
        <w:rPr>
          <w:sz w:val="24"/>
          <w:szCs w:val="24"/>
        </w:rPr>
        <w:t>(12), 650-658.</w:t>
      </w:r>
    </w:p>
    <w:p w14:paraId="6A3654D1" w14:textId="77777777" w:rsidR="007702A9" w:rsidRPr="00BD0BD9" w:rsidRDefault="007702A9" w:rsidP="007702A9">
      <w:pPr>
        <w:spacing w:line="360" w:lineRule="auto"/>
        <w:ind w:left="720" w:hanging="720"/>
        <w:rPr>
          <w:sz w:val="24"/>
          <w:szCs w:val="24"/>
        </w:rPr>
      </w:pPr>
      <w:r w:rsidRPr="00BD0BD9">
        <w:rPr>
          <w:sz w:val="24"/>
          <w:szCs w:val="24"/>
        </w:rPr>
        <w:lastRenderedPageBreak/>
        <w:t xml:space="preserve">Enthoven, A. C. (1993). “The history and principles of managed competition.” </w:t>
      </w:r>
      <w:r w:rsidRPr="00BD0BD9">
        <w:rPr>
          <w:i/>
          <w:sz w:val="24"/>
          <w:szCs w:val="24"/>
        </w:rPr>
        <w:t>Health Affairs, 12</w:t>
      </w:r>
      <w:r w:rsidRPr="00BD0BD9">
        <w:rPr>
          <w:sz w:val="24"/>
          <w:szCs w:val="24"/>
        </w:rPr>
        <w:t>(suppl 1), 24-48.</w:t>
      </w:r>
    </w:p>
    <w:p w14:paraId="500FEB56" w14:textId="7A00918E" w:rsidR="007702A9" w:rsidRPr="00BD0BD9" w:rsidRDefault="007702A9" w:rsidP="007702A9">
      <w:pPr>
        <w:spacing w:line="360" w:lineRule="auto"/>
        <w:ind w:left="720" w:hanging="720"/>
        <w:rPr>
          <w:sz w:val="24"/>
          <w:szCs w:val="24"/>
        </w:rPr>
      </w:pPr>
      <w:r w:rsidRPr="001873FB">
        <w:rPr>
          <w:sz w:val="24"/>
          <w:szCs w:val="24"/>
        </w:rPr>
        <w:t xml:space="preserve">Enthoven, </w:t>
      </w:r>
      <w:r w:rsidR="00663FDB" w:rsidRPr="001873FB">
        <w:rPr>
          <w:sz w:val="24"/>
          <w:szCs w:val="24"/>
        </w:rPr>
        <w:t>A. C</w:t>
      </w:r>
      <w:r w:rsidRPr="001873FB">
        <w:rPr>
          <w:sz w:val="24"/>
          <w:szCs w:val="24"/>
        </w:rPr>
        <w:t>, Garber</w:t>
      </w:r>
      <w:r w:rsidR="00663FDB" w:rsidRPr="001873FB">
        <w:rPr>
          <w:sz w:val="24"/>
          <w:szCs w:val="24"/>
        </w:rPr>
        <w:t xml:space="preserve"> A</w:t>
      </w:r>
      <w:r w:rsidRPr="001873FB">
        <w:rPr>
          <w:sz w:val="24"/>
          <w:szCs w:val="24"/>
        </w:rPr>
        <w:t>, and Singer</w:t>
      </w:r>
      <w:r w:rsidR="00663FDB" w:rsidRPr="001873FB">
        <w:rPr>
          <w:sz w:val="24"/>
          <w:szCs w:val="24"/>
        </w:rPr>
        <w:t xml:space="preserve"> S.</w:t>
      </w:r>
      <w:r w:rsidRPr="001873FB">
        <w:rPr>
          <w:sz w:val="24"/>
          <w:szCs w:val="24"/>
        </w:rPr>
        <w:t xml:space="preserve">, “Near-Universal Coverage Through Health Plan Competition: An Insurance Exchange Approach,” </w:t>
      </w:r>
      <w:r w:rsidRPr="001873FB">
        <w:rPr>
          <w:i/>
          <w:iCs/>
          <w:sz w:val="24"/>
          <w:szCs w:val="24"/>
        </w:rPr>
        <w:t>Covering America: Real Remedies for the Uninsured</w:t>
      </w:r>
      <w:r w:rsidRPr="001873FB">
        <w:rPr>
          <w:sz w:val="24"/>
          <w:szCs w:val="24"/>
        </w:rPr>
        <w:t>, Editors J. Meyer and E. Wicks, 2001, Washington DC, 155–172.</w:t>
      </w:r>
    </w:p>
    <w:p w14:paraId="23C1AECD" w14:textId="235051A9" w:rsidR="00ED6425" w:rsidRPr="00BD0BD9" w:rsidRDefault="00650CE9">
      <w:pPr>
        <w:spacing w:line="360" w:lineRule="auto"/>
        <w:ind w:left="720" w:hanging="720"/>
        <w:rPr>
          <w:sz w:val="24"/>
          <w:szCs w:val="24"/>
        </w:rPr>
      </w:pPr>
      <w:r w:rsidRPr="001873FB">
        <w:rPr>
          <w:sz w:val="24"/>
          <w:szCs w:val="24"/>
        </w:rPr>
        <w:t>Finkelstein, A</w:t>
      </w:r>
      <w:r w:rsidR="00663FDB" w:rsidRPr="001873FB">
        <w:rPr>
          <w:sz w:val="24"/>
          <w:szCs w:val="24"/>
        </w:rPr>
        <w:t>.,</w:t>
      </w:r>
      <w:r w:rsidRPr="001873FB">
        <w:rPr>
          <w:sz w:val="24"/>
          <w:szCs w:val="24"/>
        </w:rPr>
        <w:t xml:space="preserve"> Hendren</w:t>
      </w:r>
      <w:r w:rsidR="00663FDB" w:rsidRPr="001873FB">
        <w:rPr>
          <w:sz w:val="24"/>
          <w:szCs w:val="24"/>
        </w:rPr>
        <w:t xml:space="preserve"> N</w:t>
      </w:r>
      <w:r w:rsidRPr="001873FB">
        <w:rPr>
          <w:sz w:val="24"/>
          <w:szCs w:val="24"/>
        </w:rPr>
        <w:t>, and Shepard</w:t>
      </w:r>
      <w:r w:rsidR="00663FDB" w:rsidRPr="001873FB">
        <w:rPr>
          <w:sz w:val="24"/>
          <w:szCs w:val="24"/>
        </w:rPr>
        <w:t xml:space="preserve"> M</w:t>
      </w:r>
      <w:r w:rsidRPr="001873FB">
        <w:rPr>
          <w:sz w:val="24"/>
          <w:szCs w:val="24"/>
        </w:rPr>
        <w:t xml:space="preserve">. "Subsidizing health insurance for low-income adults: Evidence from Massachusetts." </w:t>
      </w:r>
      <w:r w:rsidRPr="001873FB">
        <w:rPr>
          <w:i/>
          <w:iCs/>
          <w:sz w:val="24"/>
          <w:szCs w:val="24"/>
        </w:rPr>
        <w:t>American Economic Review</w:t>
      </w:r>
      <w:r w:rsidRPr="001873FB">
        <w:rPr>
          <w:sz w:val="24"/>
          <w:szCs w:val="24"/>
        </w:rPr>
        <w:t xml:space="preserve"> 109, no. 4 (2019): 1530-</w:t>
      </w:r>
      <w:proofErr w:type="gramStart"/>
      <w:r w:rsidRPr="001873FB">
        <w:rPr>
          <w:sz w:val="24"/>
          <w:szCs w:val="24"/>
        </w:rPr>
        <w:t>67.</w:t>
      </w:r>
      <w:r w:rsidR="00AD437C" w:rsidRPr="00BD0BD9">
        <w:rPr>
          <w:sz w:val="24"/>
          <w:szCs w:val="24"/>
        </w:rPr>
        <w:t>Frank</w:t>
      </w:r>
      <w:proofErr w:type="gramEnd"/>
      <w:r w:rsidR="00AD437C" w:rsidRPr="00BD0BD9">
        <w:rPr>
          <w:sz w:val="24"/>
          <w:szCs w:val="24"/>
        </w:rPr>
        <w:t>, R. G., &amp; McGuire, T. G. (2019). “Market Concentration and Potential Competition in Medicare Advantage”. Issue brief (Commonwealth Fund), 2019, 1-8.</w:t>
      </w:r>
    </w:p>
    <w:p w14:paraId="585BC17E" w14:textId="77777777" w:rsidR="00ED6425" w:rsidRPr="00BD0BD9" w:rsidRDefault="00AD437C">
      <w:pPr>
        <w:spacing w:line="360" w:lineRule="auto"/>
        <w:ind w:left="720" w:hanging="720"/>
        <w:rPr>
          <w:sz w:val="24"/>
          <w:szCs w:val="24"/>
        </w:rPr>
      </w:pPr>
      <w:r w:rsidRPr="00BD0BD9">
        <w:rPr>
          <w:sz w:val="24"/>
          <w:szCs w:val="24"/>
        </w:rPr>
        <w:t xml:space="preserve">Garthwaite, C., &amp; Graves, J. A. (2017). “Success and failure in the insurance exchanges.” </w:t>
      </w:r>
      <w:r w:rsidRPr="00BD0BD9">
        <w:rPr>
          <w:i/>
          <w:sz w:val="24"/>
          <w:szCs w:val="24"/>
        </w:rPr>
        <w:t>New England Journal of Medicine, 376</w:t>
      </w:r>
      <w:r w:rsidRPr="00BD0BD9">
        <w:rPr>
          <w:sz w:val="24"/>
          <w:szCs w:val="24"/>
        </w:rPr>
        <w:t>(10), 907-910.</w:t>
      </w:r>
    </w:p>
    <w:p w14:paraId="0CCB8225" w14:textId="1A95FE47" w:rsidR="0058610D" w:rsidRPr="00BD0BD9" w:rsidRDefault="0058610D">
      <w:pPr>
        <w:spacing w:line="360" w:lineRule="auto"/>
        <w:ind w:left="720" w:hanging="720"/>
        <w:rPr>
          <w:sz w:val="24"/>
          <w:szCs w:val="24"/>
        </w:rPr>
      </w:pPr>
      <w:r w:rsidRPr="00BD0BD9">
        <w:rPr>
          <w:sz w:val="24"/>
          <w:szCs w:val="24"/>
        </w:rPr>
        <w:t>Geruso, M, and Layton</w:t>
      </w:r>
      <w:r w:rsidR="00663FDB" w:rsidRPr="00BD0BD9">
        <w:rPr>
          <w:sz w:val="24"/>
          <w:szCs w:val="24"/>
        </w:rPr>
        <w:t xml:space="preserve"> </w:t>
      </w:r>
      <w:proofErr w:type="gramStart"/>
      <w:r w:rsidR="00663FDB" w:rsidRPr="00BD0BD9">
        <w:rPr>
          <w:sz w:val="24"/>
          <w:szCs w:val="24"/>
        </w:rPr>
        <w:t>T.</w:t>
      </w:r>
      <w:r w:rsidRPr="00BD0BD9">
        <w:rPr>
          <w:sz w:val="24"/>
          <w:szCs w:val="24"/>
        </w:rPr>
        <w:t>.</w:t>
      </w:r>
      <w:proofErr w:type="gramEnd"/>
      <w:r w:rsidRPr="00BD0BD9">
        <w:rPr>
          <w:sz w:val="24"/>
          <w:szCs w:val="24"/>
        </w:rPr>
        <w:t xml:space="preserve"> "Upcoding: evidence from Medicare on squishy risk adjustment." </w:t>
      </w:r>
      <w:r w:rsidRPr="00BD0BD9">
        <w:rPr>
          <w:i/>
          <w:iCs/>
          <w:sz w:val="24"/>
          <w:szCs w:val="24"/>
        </w:rPr>
        <w:t>Journal of Political Economy</w:t>
      </w:r>
      <w:r w:rsidRPr="00BD0BD9">
        <w:rPr>
          <w:sz w:val="24"/>
          <w:szCs w:val="24"/>
        </w:rPr>
        <w:t xml:space="preserve"> 128, no. 3 (2020): 984-1026.</w:t>
      </w:r>
    </w:p>
    <w:p w14:paraId="531AE281" w14:textId="770EC5E9" w:rsidR="00ED6425" w:rsidRPr="00BD0BD9" w:rsidRDefault="00AD437C">
      <w:pPr>
        <w:spacing w:line="360" w:lineRule="auto"/>
        <w:ind w:left="720" w:hanging="720"/>
        <w:rPr>
          <w:sz w:val="24"/>
          <w:szCs w:val="24"/>
        </w:rPr>
      </w:pPr>
      <w:r w:rsidRPr="00BD0BD9">
        <w:rPr>
          <w:sz w:val="24"/>
          <w:szCs w:val="24"/>
        </w:rPr>
        <w:t xml:space="preserve">Glazer, J., &amp; McGuire, T. G. (2017). “Making Medicare advantage a middle-class program.” In </w:t>
      </w:r>
      <w:r w:rsidRPr="00BD0BD9">
        <w:rPr>
          <w:i/>
          <w:sz w:val="24"/>
          <w:szCs w:val="24"/>
        </w:rPr>
        <w:t>Models of Health Plan Payment and Quality Reporting</w:t>
      </w:r>
      <w:r w:rsidRPr="00BD0BD9">
        <w:rPr>
          <w:sz w:val="24"/>
          <w:szCs w:val="24"/>
        </w:rPr>
        <w:t xml:space="preserve"> (pp. 161-191).</w:t>
      </w:r>
    </w:p>
    <w:p w14:paraId="49703FA3" w14:textId="77777777" w:rsidR="00ED6425" w:rsidRPr="00BD0BD9" w:rsidRDefault="00AD437C">
      <w:pPr>
        <w:spacing w:line="360" w:lineRule="auto"/>
        <w:ind w:left="720" w:hanging="720"/>
        <w:rPr>
          <w:sz w:val="24"/>
          <w:szCs w:val="24"/>
        </w:rPr>
      </w:pPr>
      <w:r w:rsidRPr="00BD0BD9">
        <w:rPr>
          <w:sz w:val="24"/>
          <w:szCs w:val="24"/>
        </w:rPr>
        <w:t xml:space="preserve">Gordon, S., Hoagland, A., </w:t>
      </w:r>
      <w:proofErr w:type="spellStart"/>
      <w:r w:rsidRPr="00BD0BD9">
        <w:rPr>
          <w:sz w:val="24"/>
          <w:szCs w:val="24"/>
        </w:rPr>
        <w:t>Daw</w:t>
      </w:r>
      <w:proofErr w:type="spellEnd"/>
      <w:r w:rsidRPr="00BD0BD9">
        <w:rPr>
          <w:sz w:val="24"/>
          <w:szCs w:val="24"/>
        </w:rPr>
        <w:t xml:space="preserve">, J., &amp; </w:t>
      </w:r>
      <w:proofErr w:type="spellStart"/>
      <w:r w:rsidRPr="00BD0BD9">
        <w:rPr>
          <w:sz w:val="24"/>
          <w:szCs w:val="24"/>
        </w:rPr>
        <w:t>Admon</w:t>
      </w:r>
      <w:proofErr w:type="spellEnd"/>
      <w:r w:rsidRPr="00BD0BD9">
        <w:rPr>
          <w:sz w:val="24"/>
          <w:szCs w:val="24"/>
        </w:rPr>
        <w:t xml:space="preserve">, L. (2022). “Extended Postpartum Medicaid Eligibility Is Associated </w:t>
      </w:r>
      <w:proofErr w:type="gramStart"/>
      <w:r w:rsidRPr="00BD0BD9">
        <w:rPr>
          <w:sz w:val="24"/>
          <w:szCs w:val="24"/>
        </w:rPr>
        <w:t>With</w:t>
      </w:r>
      <w:proofErr w:type="gramEnd"/>
      <w:r w:rsidRPr="00BD0BD9">
        <w:rPr>
          <w:sz w:val="24"/>
          <w:szCs w:val="24"/>
        </w:rPr>
        <w:t xml:space="preserve"> Improved Continuity Of Coverage In The Postpartum Year.” </w:t>
      </w:r>
      <w:r w:rsidRPr="00BD0BD9">
        <w:rPr>
          <w:i/>
          <w:sz w:val="24"/>
          <w:szCs w:val="24"/>
        </w:rPr>
        <w:t>Health Affairs, 41</w:t>
      </w:r>
      <w:r w:rsidRPr="00BD0BD9">
        <w:rPr>
          <w:sz w:val="24"/>
          <w:szCs w:val="24"/>
        </w:rPr>
        <w:t xml:space="preserve">(1). </w:t>
      </w:r>
    </w:p>
    <w:p w14:paraId="724622B5" w14:textId="3A6693D2" w:rsidR="00ED6425" w:rsidRPr="00BD0BD9" w:rsidRDefault="00AD437C">
      <w:pPr>
        <w:spacing w:line="360" w:lineRule="auto"/>
        <w:ind w:left="720" w:hanging="720"/>
        <w:rPr>
          <w:sz w:val="24"/>
          <w:szCs w:val="24"/>
        </w:rPr>
      </w:pPr>
      <w:proofErr w:type="spellStart"/>
      <w:r w:rsidRPr="00BD0BD9">
        <w:rPr>
          <w:sz w:val="24"/>
          <w:szCs w:val="24"/>
        </w:rPr>
        <w:t>Haeder</w:t>
      </w:r>
      <w:proofErr w:type="spellEnd"/>
      <w:r w:rsidRPr="00BD0BD9">
        <w:rPr>
          <w:sz w:val="24"/>
          <w:szCs w:val="24"/>
        </w:rPr>
        <w:t xml:space="preserve">, S. F., Weimer, D. L., &amp; </w:t>
      </w:r>
      <w:proofErr w:type="spellStart"/>
      <w:r w:rsidRPr="00BD0BD9">
        <w:rPr>
          <w:sz w:val="24"/>
          <w:szCs w:val="24"/>
        </w:rPr>
        <w:t>Mukamel</w:t>
      </w:r>
      <w:proofErr w:type="spellEnd"/>
      <w:r w:rsidRPr="00BD0BD9">
        <w:rPr>
          <w:sz w:val="24"/>
          <w:szCs w:val="24"/>
        </w:rPr>
        <w:t xml:space="preserve">, D. B. (2015). “California hospital networks are narrower in Marketplace than in commercial plans, but access and quality are similar.” </w:t>
      </w:r>
      <w:r w:rsidRPr="00BD0BD9">
        <w:rPr>
          <w:i/>
          <w:sz w:val="24"/>
          <w:szCs w:val="24"/>
        </w:rPr>
        <w:t>Health Affairs, 34</w:t>
      </w:r>
      <w:r w:rsidRPr="00BD0BD9">
        <w:rPr>
          <w:sz w:val="24"/>
          <w:szCs w:val="24"/>
        </w:rPr>
        <w:t>(5), 741-748.</w:t>
      </w:r>
    </w:p>
    <w:p w14:paraId="0C41BA55" w14:textId="3A5E1256" w:rsidR="007702A9" w:rsidRPr="001873FB" w:rsidRDefault="007702A9">
      <w:pPr>
        <w:spacing w:line="360" w:lineRule="auto"/>
        <w:ind w:left="720" w:hanging="720"/>
        <w:rPr>
          <w:sz w:val="24"/>
          <w:szCs w:val="24"/>
        </w:rPr>
      </w:pPr>
      <w:r w:rsidRPr="001873FB">
        <w:rPr>
          <w:sz w:val="24"/>
          <w:szCs w:val="24"/>
        </w:rPr>
        <w:t>Handel, B</w:t>
      </w:r>
      <w:r w:rsidR="00663FDB" w:rsidRPr="001873FB">
        <w:rPr>
          <w:sz w:val="24"/>
          <w:szCs w:val="24"/>
        </w:rPr>
        <w:t xml:space="preserve">. </w:t>
      </w:r>
      <w:r w:rsidRPr="001873FB">
        <w:rPr>
          <w:sz w:val="24"/>
          <w:szCs w:val="24"/>
        </w:rPr>
        <w:t>R., and Kolstad</w:t>
      </w:r>
      <w:r w:rsidR="00663FDB" w:rsidRPr="001873FB">
        <w:rPr>
          <w:sz w:val="24"/>
          <w:szCs w:val="24"/>
        </w:rPr>
        <w:t xml:space="preserve"> J.T</w:t>
      </w:r>
      <w:r w:rsidRPr="001873FB">
        <w:rPr>
          <w:sz w:val="24"/>
          <w:szCs w:val="24"/>
        </w:rPr>
        <w:t xml:space="preserve">. </w:t>
      </w:r>
      <w:r w:rsidR="00663FDB" w:rsidRPr="001873FB">
        <w:rPr>
          <w:sz w:val="24"/>
          <w:szCs w:val="24"/>
        </w:rPr>
        <w:t xml:space="preserve">(2022) </w:t>
      </w:r>
      <w:r w:rsidRPr="001873FB">
        <w:rPr>
          <w:sz w:val="24"/>
          <w:szCs w:val="24"/>
        </w:rPr>
        <w:t>The Affordable Care Act After a Decade: Industrial Organization of the Insurance Exchanges</w:t>
      </w:r>
      <w:r w:rsidRPr="001873FB">
        <w:rPr>
          <w:i/>
          <w:iCs/>
          <w:sz w:val="24"/>
          <w:szCs w:val="24"/>
        </w:rPr>
        <w:t xml:space="preserve"> Annual Review of Economics. 14. </w:t>
      </w:r>
      <w:hyperlink r:id="rId12" w:history="1">
        <w:r w:rsidR="00BD0BD9" w:rsidRPr="001873FB">
          <w:rPr>
            <w:rStyle w:val="Hyperlink"/>
            <w:i/>
            <w:iCs/>
            <w:sz w:val="24"/>
            <w:szCs w:val="24"/>
          </w:rPr>
          <w:t>https://doi.org/10.1146/annurev-economics-051420-114714</w:t>
        </w:r>
      </w:hyperlink>
      <w:r w:rsidRPr="001873FB">
        <w:rPr>
          <w:sz w:val="24"/>
          <w:szCs w:val="24"/>
        </w:rPr>
        <w:t>.</w:t>
      </w:r>
    </w:p>
    <w:p w14:paraId="27839715" w14:textId="40187B77" w:rsidR="00BD0BD9" w:rsidRPr="00BD0BD9" w:rsidRDefault="00BD0BD9">
      <w:pPr>
        <w:spacing w:line="360" w:lineRule="auto"/>
        <w:ind w:left="720" w:hanging="720"/>
        <w:rPr>
          <w:sz w:val="24"/>
          <w:szCs w:val="24"/>
        </w:rPr>
      </w:pPr>
      <w:r w:rsidRPr="00BD0BD9">
        <w:rPr>
          <w:sz w:val="24"/>
          <w:szCs w:val="24"/>
        </w:rPr>
        <w:t>Hoagland, A., &amp; Shafer, P. (2021). Out-of-pocket costs for preventive care persist almost a decade after the Affordable Care Act. Preventive Medicine, 150, 106690.</w:t>
      </w:r>
    </w:p>
    <w:p w14:paraId="4B755E95" w14:textId="77777777" w:rsidR="00ED6425" w:rsidRPr="00BD0BD9" w:rsidRDefault="00AD437C">
      <w:pPr>
        <w:spacing w:line="360" w:lineRule="auto"/>
        <w:ind w:left="720" w:hanging="720"/>
        <w:rPr>
          <w:sz w:val="24"/>
          <w:szCs w:val="24"/>
        </w:rPr>
      </w:pPr>
      <w:proofErr w:type="spellStart"/>
      <w:r w:rsidRPr="00BD0BD9">
        <w:rPr>
          <w:sz w:val="24"/>
          <w:szCs w:val="24"/>
        </w:rPr>
        <w:lastRenderedPageBreak/>
        <w:t>Holgash</w:t>
      </w:r>
      <w:proofErr w:type="spellEnd"/>
      <w:r w:rsidRPr="00BD0BD9">
        <w:rPr>
          <w:sz w:val="24"/>
          <w:szCs w:val="24"/>
        </w:rPr>
        <w:t xml:space="preserve">, K., &amp; </w:t>
      </w:r>
      <w:proofErr w:type="spellStart"/>
      <w:r w:rsidRPr="00BD0BD9">
        <w:rPr>
          <w:sz w:val="24"/>
          <w:szCs w:val="24"/>
        </w:rPr>
        <w:t>Heberlein</w:t>
      </w:r>
      <w:proofErr w:type="spellEnd"/>
      <w:r w:rsidRPr="00BD0BD9">
        <w:rPr>
          <w:sz w:val="24"/>
          <w:szCs w:val="24"/>
        </w:rPr>
        <w:t xml:space="preserve">, M. (2019). “Physician acceptance of new Medicaid patients: what matters and what doesn’t.” </w:t>
      </w:r>
      <w:r w:rsidRPr="00BD0BD9">
        <w:rPr>
          <w:i/>
          <w:sz w:val="24"/>
          <w:szCs w:val="24"/>
        </w:rPr>
        <w:t>Health Affairs Blog,</w:t>
      </w:r>
      <w:r w:rsidRPr="00BD0BD9">
        <w:rPr>
          <w:sz w:val="24"/>
          <w:szCs w:val="24"/>
        </w:rPr>
        <w:t xml:space="preserve"> 2019, 10.</w:t>
      </w:r>
    </w:p>
    <w:p w14:paraId="70BA4A00" w14:textId="77777777" w:rsidR="00ED6425" w:rsidRPr="00BD0BD9" w:rsidRDefault="00AD437C">
      <w:pPr>
        <w:spacing w:line="360" w:lineRule="auto"/>
        <w:ind w:left="720" w:hanging="720"/>
        <w:rPr>
          <w:sz w:val="24"/>
          <w:szCs w:val="24"/>
        </w:rPr>
      </w:pPr>
      <w:r w:rsidRPr="00BD0BD9">
        <w:rPr>
          <w:sz w:val="24"/>
          <w:szCs w:val="24"/>
        </w:rPr>
        <w:t xml:space="preserve">Jaffe, S. (2018).” Medicare advantage plans cleared to go beyond medical coverage—even groceries.” Washington, DC: Kaiser Health News, </w:t>
      </w:r>
      <w:proofErr w:type="gramStart"/>
      <w:r w:rsidRPr="00BD0BD9">
        <w:rPr>
          <w:sz w:val="24"/>
          <w:szCs w:val="24"/>
        </w:rPr>
        <w:t>April,</w:t>
      </w:r>
      <w:proofErr w:type="gramEnd"/>
      <w:r w:rsidRPr="00BD0BD9">
        <w:rPr>
          <w:sz w:val="24"/>
          <w:szCs w:val="24"/>
        </w:rPr>
        <w:t xml:space="preserve"> 3.</w:t>
      </w:r>
    </w:p>
    <w:p w14:paraId="35B5D3F8" w14:textId="70D6CCC0" w:rsidR="00ED6425" w:rsidRPr="00BD0BD9" w:rsidRDefault="00AD437C">
      <w:pPr>
        <w:spacing w:line="360" w:lineRule="auto"/>
        <w:ind w:left="720" w:hanging="720"/>
        <w:rPr>
          <w:b/>
          <w:color w:val="393D40"/>
          <w:sz w:val="24"/>
          <w:szCs w:val="24"/>
        </w:rPr>
      </w:pPr>
      <w:r w:rsidRPr="00BD0BD9">
        <w:rPr>
          <w:sz w:val="24"/>
          <w:szCs w:val="24"/>
        </w:rPr>
        <w:t xml:space="preserve">Kautter, J., Pope, G. C., Ingber, M., Freeman, S., Patterson, L., Cohen, M., &amp; Keenan, P. (2014). “The HHS-HCC risk adjustment model for individual and small group markets under the Affordable Care Act.” </w:t>
      </w:r>
      <w:r w:rsidRPr="00BD0BD9">
        <w:rPr>
          <w:i/>
          <w:sz w:val="24"/>
          <w:szCs w:val="24"/>
        </w:rPr>
        <w:t xml:space="preserve">Medicare &amp; </w:t>
      </w:r>
      <w:proofErr w:type="spellStart"/>
      <w:r w:rsidRPr="00BD0BD9">
        <w:rPr>
          <w:i/>
          <w:sz w:val="24"/>
          <w:szCs w:val="24"/>
        </w:rPr>
        <w:t>medicaid</w:t>
      </w:r>
      <w:proofErr w:type="spellEnd"/>
      <w:r w:rsidRPr="00BD0BD9">
        <w:rPr>
          <w:i/>
          <w:sz w:val="24"/>
          <w:szCs w:val="24"/>
        </w:rPr>
        <w:t xml:space="preserve"> research review, 4</w:t>
      </w:r>
      <w:r w:rsidRPr="00BD0BD9">
        <w:rPr>
          <w:sz w:val="24"/>
          <w:szCs w:val="24"/>
        </w:rPr>
        <w:t xml:space="preserve">(3). </w:t>
      </w:r>
      <w:hyperlink r:id="rId13">
        <w:r w:rsidRPr="00BD0BD9">
          <w:rPr>
            <w:color w:val="1155CC"/>
            <w:sz w:val="24"/>
            <w:szCs w:val="24"/>
            <w:u w:val="single"/>
          </w:rPr>
          <w:t>https://doi.org/10.5600/mmrr2014-004-03-a03</w:t>
        </w:r>
      </w:hyperlink>
      <w:r w:rsidRPr="00BD0BD9">
        <w:rPr>
          <w:sz w:val="24"/>
          <w:szCs w:val="24"/>
        </w:rPr>
        <w:t xml:space="preserve">. </w:t>
      </w:r>
    </w:p>
    <w:p w14:paraId="76157AC9" w14:textId="4E07F57F" w:rsidR="004E1E1E" w:rsidRPr="00BD0BD9" w:rsidRDefault="004E1E1E" w:rsidP="004E1E1E">
      <w:pPr>
        <w:spacing w:line="360" w:lineRule="auto"/>
        <w:ind w:left="720" w:hanging="720"/>
        <w:rPr>
          <w:sz w:val="24"/>
          <w:szCs w:val="24"/>
        </w:rPr>
      </w:pPr>
      <w:r w:rsidRPr="00BD0BD9">
        <w:rPr>
          <w:sz w:val="24"/>
          <w:szCs w:val="24"/>
        </w:rPr>
        <w:t xml:space="preserve">Kaiser Family Foundation (KFF) (2019a). “Compare Medicare-for-all and Public Plan Proposals”, </w:t>
      </w:r>
      <w:hyperlink r:id="rId14">
        <w:r w:rsidRPr="00BD0BD9">
          <w:rPr>
            <w:color w:val="1155CC"/>
            <w:sz w:val="24"/>
            <w:szCs w:val="24"/>
            <w:u w:val="single"/>
          </w:rPr>
          <w:t>https://kff.org</w:t>
        </w:r>
      </w:hyperlink>
      <w:r w:rsidRPr="00BD0BD9">
        <w:rPr>
          <w:sz w:val="24"/>
          <w:szCs w:val="24"/>
        </w:rPr>
        <w:t xml:space="preserve">. Accessed March 2, 2022. </w:t>
      </w:r>
    </w:p>
    <w:p w14:paraId="31147AE4" w14:textId="260AD2DA" w:rsidR="004E1E1E" w:rsidRPr="00BD0BD9" w:rsidRDefault="004E1E1E" w:rsidP="004E1E1E">
      <w:pPr>
        <w:spacing w:line="360" w:lineRule="auto"/>
        <w:ind w:left="720" w:hanging="720"/>
        <w:rPr>
          <w:sz w:val="24"/>
          <w:szCs w:val="24"/>
        </w:rPr>
      </w:pPr>
      <w:r w:rsidRPr="00BD0BD9">
        <w:rPr>
          <w:sz w:val="24"/>
          <w:szCs w:val="24"/>
        </w:rPr>
        <w:t xml:space="preserve">KFF (2019b). “Total Medicaid MCO Enrollment”, </w:t>
      </w:r>
      <w:hyperlink r:id="rId15">
        <w:r w:rsidRPr="00BD0BD9">
          <w:rPr>
            <w:color w:val="1155CC"/>
            <w:sz w:val="24"/>
            <w:szCs w:val="24"/>
            <w:u w:val="single"/>
          </w:rPr>
          <w:t>https://www.kff.org/other/state-indicator/total-medicaid-mco-enrollment/?currentTimeframe=0&amp;sortModel=%7B%22colId%22:%22Location%22,%22sort%22:%22asc%22%7D</w:t>
        </w:r>
      </w:hyperlink>
      <w:r w:rsidRPr="00BD0BD9">
        <w:rPr>
          <w:sz w:val="24"/>
          <w:szCs w:val="24"/>
        </w:rPr>
        <w:t xml:space="preserve">. Accessed March 2, 2022. </w:t>
      </w:r>
    </w:p>
    <w:p w14:paraId="79BB4FC5" w14:textId="6202F255" w:rsidR="004E1E1E" w:rsidRPr="00BD0BD9" w:rsidRDefault="004E1E1E" w:rsidP="004E1E1E">
      <w:pPr>
        <w:spacing w:line="360" w:lineRule="auto"/>
        <w:ind w:left="720" w:hanging="720"/>
        <w:rPr>
          <w:sz w:val="24"/>
          <w:szCs w:val="24"/>
        </w:rPr>
      </w:pPr>
      <w:r w:rsidRPr="00BD0BD9">
        <w:rPr>
          <w:sz w:val="24"/>
          <w:szCs w:val="24"/>
        </w:rPr>
        <w:t xml:space="preserve">KFF (2019c). “Data Note: Changes in Enrollment in the Individual Health Insurance Market through Early 2019.” </w:t>
      </w:r>
      <w:hyperlink r:id="rId16">
        <w:r w:rsidRPr="00BD0BD9">
          <w:rPr>
            <w:color w:val="1155CC"/>
            <w:sz w:val="24"/>
            <w:szCs w:val="24"/>
            <w:u w:val="single"/>
          </w:rPr>
          <w:t>https://www.kff.org/private-insurance/issue-brief/data-note-changes-in-enrollment-in-the-individual-health-insurance-market-through-early-2019/</w:t>
        </w:r>
      </w:hyperlink>
      <w:r w:rsidRPr="00BD0BD9">
        <w:rPr>
          <w:sz w:val="24"/>
          <w:szCs w:val="24"/>
        </w:rPr>
        <w:t xml:space="preserve">. Accessed June 14, 2022. </w:t>
      </w:r>
    </w:p>
    <w:p w14:paraId="3A2FD459" w14:textId="52F6B0FF" w:rsidR="00ED6425" w:rsidRPr="00BD0BD9" w:rsidRDefault="004E1E1E" w:rsidP="004E1E1E">
      <w:pPr>
        <w:spacing w:line="360" w:lineRule="auto"/>
        <w:ind w:left="720" w:hanging="720"/>
        <w:rPr>
          <w:sz w:val="24"/>
          <w:szCs w:val="24"/>
        </w:rPr>
      </w:pPr>
      <w:r w:rsidRPr="00BD0BD9">
        <w:rPr>
          <w:sz w:val="24"/>
          <w:szCs w:val="24"/>
        </w:rPr>
        <w:t xml:space="preserve">KFF (2020). “Public Opinion on Single-Payer, National Health Plans, and Expanding Access to Medicare Coverage”. </w:t>
      </w:r>
      <w:hyperlink r:id="rId17">
        <w:r w:rsidRPr="00BD0BD9">
          <w:rPr>
            <w:color w:val="1155CC"/>
            <w:sz w:val="24"/>
            <w:szCs w:val="24"/>
            <w:u w:val="single"/>
          </w:rPr>
          <w:t>https://www.kff.org/slideshow/public-opinion-on-single-payer-national-health-plans-and-expanding-access-to-medicare-coverage/</w:t>
        </w:r>
      </w:hyperlink>
      <w:r w:rsidRPr="00BD0BD9">
        <w:rPr>
          <w:sz w:val="24"/>
          <w:szCs w:val="24"/>
        </w:rPr>
        <w:t xml:space="preserve">. Accessed June 14, 2022. </w:t>
      </w:r>
      <w:r w:rsidR="00AD437C" w:rsidRPr="00BD0BD9">
        <w:rPr>
          <w:sz w:val="24"/>
          <w:szCs w:val="24"/>
        </w:rPr>
        <w:t>Kaiser Family Foundation (2021</w:t>
      </w:r>
      <w:r w:rsidR="007702A9" w:rsidRPr="00BD0BD9">
        <w:rPr>
          <w:sz w:val="24"/>
          <w:szCs w:val="24"/>
        </w:rPr>
        <w:t>a</w:t>
      </w:r>
      <w:r w:rsidR="00AD437C" w:rsidRPr="00BD0BD9">
        <w:rPr>
          <w:sz w:val="24"/>
          <w:szCs w:val="24"/>
        </w:rPr>
        <w:t xml:space="preserve">). “Marketplace Plan Selections by Age”, </w:t>
      </w:r>
      <w:hyperlink r:id="rId18">
        <w:r w:rsidR="00AD437C" w:rsidRPr="00BD0BD9">
          <w:rPr>
            <w:color w:val="1155CC"/>
            <w:sz w:val="24"/>
            <w:szCs w:val="24"/>
            <w:u w:val="single"/>
          </w:rPr>
          <w:t>https://www.kff.org/health-reform/state-indicator/marketplace-plan-selection-by-age/?currentTimeframe=0&amp;sortModel=%7B%22colId%22:%22Location%22,%22sort%22:%22asc%22%7D</w:t>
        </w:r>
      </w:hyperlink>
      <w:r w:rsidR="00AD437C" w:rsidRPr="00BD0BD9">
        <w:rPr>
          <w:sz w:val="24"/>
          <w:szCs w:val="24"/>
        </w:rPr>
        <w:t xml:space="preserve">. Accessed March 2, 2022. </w:t>
      </w:r>
    </w:p>
    <w:p w14:paraId="57F229FB" w14:textId="031BE39D" w:rsidR="00ED6425" w:rsidRPr="00BD0BD9" w:rsidRDefault="004E1E1E">
      <w:pPr>
        <w:spacing w:line="360" w:lineRule="auto"/>
        <w:ind w:left="720" w:hanging="720"/>
        <w:rPr>
          <w:sz w:val="24"/>
          <w:szCs w:val="24"/>
        </w:rPr>
      </w:pPr>
      <w:r w:rsidRPr="00BD0BD9">
        <w:rPr>
          <w:sz w:val="24"/>
          <w:szCs w:val="24"/>
        </w:rPr>
        <w:t xml:space="preserve">KFF </w:t>
      </w:r>
      <w:r w:rsidR="00AD437C" w:rsidRPr="00BD0BD9">
        <w:rPr>
          <w:sz w:val="24"/>
          <w:szCs w:val="24"/>
        </w:rPr>
        <w:t>(2021</w:t>
      </w:r>
      <w:r w:rsidR="007702A9" w:rsidRPr="00BD0BD9">
        <w:rPr>
          <w:sz w:val="24"/>
          <w:szCs w:val="24"/>
        </w:rPr>
        <w:t>b</w:t>
      </w:r>
      <w:r w:rsidR="00AD437C" w:rsidRPr="00BD0BD9">
        <w:rPr>
          <w:sz w:val="24"/>
          <w:szCs w:val="24"/>
        </w:rPr>
        <w:t xml:space="preserve">). “Total Number of Medicare Beneficiaries”, </w:t>
      </w:r>
      <w:hyperlink r:id="rId19">
        <w:r w:rsidR="00AD437C" w:rsidRPr="00BD0BD9">
          <w:rPr>
            <w:color w:val="1155CC"/>
            <w:sz w:val="24"/>
            <w:szCs w:val="24"/>
            <w:u w:val="single"/>
          </w:rPr>
          <w:t>https://www.kff.org/medicare/state-indicator/total-medicare-beneficiaries/?currentTimeframe=0&amp;sortModel=%7B%22colId%22:%22Location%22,%22sort%22:%22asc%22%7D</w:t>
        </w:r>
      </w:hyperlink>
      <w:r w:rsidR="00AD437C" w:rsidRPr="00BD0BD9">
        <w:rPr>
          <w:sz w:val="24"/>
          <w:szCs w:val="24"/>
        </w:rPr>
        <w:t xml:space="preserve">. Accessed March 2, 2022. </w:t>
      </w:r>
    </w:p>
    <w:p w14:paraId="1C667EB7" w14:textId="57DCD62F" w:rsidR="007702A9" w:rsidRPr="00BD0BD9" w:rsidRDefault="004E1E1E" w:rsidP="007702A9">
      <w:pPr>
        <w:spacing w:line="360" w:lineRule="auto"/>
        <w:ind w:left="720" w:hanging="720"/>
        <w:rPr>
          <w:sz w:val="24"/>
          <w:szCs w:val="24"/>
        </w:rPr>
      </w:pPr>
      <w:r w:rsidRPr="00BD0BD9">
        <w:rPr>
          <w:sz w:val="24"/>
          <w:szCs w:val="24"/>
        </w:rPr>
        <w:lastRenderedPageBreak/>
        <w:t xml:space="preserve">KFF </w:t>
      </w:r>
      <w:r w:rsidR="007702A9" w:rsidRPr="00BD0BD9">
        <w:rPr>
          <w:sz w:val="24"/>
          <w:szCs w:val="24"/>
        </w:rPr>
        <w:t xml:space="preserve">(2022). “Number of Issuers Participating in the Individual Health Insurance Marketplaces”, </w:t>
      </w:r>
      <w:hyperlink r:id="rId20">
        <w:r w:rsidR="007702A9" w:rsidRPr="00BD0BD9">
          <w:rPr>
            <w:color w:val="1155CC"/>
            <w:sz w:val="24"/>
            <w:szCs w:val="24"/>
            <w:u w:val="single"/>
          </w:rPr>
          <w:t>https://www.kff.org/other/state-indicator/number-of-issuers-participating-in-the-individual-health-insurance-marketplace/?currentTimeframe=0&amp;sortModel=%7B%22colId%22:%22Location%22,%22sort%22:%22asc%22%7D</w:t>
        </w:r>
      </w:hyperlink>
      <w:r w:rsidR="007702A9" w:rsidRPr="00BD0BD9">
        <w:rPr>
          <w:sz w:val="24"/>
          <w:szCs w:val="24"/>
        </w:rPr>
        <w:t xml:space="preserve">. Accessed March 2, 2022. </w:t>
      </w:r>
    </w:p>
    <w:p w14:paraId="650C4559" w14:textId="783715C9" w:rsidR="00395FE2" w:rsidRPr="00BD0BD9" w:rsidRDefault="00395FE2">
      <w:pPr>
        <w:spacing w:line="360" w:lineRule="auto"/>
        <w:ind w:left="720" w:hanging="720"/>
        <w:rPr>
          <w:sz w:val="24"/>
          <w:szCs w:val="24"/>
        </w:rPr>
      </w:pPr>
      <w:r w:rsidRPr="00BD0BD9">
        <w:rPr>
          <w:sz w:val="24"/>
          <w:szCs w:val="24"/>
        </w:rPr>
        <w:t xml:space="preserve">Institute of Medicine (US) Committee on Understanding and Eliminating Racial and Ethnic Disparities in Health Care. Unequal Treatment: Confronting Racial and Ethnic Disparities in Health Care. (Smedley BD, Stith AY, Nelson AR, eds.). National Academies Press (US); 2003. Accessed October 5, 2022. </w:t>
      </w:r>
      <w:hyperlink r:id="rId21" w:history="1">
        <w:r w:rsidRPr="00BD0BD9">
          <w:rPr>
            <w:rStyle w:val="Hyperlink"/>
            <w:sz w:val="24"/>
            <w:szCs w:val="24"/>
          </w:rPr>
          <w:t>http://www.ncbi.nlm.nih.gov/books/NBK220358/</w:t>
        </w:r>
      </w:hyperlink>
      <w:r w:rsidRPr="00BD0BD9">
        <w:rPr>
          <w:sz w:val="24"/>
          <w:szCs w:val="24"/>
        </w:rPr>
        <w:t xml:space="preserve"> </w:t>
      </w:r>
    </w:p>
    <w:p w14:paraId="5AA278DB" w14:textId="57F1746C" w:rsidR="00ED742F" w:rsidRPr="00BD0BD9" w:rsidRDefault="00ED742F">
      <w:pPr>
        <w:spacing w:line="360" w:lineRule="auto"/>
        <w:ind w:left="720" w:hanging="720"/>
        <w:rPr>
          <w:sz w:val="24"/>
          <w:szCs w:val="24"/>
        </w:rPr>
      </w:pPr>
      <w:r w:rsidRPr="00BD0BD9">
        <w:rPr>
          <w:sz w:val="24"/>
          <w:szCs w:val="24"/>
        </w:rPr>
        <w:t xml:space="preserve">Layton, T. J., Ellis, R. P., McGuire, T. G., &amp; Van Kleef, R. (2017). Measuring efficiency of health plan payment systems in managed competition health insurance markets. </w:t>
      </w:r>
      <w:r w:rsidRPr="001873FB">
        <w:rPr>
          <w:i/>
          <w:iCs/>
          <w:sz w:val="24"/>
          <w:szCs w:val="24"/>
        </w:rPr>
        <w:t xml:space="preserve">Journal of </w:t>
      </w:r>
      <w:r w:rsidRPr="00BD0BD9">
        <w:rPr>
          <w:i/>
          <w:iCs/>
          <w:sz w:val="24"/>
          <w:szCs w:val="24"/>
        </w:rPr>
        <w:t>H</w:t>
      </w:r>
      <w:r w:rsidRPr="001873FB">
        <w:rPr>
          <w:i/>
          <w:iCs/>
          <w:sz w:val="24"/>
          <w:szCs w:val="24"/>
        </w:rPr>
        <w:t xml:space="preserve">ealth </w:t>
      </w:r>
      <w:r w:rsidR="00395FE2" w:rsidRPr="00BD0BD9">
        <w:rPr>
          <w:i/>
          <w:iCs/>
          <w:sz w:val="24"/>
          <w:szCs w:val="24"/>
        </w:rPr>
        <w:t>E</w:t>
      </w:r>
      <w:r w:rsidRPr="001873FB">
        <w:rPr>
          <w:i/>
          <w:iCs/>
          <w:sz w:val="24"/>
          <w:szCs w:val="24"/>
        </w:rPr>
        <w:t>conomics, 56</w:t>
      </w:r>
      <w:r w:rsidRPr="00BD0BD9">
        <w:rPr>
          <w:sz w:val="24"/>
          <w:szCs w:val="24"/>
        </w:rPr>
        <w:t>, 237-255.</w:t>
      </w:r>
    </w:p>
    <w:p w14:paraId="54A2EDA2" w14:textId="43CAEAE7" w:rsidR="00ED6425" w:rsidRPr="00BD0BD9" w:rsidRDefault="00AD437C">
      <w:pPr>
        <w:spacing w:line="360" w:lineRule="auto"/>
        <w:ind w:left="720" w:hanging="720"/>
        <w:rPr>
          <w:sz w:val="24"/>
          <w:szCs w:val="24"/>
        </w:rPr>
      </w:pPr>
      <w:r w:rsidRPr="00BD0BD9">
        <w:rPr>
          <w:sz w:val="24"/>
          <w:szCs w:val="24"/>
        </w:rPr>
        <w:t xml:space="preserve">Layton, T. J., </w:t>
      </w:r>
      <w:proofErr w:type="spellStart"/>
      <w:r w:rsidRPr="00BD0BD9">
        <w:rPr>
          <w:sz w:val="24"/>
          <w:szCs w:val="24"/>
        </w:rPr>
        <w:t>Ndikumana</w:t>
      </w:r>
      <w:proofErr w:type="spellEnd"/>
      <w:r w:rsidRPr="00BD0BD9">
        <w:rPr>
          <w:sz w:val="24"/>
          <w:szCs w:val="24"/>
        </w:rPr>
        <w:t xml:space="preserve">, A., &amp; Shepard, M. (2018). “Health plan payment in </w:t>
      </w:r>
      <w:r w:rsidR="004E1E1E" w:rsidRPr="00BD0BD9">
        <w:rPr>
          <w:sz w:val="24"/>
          <w:szCs w:val="24"/>
        </w:rPr>
        <w:t>M</w:t>
      </w:r>
      <w:r w:rsidRPr="00BD0BD9">
        <w:rPr>
          <w:sz w:val="24"/>
          <w:szCs w:val="24"/>
        </w:rPr>
        <w:t xml:space="preserve">edicaid managed care: A hybrid model of regulated competition.” In </w:t>
      </w:r>
      <w:r w:rsidRPr="00BD0BD9">
        <w:rPr>
          <w:i/>
          <w:sz w:val="24"/>
          <w:szCs w:val="24"/>
        </w:rPr>
        <w:t>Risk Adjustment, Risk Sharing and Premium Regulation in Health Insurance Markets</w:t>
      </w:r>
      <w:r w:rsidRPr="00BD0BD9">
        <w:rPr>
          <w:sz w:val="24"/>
          <w:szCs w:val="24"/>
        </w:rPr>
        <w:t xml:space="preserve"> (pp. 523-561). Academic Press.</w:t>
      </w:r>
    </w:p>
    <w:p w14:paraId="0983368C" w14:textId="77777777" w:rsidR="00ED6425" w:rsidRPr="00BD0BD9" w:rsidRDefault="00AD437C">
      <w:pPr>
        <w:spacing w:line="360" w:lineRule="auto"/>
        <w:ind w:left="720" w:hanging="720"/>
        <w:rPr>
          <w:sz w:val="24"/>
          <w:szCs w:val="24"/>
        </w:rPr>
      </w:pPr>
      <w:r w:rsidRPr="00BD0BD9">
        <w:rPr>
          <w:sz w:val="24"/>
          <w:szCs w:val="24"/>
        </w:rPr>
        <w:t>Levinson, D. R. (2014). “Access to care: Provider availability in Medicaid managed care”. Washington, DC: Office of the Inspector General, Department of Health and Human Services.</w:t>
      </w:r>
    </w:p>
    <w:p w14:paraId="09D05268" w14:textId="77777777" w:rsidR="00ED6425" w:rsidRPr="00BD0BD9" w:rsidRDefault="00AD437C">
      <w:pPr>
        <w:spacing w:line="360" w:lineRule="auto"/>
        <w:ind w:left="720" w:hanging="720"/>
        <w:rPr>
          <w:i/>
          <w:sz w:val="24"/>
          <w:szCs w:val="24"/>
        </w:rPr>
      </w:pPr>
      <w:r w:rsidRPr="00BD0BD9">
        <w:rPr>
          <w:sz w:val="24"/>
          <w:szCs w:val="24"/>
        </w:rPr>
        <w:t xml:space="preserve">Liu, J. L. &amp; Eibner, C. (2019). “National Health Spending Estimates Under Medicare for All”, </w:t>
      </w:r>
      <w:r w:rsidRPr="00BD0BD9">
        <w:rPr>
          <w:i/>
          <w:sz w:val="24"/>
          <w:szCs w:val="24"/>
        </w:rPr>
        <w:t xml:space="preserve">RAND Corporation. </w:t>
      </w:r>
    </w:p>
    <w:p w14:paraId="17F62671" w14:textId="77777777" w:rsidR="00ED6425" w:rsidRPr="00BD0BD9" w:rsidRDefault="00AD437C">
      <w:pPr>
        <w:spacing w:line="360" w:lineRule="auto"/>
        <w:ind w:left="720" w:hanging="720"/>
        <w:rPr>
          <w:sz w:val="24"/>
          <w:szCs w:val="24"/>
        </w:rPr>
      </w:pPr>
      <w:r w:rsidRPr="00BD0BD9">
        <w:rPr>
          <w:sz w:val="24"/>
          <w:szCs w:val="24"/>
        </w:rPr>
        <w:t xml:space="preserve">MACPAC (2017). “Medicaid Payment Policy for Federally Qualified Health Centers.” </w:t>
      </w:r>
      <w:hyperlink r:id="rId22">
        <w:r w:rsidRPr="00BD0BD9">
          <w:rPr>
            <w:color w:val="1155CC"/>
            <w:sz w:val="24"/>
            <w:szCs w:val="24"/>
            <w:u w:val="single"/>
          </w:rPr>
          <w:t>https://www.macpac.gov/wp-content/uploads/2017/12/Medicaid-Payment-Policy-for-Federally-Qualified-Health-Centers.pdf</w:t>
        </w:r>
      </w:hyperlink>
      <w:r w:rsidRPr="00BD0BD9">
        <w:rPr>
          <w:sz w:val="24"/>
          <w:szCs w:val="24"/>
        </w:rPr>
        <w:t xml:space="preserve">. Accessed June 14, 2022. </w:t>
      </w:r>
    </w:p>
    <w:p w14:paraId="592D7B8A" w14:textId="77777777" w:rsidR="00ED6425" w:rsidRPr="00BD0BD9" w:rsidRDefault="00AD437C">
      <w:pPr>
        <w:spacing w:line="360" w:lineRule="auto"/>
        <w:ind w:left="720" w:hanging="720"/>
        <w:rPr>
          <w:sz w:val="24"/>
          <w:szCs w:val="24"/>
        </w:rPr>
      </w:pPr>
      <w:proofErr w:type="spellStart"/>
      <w:r w:rsidRPr="00BD0BD9">
        <w:rPr>
          <w:sz w:val="24"/>
          <w:szCs w:val="24"/>
        </w:rPr>
        <w:t>Mazurenko</w:t>
      </w:r>
      <w:proofErr w:type="spellEnd"/>
      <w:r w:rsidRPr="00BD0BD9">
        <w:rPr>
          <w:sz w:val="24"/>
          <w:szCs w:val="24"/>
        </w:rPr>
        <w:t xml:space="preserve">, O., </w:t>
      </w:r>
      <w:proofErr w:type="spellStart"/>
      <w:r w:rsidRPr="00BD0BD9">
        <w:rPr>
          <w:sz w:val="24"/>
          <w:szCs w:val="24"/>
        </w:rPr>
        <w:t>Balio</w:t>
      </w:r>
      <w:proofErr w:type="spellEnd"/>
      <w:r w:rsidRPr="00BD0BD9">
        <w:rPr>
          <w:sz w:val="24"/>
          <w:szCs w:val="24"/>
        </w:rPr>
        <w:t xml:space="preserve">, C. P., Agarwal, R., Carroll, A. E., &amp; </w:t>
      </w:r>
      <w:proofErr w:type="spellStart"/>
      <w:r w:rsidRPr="00BD0BD9">
        <w:rPr>
          <w:sz w:val="24"/>
          <w:szCs w:val="24"/>
        </w:rPr>
        <w:t>Menachemi</w:t>
      </w:r>
      <w:proofErr w:type="spellEnd"/>
      <w:r w:rsidRPr="00BD0BD9">
        <w:rPr>
          <w:sz w:val="24"/>
          <w:szCs w:val="24"/>
        </w:rPr>
        <w:t xml:space="preserve">, N. (2018). “The effects of Medicaid expansion under the ACA: a systematic review.” </w:t>
      </w:r>
      <w:r w:rsidRPr="00BD0BD9">
        <w:rPr>
          <w:i/>
          <w:sz w:val="24"/>
          <w:szCs w:val="24"/>
        </w:rPr>
        <w:t>Health Affairs, 37</w:t>
      </w:r>
      <w:r w:rsidRPr="00BD0BD9">
        <w:rPr>
          <w:sz w:val="24"/>
          <w:szCs w:val="24"/>
        </w:rPr>
        <w:t>(6), 944-950.</w:t>
      </w:r>
    </w:p>
    <w:p w14:paraId="50306F4F" w14:textId="1AFF66DF" w:rsidR="0058610D" w:rsidRPr="00BD0BD9" w:rsidRDefault="009E43F2">
      <w:pPr>
        <w:spacing w:line="360" w:lineRule="auto"/>
        <w:ind w:left="720" w:hanging="720"/>
        <w:rPr>
          <w:sz w:val="24"/>
          <w:szCs w:val="24"/>
        </w:rPr>
      </w:pPr>
      <w:r w:rsidRPr="00BD0BD9">
        <w:rPr>
          <w:sz w:val="24"/>
          <w:szCs w:val="24"/>
        </w:rPr>
        <w:t>McGuire, T</w:t>
      </w:r>
      <w:r w:rsidR="0058610D" w:rsidRPr="00BD0BD9">
        <w:rPr>
          <w:sz w:val="24"/>
          <w:szCs w:val="24"/>
        </w:rPr>
        <w:t>.</w:t>
      </w:r>
      <w:r w:rsidRPr="00BD0BD9">
        <w:rPr>
          <w:sz w:val="24"/>
          <w:szCs w:val="24"/>
        </w:rPr>
        <w:t>G., Newhouse</w:t>
      </w:r>
      <w:r w:rsidR="0058610D" w:rsidRPr="00BD0BD9">
        <w:rPr>
          <w:sz w:val="24"/>
          <w:szCs w:val="24"/>
        </w:rPr>
        <w:t xml:space="preserve"> J.P.</w:t>
      </w:r>
      <w:r w:rsidRPr="00BD0BD9">
        <w:rPr>
          <w:sz w:val="24"/>
          <w:szCs w:val="24"/>
        </w:rPr>
        <w:t>, and Sinaiko</w:t>
      </w:r>
      <w:r w:rsidR="0058610D" w:rsidRPr="00BD0BD9">
        <w:rPr>
          <w:sz w:val="24"/>
          <w:szCs w:val="24"/>
        </w:rPr>
        <w:t xml:space="preserve"> A.D</w:t>
      </w:r>
      <w:r w:rsidRPr="00BD0BD9">
        <w:rPr>
          <w:sz w:val="24"/>
          <w:szCs w:val="24"/>
        </w:rPr>
        <w:t xml:space="preserve">. </w:t>
      </w:r>
      <w:r w:rsidR="00663FDB" w:rsidRPr="00BD0BD9">
        <w:rPr>
          <w:sz w:val="24"/>
          <w:szCs w:val="24"/>
        </w:rPr>
        <w:t xml:space="preserve">(2011) </w:t>
      </w:r>
      <w:r w:rsidRPr="00BD0BD9">
        <w:rPr>
          <w:sz w:val="24"/>
          <w:szCs w:val="24"/>
        </w:rPr>
        <w:t xml:space="preserve">"An economic history of Medicare Part C." </w:t>
      </w:r>
      <w:r w:rsidRPr="00BD0BD9">
        <w:rPr>
          <w:i/>
          <w:iCs/>
          <w:sz w:val="24"/>
          <w:szCs w:val="24"/>
        </w:rPr>
        <w:t>The Milbank Quarterly.</w:t>
      </w:r>
      <w:r w:rsidRPr="00BD0BD9">
        <w:rPr>
          <w:sz w:val="24"/>
          <w:szCs w:val="24"/>
        </w:rPr>
        <w:t xml:space="preserve"> 89, no. 2: 289-332.</w:t>
      </w:r>
    </w:p>
    <w:p w14:paraId="40E949B4" w14:textId="6CFD659F" w:rsidR="00ED6425" w:rsidRPr="00BD0BD9" w:rsidRDefault="00AD437C">
      <w:pPr>
        <w:spacing w:line="360" w:lineRule="auto"/>
        <w:ind w:left="720" w:hanging="720"/>
        <w:rPr>
          <w:sz w:val="24"/>
          <w:szCs w:val="24"/>
        </w:rPr>
      </w:pPr>
      <w:r w:rsidRPr="00BD0BD9">
        <w:rPr>
          <w:sz w:val="24"/>
          <w:szCs w:val="24"/>
        </w:rPr>
        <w:lastRenderedPageBreak/>
        <w:t xml:space="preserve">McGuire, T. G., &amp; van Kleef, R. C. (2018). “Regulated competition in health insurance markets: Paradigms and ongoing issues”. In </w:t>
      </w:r>
      <w:r w:rsidRPr="00BD0BD9">
        <w:rPr>
          <w:i/>
          <w:sz w:val="24"/>
          <w:szCs w:val="24"/>
        </w:rPr>
        <w:t>Risk Adjustment, Risk Sharing and Premium Regulation in Health Insurance Markets</w:t>
      </w:r>
      <w:r w:rsidRPr="00BD0BD9">
        <w:rPr>
          <w:sz w:val="24"/>
          <w:szCs w:val="24"/>
        </w:rPr>
        <w:t xml:space="preserve"> (pp. 3-20). Academic Press.</w:t>
      </w:r>
    </w:p>
    <w:p w14:paraId="50BD5FCC" w14:textId="77777777" w:rsidR="00ED6425" w:rsidRPr="00BD0BD9" w:rsidRDefault="00AD437C">
      <w:pPr>
        <w:spacing w:line="360" w:lineRule="auto"/>
        <w:ind w:left="720" w:hanging="720"/>
        <w:rPr>
          <w:i/>
          <w:sz w:val="24"/>
          <w:szCs w:val="24"/>
        </w:rPr>
      </w:pPr>
      <w:r w:rsidRPr="00BD0BD9">
        <w:rPr>
          <w:sz w:val="24"/>
          <w:szCs w:val="24"/>
        </w:rPr>
        <w:t xml:space="preserve">Medicare Payment Advisory Commission (MEDPAC), (2021). “Report to the Congress: Medicare and the Health Care Delivery System.” </w:t>
      </w:r>
      <w:r w:rsidRPr="00BD0BD9">
        <w:rPr>
          <w:i/>
          <w:sz w:val="24"/>
          <w:szCs w:val="24"/>
        </w:rPr>
        <w:t xml:space="preserve">Technical Report. </w:t>
      </w:r>
    </w:p>
    <w:p w14:paraId="0C10F40C" w14:textId="77777777" w:rsidR="00ED6425" w:rsidRPr="00BD0BD9" w:rsidRDefault="00AD437C">
      <w:pPr>
        <w:spacing w:line="360" w:lineRule="auto"/>
        <w:ind w:left="720" w:hanging="720"/>
        <w:rPr>
          <w:i/>
          <w:sz w:val="24"/>
          <w:szCs w:val="24"/>
        </w:rPr>
      </w:pPr>
      <w:r w:rsidRPr="00BD0BD9">
        <w:rPr>
          <w:sz w:val="24"/>
          <w:szCs w:val="24"/>
        </w:rPr>
        <w:t xml:space="preserve">Mike D. and Yilmaz, G. (2021). “Average annual beneficiary health care costs for various Medicare coverage options,” </w:t>
      </w:r>
      <w:r w:rsidRPr="00BD0BD9">
        <w:rPr>
          <w:i/>
          <w:sz w:val="24"/>
          <w:szCs w:val="24"/>
        </w:rPr>
        <w:t xml:space="preserve">Technical Report. </w:t>
      </w:r>
    </w:p>
    <w:p w14:paraId="016F2929" w14:textId="77777777" w:rsidR="00ED6425" w:rsidRPr="00BD0BD9" w:rsidRDefault="00AD437C">
      <w:pPr>
        <w:spacing w:line="360" w:lineRule="auto"/>
        <w:ind w:left="720" w:hanging="720"/>
        <w:rPr>
          <w:sz w:val="24"/>
          <w:szCs w:val="24"/>
        </w:rPr>
      </w:pPr>
      <w:r w:rsidRPr="00BD0BD9">
        <w:rPr>
          <w:sz w:val="24"/>
          <w:szCs w:val="24"/>
        </w:rPr>
        <w:t xml:space="preserve">Morrisey, M. A., Kilgore, M. L., Becker, D. J., Smith, W., &amp; </w:t>
      </w:r>
      <w:proofErr w:type="spellStart"/>
      <w:r w:rsidRPr="00BD0BD9">
        <w:rPr>
          <w:sz w:val="24"/>
          <w:szCs w:val="24"/>
        </w:rPr>
        <w:t>Delzell</w:t>
      </w:r>
      <w:proofErr w:type="spellEnd"/>
      <w:r w:rsidRPr="00BD0BD9">
        <w:rPr>
          <w:sz w:val="24"/>
          <w:szCs w:val="24"/>
        </w:rPr>
        <w:t xml:space="preserve">, E. (2013). “Favorable selection, risk adjustment, and the Medicare Advantage program.” </w:t>
      </w:r>
      <w:r w:rsidRPr="00BD0BD9">
        <w:rPr>
          <w:i/>
          <w:sz w:val="24"/>
          <w:szCs w:val="24"/>
        </w:rPr>
        <w:t>Health Services Research, 48</w:t>
      </w:r>
      <w:r w:rsidRPr="00BD0BD9">
        <w:rPr>
          <w:sz w:val="24"/>
          <w:szCs w:val="24"/>
        </w:rPr>
        <w:t>(3), 1039-1056.</w:t>
      </w:r>
    </w:p>
    <w:p w14:paraId="7A23436B" w14:textId="3D233604" w:rsidR="0058610D" w:rsidRPr="00BD0BD9" w:rsidRDefault="0058610D">
      <w:pPr>
        <w:spacing w:line="360" w:lineRule="auto"/>
        <w:ind w:left="720" w:hanging="720"/>
        <w:rPr>
          <w:sz w:val="24"/>
          <w:szCs w:val="24"/>
        </w:rPr>
      </w:pPr>
      <w:r w:rsidRPr="00BD0BD9">
        <w:rPr>
          <w:sz w:val="24"/>
          <w:szCs w:val="24"/>
        </w:rPr>
        <w:t xml:space="preserve">Newhouse, J.P., Price, M, McWilliams, J.M., Hsu, J, Souza, J, and Landon B.E. (2019) "Adjusted mortality rates are lower for Medicare Advantage than traditional Medicare, but the rates converge over time." </w:t>
      </w:r>
      <w:r w:rsidRPr="00BD0BD9">
        <w:rPr>
          <w:i/>
          <w:iCs/>
          <w:sz w:val="24"/>
          <w:szCs w:val="24"/>
        </w:rPr>
        <w:t>Health affairs</w:t>
      </w:r>
      <w:r w:rsidRPr="00BD0BD9">
        <w:rPr>
          <w:sz w:val="24"/>
          <w:szCs w:val="24"/>
        </w:rPr>
        <w:t xml:space="preserve"> 38, no. 4: 554-560.</w:t>
      </w:r>
    </w:p>
    <w:p w14:paraId="208AB13C" w14:textId="73616316" w:rsidR="00ED6425" w:rsidRPr="00BD0BD9" w:rsidRDefault="00AD437C">
      <w:pPr>
        <w:spacing w:line="360" w:lineRule="auto"/>
        <w:ind w:left="720" w:hanging="720"/>
        <w:rPr>
          <w:sz w:val="24"/>
          <w:szCs w:val="24"/>
        </w:rPr>
      </w:pPr>
      <w:proofErr w:type="spellStart"/>
      <w:r w:rsidRPr="00BD0BD9">
        <w:rPr>
          <w:sz w:val="24"/>
          <w:szCs w:val="24"/>
        </w:rPr>
        <w:t>Pelech</w:t>
      </w:r>
      <w:proofErr w:type="spellEnd"/>
      <w:r w:rsidRPr="00BD0BD9">
        <w:rPr>
          <w:sz w:val="24"/>
          <w:szCs w:val="24"/>
        </w:rPr>
        <w:t xml:space="preserve">, D. (2017). “Dropped out or pushed out? Insurance market exit and provider market power in Medicare Advantage.” </w:t>
      </w:r>
      <w:r w:rsidRPr="00BD0BD9">
        <w:rPr>
          <w:i/>
          <w:sz w:val="24"/>
          <w:szCs w:val="24"/>
        </w:rPr>
        <w:t>Journal of Health Economics, 51</w:t>
      </w:r>
      <w:r w:rsidRPr="00BD0BD9">
        <w:rPr>
          <w:sz w:val="24"/>
          <w:szCs w:val="24"/>
        </w:rPr>
        <w:t>, 98-112.</w:t>
      </w:r>
    </w:p>
    <w:p w14:paraId="03BE0C24" w14:textId="77777777" w:rsidR="00ED6425" w:rsidRPr="00BD0BD9" w:rsidRDefault="00AD437C">
      <w:pPr>
        <w:spacing w:line="360" w:lineRule="auto"/>
        <w:ind w:left="720" w:hanging="720"/>
        <w:rPr>
          <w:sz w:val="24"/>
          <w:szCs w:val="24"/>
        </w:rPr>
      </w:pPr>
      <w:r w:rsidRPr="00BD0BD9">
        <w:rPr>
          <w:sz w:val="24"/>
          <w:szCs w:val="24"/>
        </w:rPr>
        <w:t xml:space="preserve">Polyakova, M. (2016). “Regulation of insurance with adverse selection and switching costs: Evidence from Medicare Part D.” </w:t>
      </w:r>
      <w:r w:rsidRPr="00BD0BD9">
        <w:rPr>
          <w:i/>
          <w:sz w:val="24"/>
          <w:szCs w:val="24"/>
        </w:rPr>
        <w:t>American Economic Journal: Applied Economics</w:t>
      </w:r>
      <w:r w:rsidRPr="00BD0BD9">
        <w:rPr>
          <w:sz w:val="24"/>
          <w:szCs w:val="24"/>
        </w:rPr>
        <w:t>, 8(3), 165-95.</w:t>
      </w:r>
    </w:p>
    <w:p w14:paraId="2CE468AE" w14:textId="77777777" w:rsidR="00ED6425" w:rsidRPr="00BD0BD9" w:rsidRDefault="00AD437C">
      <w:pPr>
        <w:spacing w:line="360" w:lineRule="auto"/>
        <w:ind w:left="720" w:hanging="720"/>
        <w:rPr>
          <w:sz w:val="24"/>
          <w:szCs w:val="24"/>
        </w:rPr>
      </w:pPr>
      <w:r w:rsidRPr="00BD0BD9">
        <w:rPr>
          <w:sz w:val="24"/>
          <w:szCs w:val="24"/>
        </w:rPr>
        <w:t xml:space="preserve">Robert Wood Johnson Foundation (RWJF), (2021). “ACA Marketplace participation tracker” </w:t>
      </w:r>
      <w:hyperlink r:id="rId23">
        <w:r w:rsidRPr="00BD0BD9">
          <w:rPr>
            <w:color w:val="1155CC"/>
            <w:sz w:val="24"/>
            <w:szCs w:val="24"/>
            <w:u w:val="single"/>
          </w:rPr>
          <w:t>https://www.rwjf.org/en/library/interactives/aca-marketplace-participation-tracker.html</w:t>
        </w:r>
      </w:hyperlink>
      <w:r w:rsidRPr="00BD0BD9">
        <w:rPr>
          <w:sz w:val="24"/>
          <w:szCs w:val="24"/>
        </w:rPr>
        <w:t xml:space="preserve">. Accessed March 2, 2022. </w:t>
      </w:r>
    </w:p>
    <w:p w14:paraId="5190A1C1" w14:textId="77777777" w:rsidR="00ED6425" w:rsidRPr="00BD0BD9" w:rsidRDefault="00AD437C">
      <w:pPr>
        <w:spacing w:line="360" w:lineRule="auto"/>
        <w:ind w:left="720" w:hanging="720"/>
        <w:rPr>
          <w:color w:val="303030"/>
          <w:sz w:val="24"/>
          <w:szCs w:val="24"/>
          <w:highlight w:val="white"/>
        </w:rPr>
      </w:pPr>
      <w:proofErr w:type="spellStart"/>
      <w:r w:rsidRPr="00BD0BD9">
        <w:rPr>
          <w:sz w:val="24"/>
          <w:szCs w:val="24"/>
        </w:rPr>
        <w:t>Schieber</w:t>
      </w:r>
      <w:proofErr w:type="spellEnd"/>
      <w:r w:rsidRPr="00BD0BD9">
        <w:rPr>
          <w:sz w:val="24"/>
          <w:szCs w:val="24"/>
        </w:rPr>
        <w:t xml:space="preserve">, G. J. (1990). “Health expenditures in major industrialized countries, 1960-87”, </w:t>
      </w:r>
      <w:r w:rsidRPr="00BD0BD9">
        <w:rPr>
          <w:i/>
          <w:color w:val="303030"/>
          <w:sz w:val="24"/>
          <w:szCs w:val="24"/>
          <w:highlight w:val="white"/>
        </w:rPr>
        <w:t>Health care financing review</w:t>
      </w:r>
      <w:r w:rsidRPr="00BD0BD9">
        <w:rPr>
          <w:color w:val="303030"/>
          <w:sz w:val="24"/>
          <w:szCs w:val="24"/>
          <w:highlight w:val="white"/>
        </w:rPr>
        <w:t xml:space="preserve">, </w:t>
      </w:r>
      <w:r w:rsidRPr="00BD0BD9">
        <w:rPr>
          <w:i/>
          <w:color w:val="303030"/>
          <w:sz w:val="24"/>
          <w:szCs w:val="24"/>
          <w:highlight w:val="white"/>
        </w:rPr>
        <w:t>11</w:t>
      </w:r>
      <w:r w:rsidRPr="00BD0BD9">
        <w:rPr>
          <w:color w:val="303030"/>
          <w:sz w:val="24"/>
          <w:szCs w:val="24"/>
          <w:highlight w:val="white"/>
        </w:rPr>
        <w:t>(4), 159–167.</w:t>
      </w:r>
    </w:p>
    <w:p w14:paraId="349A56B2" w14:textId="77777777" w:rsidR="00ED6425" w:rsidRPr="00BD0BD9" w:rsidRDefault="00AD437C">
      <w:pPr>
        <w:spacing w:line="360" w:lineRule="auto"/>
        <w:ind w:left="720" w:hanging="720"/>
        <w:rPr>
          <w:color w:val="303030"/>
          <w:sz w:val="24"/>
          <w:szCs w:val="24"/>
          <w:highlight w:val="white"/>
        </w:rPr>
      </w:pPr>
      <w:r w:rsidRPr="00BD0BD9">
        <w:rPr>
          <w:color w:val="303030"/>
          <w:sz w:val="24"/>
          <w:szCs w:val="24"/>
          <w:highlight w:val="white"/>
        </w:rPr>
        <w:t xml:space="preserve">U.S. Census Bureau (2021). “Current Population Survey, Annual Social and Economic Supplement (CPS ASEC) 2021 Production file”. Accessed February 15, 2022. </w:t>
      </w:r>
    </w:p>
    <w:p w14:paraId="1FFCCA46" w14:textId="77777777" w:rsidR="00ED6425" w:rsidRPr="00BD0BD9" w:rsidRDefault="00AD437C">
      <w:pPr>
        <w:spacing w:line="360" w:lineRule="auto"/>
        <w:ind w:left="720" w:hanging="720"/>
        <w:rPr>
          <w:color w:val="303030"/>
          <w:sz w:val="24"/>
          <w:szCs w:val="24"/>
          <w:highlight w:val="white"/>
        </w:rPr>
      </w:pPr>
      <w:r w:rsidRPr="00BD0BD9">
        <w:rPr>
          <w:color w:val="303030"/>
          <w:sz w:val="24"/>
          <w:szCs w:val="24"/>
          <w:highlight w:val="white"/>
        </w:rPr>
        <w:t xml:space="preserve">Van de Ven, W. P., Beck, K., Buchner, F., Schokkaert, E., Schut, F. E., Shmueli, A., &amp; Wasem, J. (2013). “Preconditions for efficiency and affordability in competitive healthcare markets: are they fulfilled in Belgium, Germany, Israel, the Netherlands and Switzerland?” </w:t>
      </w:r>
      <w:r w:rsidRPr="00BD0BD9">
        <w:rPr>
          <w:i/>
          <w:color w:val="303030"/>
          <w:sz w:val="24"/>
          <w:szCs w:val="24"/>
          <w:highlight w:val="white"/>
        </w:rPr>
        <w:t>Health policy, 109</w:t>
      </w:r>
      <w:r w:rsidRPr="00BD0BD9">
        <w:rPr>
          <w:color w:val="303030"/>
          <w:sz w:val="24"/>
          <w:szCs w:val="24"/>
          <w:highlight w:val="white"/>
        </w:rPr>
        <w:t>(3), 226-245.</w:t>
      </w:r>
    </w:p>
    <w:p w14:paraId="3FE8B094" w14:textId="77777777" w:rsidR="00ED6425" w:rsidRPr="00BD0BD9" w:rsidRDefault="00AD437C">
      <w:pPr>
        <w:spacing w:line="360" w:lineRule="auto"/>
        <w:ind w:left="720" w:hanging="720"/>
        <w:rPr>
          <w:color w:val="303030"/>
          <w:sz w:val="24"/>
          <w:szCs w:val="24"/>
          <w:highlight w:val="white"/>
        </w:rPr>
      </w:pPr>
      <w:r w:rsidRPr="00BD0BD9">
        <w:rPr>
          <w:color w:val="303030"/>
          <w:sz w:val="24"/>
          <w:szCs w:val="24"/>
          <w:highlight w:val="white"/>
        </w:rPr>
        <w:lastRenderedPageBreak/>
        <w:t xml:space="preserve">Van Parys, J. (2018). “ACA marketplace premiums grew more rapidly in areas with monopoly insurers than in areas with more competition”. </w:t>
      </w:r>
      <w:r w:rsidRPr="00BD0BD9">
        <w:rPr>
          <w:i/>
          <w:color w:val="303030"/>
          <w:sz w:val="24"/>
          <w:szCs w:val="24"/>
          <w:highlight w:val="white"/>
        </w:rPr>
        <w:t>Health Affairs, 37</w:t>
      </w:r>
      <w:r w:rsidRPr="00BD0BD9">
        <w:rPr>
          <w:color w:val="303030"/>
          <w:sz w:val="24"/>
          <w:szCs w:val="24"/>
          <w:highlight w:val="white"/>
        </w:rPr>
        <w:t>(8), 1243-1251.</w:t>
      </w:r>
    </w:p>
    <w:sectPr w:rsidR="00ED6425" w:rsidRPr="00BD0BD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D3099" w14:textId="77777777" w:rsidR="003C14EF" w:rsidRDefault="003C14EF">
      <w:pPr>
        <w:spacing w:line="240" w:lineRule="auto"/>
      </w:pPr>
      <w:r>
        <w:separator/>
      </w:r>
    </w:p>
  </w:endnote>
  <w:endnote w:type="continuationSeparator" w:id="0">
    <w:p w14:paraId="3F631F15" w14:textId="77777777" w:rsidR="003C14EF" w:rsidRDefault="003C1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E7CD2" w14:textId="58E693BA" w:rsidR="00ED6425" w:rsidRDefault="00AD437C">
    <w:pPr>
      <w:jc w:val="right"/>
    </w:pPr>
    <w:r>
      <w:fldChar w:fldCharType="begin"/>
    </w:r>
    <w:r>
      <w:instrText>PAGE</w:instrText>
    </w:r>
    <w:r>
      <w:fldChar w:fldCharType="separate"/>
    </w:r>
    <w:r w:rsidR="00876C0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27111" w14:textId="77777777" w:rsidR="003C14EF" w:rsidRDefault="003C14EF">
      <w:pPr>
        <w:spacing w:line="240" w:lineRule="auto"/>
      </w:pPr>
      <w:r>
        <w:separator/>
      </w:r>
    </w:p>
  </w:footnote>
  <w:footnote w:type="continuationSeparator" w:id="0">
    <w:p w14:paraId="329AB9F1" w14:textId="77777777" w:rsidR="003C14EF" w:rsidRDefault="003C14EF">
      <w:pPr>
        <w:spacing w:line="240" w:lineRule="auto"/>
      </w:pPr>
      <w:r>
        <w:continuationSeparator/>
      </w:r>
    </w:p>
  </w:footnote>
  <w:footnote w:id="1">
    <w:p w14:paraId="78CFBE3C" w14:textId="4558767D" w:rsidR="003C5DAF" w:rsidRDefault="003C5DAF" w:rsidP="003C5DAF">
      <w:pPr>
        <w:spacing w:line="240" w:lineRule="auto"/>
        <w:rPr>
          <w:sz w:val="20"/>
          <w:szCs w:val="20"/>
        </w:rPr>
      </w:pPr>
      <w:r>
        <w:rPr>
          <w:vertAlign w:val="superscript"/>
        </w:rPr>
        <w:footnoteRef/>
      </w:r>
      <w:r>
        <w:rPr>
          <w:sz w:val="20"/>
          <w:szCs w:val="20"/>
        </w:rPr>
        <w:t xml:space="preserve"> Given substantial state variation in the structure and availability of Medicaid MCOs, in </w:t>
      </w:r>
      <w:r w:rsidR="00FE5C01">
        <w:rPr>
          <w:sz w:val="20"/>
          <w:szCs w:val="20"/>
        </w:rPr>
        <w:t>T</w:t>
      </w:r>
      <w:r>
        <w:rPr>
          <w:sz w:val="20"/>
          <w:szCs w:val="20"/>
        </w:rPr>
        <w:t xml:space="preserve">able </w:t>
      </w:r>
      <w:r w:rsidR="00FE5C01">
        <w:rPr>
          <w:sz w:val="20"/>
          <w:szCs w:val="20"/>
        </w:rPr>
        <w:t xml:space="preserve">2 </w:t>
      </w:r>
      <w:r>
        <w:rPr>
          <w:sz w:val="20"/>
          <w:szCs w:val="20"/>
        </w:rPr>
        <w:t xml:space="preserve">we present a summary from a single representative state: Massachusetts. Massachusetts represents an ideal “middle ground” in comparing Medicaid programs; </w:t>
      </w:r>
      <w:r w:rsidR="0066607E">
        <w:rPr>
          <w:sz w:val="20"/>
          <w:szCs w:val="20"/>
        </w:rPr>
        <w:t>MassHealth</w:t>
      </w:r>
      <w:r>
        <w:rPr>
          <w:sz w:val="20"/>
          <w:szCs w:val="20"/>
        </w:rPr>
        <w:t xml:space="preserve"> has the highest Total Medicaid Spending Per Low-income Population and is associated with the highest quality level of adult care based on the CMS Medicaid Adult Core Set, but also imposes high levels of cost-sharing on its enrollees relative to other states. </w:t>
      </w:r>
    </w:p>
  </w:footnote>
  <w:footnote w:id="2">
    <w:p w14:paraId="0C6A0A85" w14:textId="73B0C351" w:rsidR="00846F34" w:rsidRPr="00846F34" w:rsidRDefault="00846F34">
      <w:pPr>
        <w:pStyle w:val="FootnoteText"/>
        <w:rPr>
          <w:lang w:val="en-US"/>
        </w:rPr>
      </w:pPr>
      <w:r>
        <w:rPr>
          <w:rStyle w:val="FootnoteReference"/>
        </w:rPr>
        <w:footnoteRef/>
      </w:r>
      <w:r>
        <w:t xml:space="preserve"> </w:t>
      </w:r>
      <w:bookmarkStart w:id="6" w:name="_Hlk118102257"/>
      <w:r>
        <w:rPr>
          <w:lang w:val="en-US"/>
        </w:rPr>
        <w:t xml:space="preserve">In addition, each state uses different information for provider payment, including diagnoses, procedures, and information such as resource-based relative value utilizations (RBRVS). </w:t>
      </w:r>
      <w:bookmarkEnd w:id="6"/>
      <w:r w:rsidRPr="00846F34">
        <w:rPr>
          <w:lang w:val="en-US"/>
        </w:rPr>
        <w:t>The RBRVS, which is built on the idea that physician payments should cover resource costs for providing services, assigns relative weighted value to procedures (rather than incorporating diagnostic information, as is typical in a risk-adjustment framework). Medicare reimbursement fees are then capped based on the billed procedure (typically CPT-4 or HCPCS codes), with fees being updated annually based on physician committees.</w:t>
      </w:r>
    </w:p>
  </w:footnote>
  <w:footnote w:id="3">
    <w:p w14:paraId="1A7A41F3" w14:textId="7B79E40C" w:rsidR="00ED6425" w:rsidRDefault="00AD437C">
      <w:pPr>
        <w:spacing w:line="240" w:lineRule="auto"/>
        <w:rPr>
          <w:sz w:val="20"/>
          <w:szCs w:val="20"/>
        </w:rPr>
      </w:pPr>
      <w:r>
        <w:rPr>
          <w:vertAlign w:val="superscript"/>
        </w:rPr>
        <w:footnoteRef/>
      </w:r>
      <w:r>
        <w:rPr>
          <w:sz w:val="20"/>
          <w:szCs w:val="20"/>
        </w:rPr>
        <w:t xml:space="preserve"> Eighteen states, including Massachusetts and California, have chosen to manage their own Marketplace</w:t>
      </w:r>
      <w:r w:rsidR="005F7F9A">
        <w:rPr>
          <w:sz w:val="20"/>
          <w:szCs w:val="20"/>
        </w:rPr>
        <w:t xml:space="preserve"> and its risk equalization formula</w:t>
      </w:r>
      <w:r>
        <w:rPr>
          <w:sz w:val="20"/>
          <w:szCs w:val="20"/>
        </w:rPr>
        <w:t>,</w:t>
      </w:r>
      <w:r w:rsidR="005F7F9A">
        <w:rPr>
          <w:sz w:val="20"/>
          <w:szCs w:val="20"/>
        </w:rPr>
        <w:t xml:space="preserve"> while </w:t>
      </w:r>
      <w:r w:rsidR="00814259">
        <w:rPr>
          <w:sz w:val="20"/>
          <w:szCs w:val="20"/>
        </w:rPr>
        <w:t>32 states plus DC</w:t>
      </w:r>
      <w:r>
        <w:rPr>
          <w:sz w:val="20"/>
          <w:szCs w:val="20"/>
        </w:rPr>
        <w:t xml:space="preserve"> </w:t>
      </w:r>
      <w:r w:rsidR="00814259">
        <w:rPr>
          <w:sz w:val="20"/>
          <w:szCs w:val="20"/>
        </w:rPr>
        <w:t xml:space="preserve">rely </w:t>
      </w:r>
      <w:r>
        <w:rPr>
          <w:sz w:val="20"/>
          <w:szCs w:val="20"/>
        </w:rPr>
        <w:t xml:space="preserve">upon the federal government to organize enrollment and manage plan entry and exit (KFF 2022). </w:t>
      </w:r>
    </w:p>
  </w:footnote>
  <w:footnote w:id="4">
    <w:p w14:paraId="581D713E" w14:textId="1F915097" w:rsidR="00BD0BD9" w:rsidRPr="001873FB" w:rsidRDefault="00BD0BD9">
      <w:pPr>
        <w:pStyle w:val="FootnoteText"/>
        <w:rPr>
          <w:lang w:val="en-US"/>
        </w:rPr>
      </w:pPr>
      <w:r>
        <w:rPr>
          <w:rStyle w:val="FootnoteReference"/>
        </w:rPr>
        <w:footnoteRef/>
      </w:r>
      <w:r>
        <w:t xml:space="preserve"> </w:t>
      </w:r>
      <w:r>
        <w:rPr>
          <w:lang w:val="en-US"/>
        </w:rPr>
        <w:t>In general, state- and even health plan-level variation in physician fees and coverage decisions cause severe distortions and inequities in which patients maintain affordable access to high-value health services. For example, even the ACA’s cost-sharing exemption for preventive services has resulted in inequitable reductions in cost-sharing across those enrolled in different forms of health coverage (Hoagland and Shafer, 2021).</w:t>
      </w:r>
    </w:p>
  </w:footnote>
  <w:footnote w:id="5">
    <w:p w14:paraId="7B33BE1F" w14:textId="5B207CFC" w:rsidR="00871342" w:rsidRDefault="00871342" w:rsidP="00871342">
      <w:pPr>
        <w:spacing w:line="240" w:lineRule="auto"/>
        <w:rPr>
          <w:sz w:val="20"/>
          <w:szCs w:val="20"/>
        </w:rPr>
      </w:pPr>
      <w:r>
        <w:rPr>
          <w:vertAlign w:val="superscript"/>
        </w:rPr>
        <w:footnoteRef/>
      </w:r>
      <w:r>
        <w:rPr>
          <w:sz w:val="20"/>
          <w:szCs w:val="20"/>
        </w:rPr>
        <w:t xml:space="preserve"> </w:t>
      </w:r>
      <w:r w:rsidRPr="00871342">
        <w:rPr>
          <w:sz w:val="20"/>
          <w:szCs w:val="20"/>
        </w:rPr>
        <w:t>The natural single payer would be traditional Medicare in the US, which is currently the largest insurer.</w:t>
      </w:r>
      <w:r>
        <w:rPr>
          <w:sz w:val="20"/>
          <w:szCs w:val="20"/>
        </w:rPr>
        <w:t xml:space="preserve"> However, even traditional Medicare in the U.S. is administered by distinct insurers for separate geographic regions, in which each carrier is a local monopoly for this population subgroup (see Table </w:t>
      </w:r>
      <w:r w:rsidR="00726948">
        <w:rPr>
          <w:sz w:val="20"/>
          <w:szCs w:val="20"/>
        </w:rPr>
        <w:t>2</w:t>
      </w:r>
      <w:r>
        <w:rPr>
          <w:sz w:val="20"/>
          <w:szCs w:val="20"/>
        </w:rPr>
        <w:t xml:space="preserve">). </w:t>
      </w:r>
    </w:p>
    <w:p w14:paraId="0B119DAE" w14:textId="77777777" w:rsidR="00871342" w:rsidRDefault="00871342" w:rsidP="00871342">
      <w:pPr>
        <w:spacing w:line="240" w:lineRule="auto"/>
        <w:rPr>
          <w:sz w:val="20"/>
          <w:szCs w:val="20"/>
        </w:rPr>
      </w:pPr>
    </w:p>
  </w:footnote>
  <w:footnote w:id="6">
    <w:p w14:paraId="15E2EA33" w14:textId="63489DEF" w:rsidR="00ED6425" w:rsidRDefault="00AD437C">
      <w:pPr>
        <w:spacing w:line="240" w:lineRule="auto"/>
        <w:rPr>
          <w:sz w:val="20"/>
          <w:szCs w:val="20"/>
        </w:rPr>
      </w:pPr>
      <w:r>
        <w:rPr>
          <w:vertAlign w:val="superscript"/>
        </w:rPr>
        <w:footnoteRef/>
      </w:r>
      <w:r>
        <w:rPr>
          <w:sz w:val="20"/>
          <w:szCs w:val="20"/>
        </w:rPr>
        <w:t xml:space="preserve"> On the other hand, variants on this proposal—including a public option—engender much more substantial bipartisan support. </w:t>
      </w:r>
      <w:r w:rsidR="00871342" w:rsidRPr="00871342">
        <w:rPr>
          <w:sz w:val="20"/>
          <w:szCs w:val="20"/>
        </w:rPr>
        <w:t>Handel and Kolstad (2022) provide a useful careful analysis of the options, while Bloomqvist (2021) provides insights about Medicare for all from the perspective of Canadian experience.</w:t>
      </w:r>
    </w:p>
  </w:footnote>
  <w:footnote w:id="7">
    <w:p w14:paraId="56B57142" w14:textId="77777777" w:rsidR="00C45895" w:rsidRPr="0062341B" w:rsidRDefault="00C45895" w:rsidP="00C45895">
      <w:pPr>
        <w:pStyle w:val="FootnoteText"/>
        <w:rPr>
          <w:lang w:val="en-US"/>
        </w:rPr>
      </w:pPr>
      <w:r>
        <w:rPr>
          <w:rStyle w:val="FootnoteReference"/>
        </w:rPr>
        <w:footnoteRef/>
      </w:r>
      <w:r>
        <w:t xml:space="preserve"> </w:t>
      </w:r>
      <w:r w:rsidRPr="00C45895">
        <w:t>To interpret the results, we define “positive sentiments” as the fraction of preconditions with mean responses of 3 or higher, and “negative sentiments” as those with an average less than 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425"/>
    <w:rsid w:val="0000304F"/>
    <w:rsid w:val="0001604B"/>
    <w:rsid w:val="00032B99"/>
    <w:rsid w:val="0004212C"/>
    <w:rsid w:val="0006219E"/>
    <w:rsid w:val="00065597"/>
    <w:rsid w:val="00082EA8"/>
    <w:rsid w:val="0008563A"/>
    <w:rsid w:val="000A0A4A"/>
    <w:rsid w:val="000A4FDE"/>
    <w:rsid w:val="000B07E9"/>
    <w:rsid w:val="000B5465"/>
    <w:rsid w:val="00113938"/>
    <w:rsid w:val="0014069E"/>
    <w:rsid w:val="0016724E"/>
    <w:rsid w:val="00167970"/>
    <w:rsid w:val="00184DD5"/>
    <w:rsid w:val="001873FB"/>
    <w:rsid w:val="00194B85"/>
    <w:rsid w:val="001A1DB4"/>
    <w:rsid w:val="001C4633"/>
    <w:rsid w:val="001E1AA8"/>
    <w:rsid w:val="001F1949"/>
    <w:rsid w:val="001F36AE"/>
    <w:rsid w:val="00240E31"/>
    <w:rsid w:val="002562B8"/>
    <w:rsid w:val="002812BE"/>
    <w:rsid w:val="00295C15"/>
    <w:rsid w:val="002B27AD"/>
    <w:rsid w:val="0030075C"/>
    <w:rsid w:val="00301755"/>
    <w:rsid w:val="003405FD"/>
    <w:rsid w:val="00363BBA"/>
    <w:rsid w:val="00366841"/>
    <w:rsid w:val="00373492"/>
    <w:rsid w:val="00382F14"/>
    <w:rsid w:val="00395FE2"/>
    <w:rsid w:val="003A64A6"/>
    <w:rsid w:val="003A7CDF"/>
    <w:rsid w:val="003C14EF"/>
    <w:rsid w:val="003C5DAF"/>
    <w:rsid w:val="003F3831"/>
    <w:rsid w:val="00452C72"/>
    <w:rsid w:val="004578B5"/>
    <w:rsid w:val="00460A9B"/>
    <w:rsid w:val="00460DE9"/>
    <w:rsid w:val="00461669"/>
    <w:rsid w:val="00483E01"/>
    <w:rsid w:val="0049113E"/>
    <w:rsid w:val="004A29F4"/>
    <w:rsid w:val="004B1176"/>
    <w:rsid w:val="004B54EF"/>
    <w:rsid w:val="004C34E7"/>
    <w:rsid w:val="004E1E1E"/>
    <w:rsid w:val="005228A9"/>
    <w:rsid w:val="005614B2"/>
    <w:rsid w:val="00585256"/>
    <w:rsid w:val="0058610D"/>
    <w:rsid w:val="005A2339"/>
    <w:rsid w:val="005A3C78"/>
    <w:rsid w:val="005A57F6"/>
    <w:rsid w:val="005C23C3"/>
    <w:rsid w:val="005D73B8"/>
    <w:rsid w:val="005F7F9A"/>
    <w:rsid w:val="00600148"/>
    <w:rsid w:val="00613C0A"/>
    <w:rsid w:val="0064452B"/>
    <w:rsid w:val="00650CE9"/>
    <w:rsid w:val="00653B1F"/>
    <w:rsid w:val="0065708E"/>
    <w:rsid w:val="00660EFA"/>
    <w:rsid w:val="00663FDB"/>
    <w:rsid w:val="0066607E"/>
    <w:rsid w:val="0067178C"/>
    <w:rsid w:val="00682C15"/>
    <w:rsid w:val="0069183C"/>
    <w:rsid w:val="006C0F62"/>
    <w:rsid w:val="006D0F24"/>
    <w:rsid w:val="00726948"/>
    <w:rsid w:val="00726CF1"/>
    <w:rsid w:val="007702A9"/>
    <w:rsid w:val="007A33D5"/>
    <w:rsid w:val="007B0D3D"/>
    <w:rsid w:val="007C1F82"/>
    <w:rsid w:val="007D7103"/>
    <w:rsid w:val="00800471"/>
    <w:rsid w:val="00800797"/>
    <w:rsid w:val="00810087"/>
    <w:rsid w:val="00812A91"/>
    <w:rsid w:val="00814259"/>
    <w:rsid w:val="00826233"/>
    <w:rsid w:val="00846F34"/>
    <w:rsid w:val="008629F4"/>
    <w:rsid w:val="00871342"/>
    <w:rsid w:val="00876C0B"/>
    <w:rsid w:val="008955A9"/>
    <w:rsid w:val="008D2089"/>
    <w:rsid w:val="008D6416"/>
    <w:rsid w:val="008E1D1A"/>
    <w:rsid w:val="009026A2"/>
    <w:rsid w:val="00917674"/>
    <w:rsid w:val="009269B1"/>
    <w:rsid w:val="00927E6C"/>
    <w:rsid w:val="00936FA3"/>
    <w:rsid w:val="009423FB"/>
    <w:rsid w:val="00946275"/>
    <w:rsid w:val="00955CC0"/>
    <w:rsid w:val="009840A9"/>
    <w:rsid w:val="009A16C6"/>
    <w:rsid w:val="009E43F2"/>
    <w:rsid w:val="009F2C37"/>
    <w:rsid w:val="00A242E9"/>
    <w:rsid w:val="00A272CB"/>
    <w:rsid w:val="00A3317F"/>
    <w:rsid w:val="00A51AF2"/>
    <w:rsid w:val="00A70537"/>
    <w:rsid w:val="00A7136B"/>
    <w:rsid w:val="00A72426"/>
    <w:rsid w:val="00AB2E60"/>
    <w:rsid w:val="00AC5B03"/>
    <w:rsid w:val="00AD437C"/>
    <w:rsid w:val="00AD4512"/>
    <w:rsid w:val="00AE5C49"/>
    <w:rsid w:val="00AE7D57"/>
    <w:rsid w:val="00B337F4"/>
    <w:rsid w:val="00B5000D"/>
    <w:rsid w:val="00B704E0"/>
    <w:rsid w:val="00B75646"/>
    <w:rsid w:val="00B913D8"/>
    <w:rsid w:val="00B962EB"/>
    <w:rsid w:val="00BC2000"/>
    <w:rsid w:val="00BD0BD9"/>
    <w:rsid w:val="00BE0240"/>
    <w:rsid w:val="00C05605"/>
    <w:rsid w:val="00C115DC"/>
    <w:rsid w:val="00C21EFD"/>
    <w:rsid w:val="00C36605"/>
    <w:rsid w:val="00C45895"/>
    <w:rsid w:val="00CE50AB"/>
    <w:rsid w:val="00CF2322"/>
    <w:rsid w:val="00CF78E2"/>
    <w:rsid w:val="00D002F5"/>
    <w:rsid w:val="00D20A02"/>
    <w:rsid w:val="00D37E16"/>
    <w:rsid w:val="00D60B45"/>
    <w:rsid w:val="00D61B5A"/>
    <w:rsid w:val="00D716E2"/>
    <w:rsid w:val="00D74A81"/>
    <w:rsid w:val="00D75CDA"/>
    <w:rsid w:val="00DC01D8"/>
    <w:rsid w:val="00DC4728"/>
    <w:rsid w:val="00DE12F5"/>
    <w:rsid w:val="00E129ED"/>
    <w:rsid w:val="00E41ABA"/>
    <w:rsid w:val="00E44A4B"/>
    <w:rsid w:val="00E5030D"/>
    <w:rsid w:val="00E51A64"/>
    <w:rsid w:val="00ED23C3"/>
    <w:rsid w:val="00ED4761"/>
    <w:rsid w:val="00ED6425"/>
    <w:rsid w:val="00ED742F"/>
    <w:rsid w:val="00EE53E2"/>
    <w:rsid w:val="00F14999"/>
    <w:rsid w:val="00F30F35"/>
    <w:rsid w:val="00F3364B"/>
    <w:rsid w:val="00F3791A"/>
    <w:rsid w:val="00F61300"/>
    <w:rsid w:val="00F66505"/>
    <w:rsid w:val="00F73E5C"/>
    <w:rsid w:val="00FA4FFF"/>
    <w:rsid w:val="00FB7CF0"/>
    <w:rsid w:val="00FD384B"/>
    <w:rsid w:val="00FE5C01"/>
    <w:rsid w:val="00FE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4987"/>
  <w15:docId w15:val="{D21E1D8A-DC06-4377-BF7E-B3063613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BE0240"/>
    <w:pPr>
      <w:spacing w:line="240" w:lineRule="auto"/>
    </w:pPr>
  </w:style>
  <w:style w:type="character" w:styleId="Hyperlink">
    <w:name w:val="Hyperlink"/>
    <w:basedOn w:val="DefaultParagraphFont"/>
    <w:uiPriority w:val="99"/>
    <w:unhideWhenUsed/>
    <w:rsid w:val="00917674"/>
    <w:rPr>
      <w:color w:val="0000FF" w:themeColor="hyperlink"/>
      <w:u w:val="single"/>
    </w:rPr>
  </w:style>
  <w:style w:type="character" w:customStyle="1" w:styleId="UnresolvedMention1">
    <w:name w:val="Unresolved Mention1"/>
    <w:basedOn w:val="DefaultParagraphFont"/>
    <w:uiPriority w:val="99"/>
    <w:semiHidden/>
    <w:unhideWhenUsed/>
    <w:rsid w:val="00917674"/>
    <w:rPr>
      <w:color w:val="605E5C"/>
      <w:shd w:val="clear" w:color="auto" w:fill="E1DFDD"/>
    </w:rPr>
  </w:style>
  <w:style w:type="character" w:styleId="CommentReference">
    <w:name w:val="annotation reference"/>
    <w:basedOn w:val="DefaultParagraphFont"/>
    <w:uiPriority w:val="99"/>
    <w:semiHidden/>
    <w:unhideWhenUsed/>
    <w:rsid w:val="003C5DAF"/>
    <w:rPr>
      <w:sz w:val="16"/>
      <w:szCs w:val="16"/>
    </w:rPr>
  </w:style>
  <w:style w:type="paragraph" w:styleId="CommentText">
    <w:name w:val="annotation text"/>
    <w:basedOn w:val="Normal"/>
    <w:link w:val="CommentTextChar"/>
    <w:uiPriority w:val="99"/>
    <w:semiHidden/>
    <w:unhideWhenUsed/>
    <w:rsid w:val="003C5DAF"/>
    <w:pPr>
      <w:spacing w:line="240" w:lineRule="auto"/>
    </w:pPr>
    <w:rPr>
      <w:sz w:val="20"/>
      <w:szCs w:val="20"/>
    </w:rPr>
  </w:style>
  <w:style w:type="character" w:customStyle="1" w:styleId="CommentTextChar">
    <w:name w:val="Comment Text Char"/>
    <w:basedOn w:val="DefaultParagraphFont"/>
    <w:link w:val="CommentText"/>
    <w:uiPriority w:val="99"/>
    <w:semiHidden/>
    <w:rsid w:val="003C5DAF"/>
    <w:rPr>
      <w:sz w:val="20"/>
      <w:szCs w:val="20"/>
    </w:rPr>
  </w:style>
  <w:style w:type="paragraph" w:styleId="CommentSubject">
    <w:name w:val="annotation subject"/>
    <w:basedOn w:val="CommentText"/>
    <w:next w:val="CommentText"/>
    <w:link w:val="CommentSubjectChar"/>
    <w:uiPriority w:val="99"/>
    <w:semiHidden/>
    <w:unhideWhenUsed/>
    <w:rsid w:val="003C5DAF"/>
    <w:rPr>
      <w:b/>
      <w:bCs/>
    </w:rPr>
  </w:style>
  <w:style w:type="character" w:customStyle="1" w:styleId="CommentSubjectChar">
    <w:name w:val="Comment Subject Char"/>
    <w:basedOn w:val="CommentTextChar"/>
    <w:link w:val="CommentSubject"/>
    <w:uiPriority w:val="99"/>
    <w:semiHidden/>
    <w:rsid w:val="003C5DAF"/>
    <w:rPr>
      <w:b/>
      <w:bCs/>
      <w:sz w:val="20"/>
      <w:szCs w:val="20"/>
    </w:rPr>
  </w:style>
  <w:style w:type="paragraph" w:styleId="BalloonText">
    <w:name w:val="Balloon Text"/>
    <w:basedOn w:val="Normal"/>
    <w:link w:val="BalloonTextChar"/>
    <w:uiPriority w:val="99"/>
    <w:semiHidden/>
    <w:unhideWhenUsed/>
    <w:rsid w:val="002812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2BE"/>
    <w:rPr>
      <w:rFonts w:ascii="Segoe UI" w:hAnsi="Segoe UI" w:cs="Segoe UI"/>
      <w:sz w:val="18"/>
      <w:szCs w:val="18"/>
    </w:rPr>
  </w:style>
  <w:style w:type="paragraph" w:styleId="NormalWeb">
    <w:name w:val="Normal (Web)"/>
    <w:basedOn w:val="Normal"/>
    <w:uiPriority w:val="99"/>
    <w:semiHidden/>
    <w:unhideWhenUsed/>
    <w:rsid w:val="00FA4FF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F30F35"/>
    <w:pPr>
      <w:spacing w:line="240" w:lineRule="auto"/>
    </w:pPr>
    <w:rPr>
      <w:sz w:val="20"/>
      <w:szCs w:val="20"/>
    </w:rPr>
  </w:style>
  <w:style w:type="character" w:customStyle="1" w:styleId="FootnoteTextChar">
    <w:name w:val="Footnote Text Char"/>
    <w:basedOn w:val="DefaultParagraphFont"/>
    <w:link w:val="FootnoteText"/>
    <w:uiPriority w:val="99"/>
    <w:semiHidden/>
    <w:rsid w:val="00F30F35"/>
    <w:rPr>
      <w:sz w:val="20"/>
      <w:szCs w:val="20"/>
    </w:rPr>
  </w:style>
  <w:style w:type="character" w:styleId="FootnoteReference">
    <w:name w:val="footnote reference"/>
    <w:basedOn w:val="DefaultParagraphFont"/>
    <w:uiPriority w:val="99"/>
    <w:semiHidden/>
    <w:unhideWhenUsed/>
    <w:rsid w:val="00F30F35"/>
    <w:rPr>
      <w:vertAlign w:val="superscript"/>
    </w:rPr>
  </w:style>
  <w:style w:type="character" w:styleId="UnresolvedMention">
    <w:name w:val="Unresolved Mention"/>
    <w:basedOn w:val="DefaultParagraphFont"/>
    <w:uiPriority w:val="99"/>
    <w:semiHidden/>
    <w:unhideWhenUsed/>
    <w:rsid w:val="00395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36276">
      <w:bodyDiv w:val="1"/>
      <w:marLeft w:val="0"/>
      <w:marRight w:val="0"/>
      <w:marTop w:val="0"/>
      <w:marBottom w:val="0"/>
      <w:divBdr>
        <w:top w:val="none" w:sz="0" w:space="0" w:color="auto"/>
        <w:left w:val="none" w:sz="0" w:space="0" w:color="auto"/>
        <w:bottom w:val="none" w:sz="0" w:space="0" w:color="auto"/>
        <w:right w:val="none" w:sz="0" w:space="0" w:color="auto"/>
      </w:divBdr>
      <w:divsChild>
        <w:div w:id="1353797842">
          <w:marLeft w:val="-975"/>
          <w:marRight w:val="0"/>
          <w:marTop w:val="0"/>
          <w:marBottom w:val="0"/>
          <w:divBdr>
            <w:top w:val="none" w:sz="0" w:space="0" w:color="auto"/>
            <w:left w:val="none" w:sz="0" w:space="0" w:color="auto"/>
            <w:bottom w:val="none" w:sz="0" w:space="0" w:color="auto"/>
            <w:right w:val="none" w:sz="0" w:space="0" w:color="auto"/>
          </w:divBdr>
        </w:div>
      </w:divsChild>
    </w:div>
    <w:div w:id="1054350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600/mmrr2014-004-03-a03" TargetMode="External"/><Relationship Id="rId18" Type="http://schemas.openxmlformats.org/officeDocument/2006/relationships/hyperlink" Target="https://www.kff.org/health-reform/state-indicator/marketplace-plan-selection-by-age/?currentTimeframe=0&amp;sortModel=%7B%22colId%22:%22Location%22,%22sort%22:%22asc%22%7D" TargetMode="External"/><Relationship Id="rId3" Type="http://schemas.openxmlformats.org/officeDocument/2006/relationships/settings" Target="settings.xml"/><Relationship Id="rId21" Type="http://schemas.openxmlformats.org/officeDocument/2006/relationships/hyperlink" Target="http://www.ncbi.nlm.nih.gov/books/NBK220358/" TargetMode="External"/><Relationship Id="rId7" Type="http://schemas.openxmlformats.org/officeDocument/2006/relationships/footer" Target="footer1.xml"/><Relationship Id="rId12" Type="http://schemas.openxmlformats.org/officeDocument/2006/relationships/hyperlink" Target="https://doi.org/10.1146/annurev-economics-051420-114714" TargetMode="External"/><Relationship Id="rId17" Type="http://schemas.openxmlformats.org/officeDocument/2006/relationships/hyperlink" Target="https://www.kff.org/slideshow/public-opinion-on-single-payer-national-health-plans-and-expanding-access-to-medicare-coverag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ff.org/private-insurance/issue-brief/data-note-changes-in-enrollment-in-the-individual-health-insurance-market-through-early-2019/" TargetMode="External"/><Relationship Id="rId20" Type="http://schemas.openxmlformats.org/officeDocument/2006/relationships/hyperlink" Target="https://www.kff.org/other/state-indicator/number-of-issuers-participating-in-the-individual-health-insurance-marketplace/?currentTimeframe=0&amp;sortModel=%7B%22colId%22:%22Location%22,%22sort%22:%22asc%22%7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ms.gov/research-statistics-data-systems/marketplace-products/2021-marketplace-open-enrollment-period-public-use-fil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kff.org/other/state-indicator/total-medicaid-mco-enrollment/?currentTimeframe=0&amp;sortModel=%7B%22colId%22:%22Location%22,%22sort%22:%22asc%22%7D" TargetMode="External"/><Relationship Id="rId23" Type="http://schemas.openxmlformats.org/officeDocument/2006/relationships/hyperlink" Target="https://www.rwjf.org/en/library/interactives/aca-marketplace-participation-tracker.html" TargetMode="External"/><Relationship Id="rId10" Type="http://schemas.openxmlformats.org/officeDocument/2006/relationships/hyperlink" Target="https://doi.org/10.1007/s11606-022-07407-6" TargetMode="External"/><Relationship Id="rId19" Type="http://schemas.openxmlformats.org/officeDocument/2006/relationships/hyperlink" Target="https://www.kff.org/medicare/state-indicator/total-medicare-beneficiaries/?currentTimeframe=0&amp;sortModel=%7B%22colId%22:%22Location%22,%22sort%22:%22asc%22%7D" TargetMode="External"/><Relationship Id="rId4" Type="http://schemas.openxmlformats.org/officeDocument/2006/relationships/webSettings" Target="webSettings.xml"/><Relationship Id="rId9" Type="http://schemas.openxmlformats.org/officeDocument/2006/relationships/hyperlink" Target="https://doi.org/10.1001/jamainternmed.2017.3317" TargetMode="External"/><Relationship Id="rId14" Type="http://schemas.openxmlformats.org/officeDocument/2006/relationships/hyperlink" Target="https://kff.org" TargetMode="External"/><Relationship Id="rId22" Type="http://schemas.openxmlformats.org/officeDocument/2006/relationships/hyperlink" Target="https://www.macpac.gov/wp-content/uploads/2017/12/Medicaid-Payment-Policy-for-Federally-Qualified-Health-Cent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C6A1E-A0AD-415D-80C0-3191067C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8117</Words>
  <Characters>46269</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Randall P</dc:creator>
  <cp:lastModifiedBy>Ellis, Randall P</cp:lastModifiedBy>
  <cp:revision>2</cp:revision>
  <cp:lastPrinted>2022-07-22T19:42:00Z</cp:lastPrinted>
  <dcterms:created xsi:type="dcterms:W3CDTF">2022-10-31T16:20:00Z</dcterms:created>
  <dcterms:modified xsi:type="dcterms:W3CDTF">2022-10-31T16:20:00Z</dcterms:modified>
</cp:coreProperties>
</file>