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4550E5E" w14:textId="2F4FD51D" w:rsidR="009F7FCE" w:rsidRPr="00EE426C" w:rsidRDefault="00BF7C58">
      <w:pPr>
        <w:pStyle w:val="papertitle"/>
      </w:pPr>
      <w:r w:rsidRPr="00A047C3">
        <w:t>Classic Models, Modern Threats: A Study on Adversarial Attack and Defense for Traditional ML</w:t>
      </w:r>
      <w:r>
        <w:t xml:space="preserve"> models</w:t>
      </w:r>
    </w:p>
    <w:p w14:paraId="4E14D86E" w14:textId="61248957" w:rsidR="00E974C7" w:rsidRPr="00EE426C" w:rsidRDefault="00BF7C58">
      <w:pPr>
        <w:pStyle w:val="author"/>
      </w:pPr>
      <w:r>
        <w:t>Alex Khundongbam</w:t>
      </w:r>
      <w:r w:rsidR="009B2539" w:rsidRPr="00EE426C">
        <w:rPr>
          <w:vertAlign w:val="superscript"/>
        </w:rPr>
        <w:t>1</w:t>
      </w:r>
      <w:r w:rsidR="009B2539" w:rsidRPr="00EE426C">
        <w:t xml:space="preserve"> </w:t>
      </w:r>
      <w:r w:rsidR="00826B44">
        <w:t xml:space="preserve">, </w:t>
      </w:r>
      <w:r>
        <w:t>Kezya Steffyn</w:t>
      </w:r>
      <w:r w:rsidR="009B2539" w:rsidRPr="00EE426C">
        <w:rPr>
          <w:vertAlign w:val="superscript"/>
        </w:rPr>
        <w:t>2</w:t>
      </w:r>
      <w:r w:rsidR="00826B44" w:rsidRPr="00826B44">
        <w:t xml:space="preserve"> </w:t>
      </w:r>
      <w:r w:rsidR="00826B44">
        <w:t>and K. Kalaiselvi</w:t>
      </w:r>
      <w:r w:rsidR="00826B44">
        <w:rPr>
          <w:vertAlign w:val="superscript"/>
        </w:rPr>
        <w:t>3</w:t>
      </w:r>
    </w:p>
    <w:p w14:paraId="1ED499F1" w14:textId="4BCE0F1F" w:rsidR="00826B44" w:rsidRDefault="009B2539">
      <w:pPr>
        <w:pStyle w:val="address"/>
      </w:pPr>
      <w:r w:rsidRPr="00EE426C">
        <w:rPr>
          <w:vertAlign w:val="superscript"/>
        </w:rPr>
        <w:t>1</w:t>
      </w:r>
      <w:r w:rsidRPr="00EE426C">
        <w:t xml:space="preserve"> </w:t>
      </w:r>
      <w:r w:rsidR="00826B44">
        <w:t>Student</w:t>
      </w:r>
      <w:r w:rsidR="00826B44" w:rsidRPr="00826B44">
        <w:t xml:space="preserve">, Department of Computer Science, </w:t>
      </w:r>
    </w:p>
    <w:p w14:paraId="10BFDB37" w14:textId="5B45C648" w:rsidR="00E974C7" w:rsidRDefault="00BF7C58">
      <w:pPr>
        <w:pStyle w:val="address"/>
      </w:pPr>
      <w:r>
        <w:t>Christ</w:t>
      </w:r>
      <w:r w:rsidR="009B2539" w:rsidRPr="00EE426C">
        <w:t xml:space="preserve"> University, </w:t>
      </w:r>
      <w:r>
        <w:t>Karnataka, Bangalore</w:t>
      </w:r>
      <w:r w:rsidR="009B2539" w:rsidRPr="00EE426C">
        <w:t xml:space="preserve">, </w:t>
      </w:r>
      <w:r>
        <w:t>India</w:t>
      </w:r>
    </w:p>
    <w:p w14:paraId="48565B8D" w14:textId="71C2EF35" w:rsidR="00140B7E" w:rsidRDefault="00BF7C58" w:rsidP="00BF7C58">
      <w:pPr>
        <w:pStyle w:val="address"/>
      </w:pPr>
      <w:r>
        <w:rPr>
          <w:vertAlign w:val="superscript"/>
        </w:rPr>
        <w:t>2</w:t>
      </w:r>
      <w:r w:rsidRPr="00EE426C">
        <w:t xml:space="preserve"> </w:t>
      </w:r>
      <w:r w:rsidR="00140B7E">
        <w:t>Student</w:t>
      </w:r>
      <w:r w:rsidR="00140B7E" w:rsidRPr="00826B44">
        <w:t>, Department of Computer Science</w:t>
      </w:r>
      <w:r w:rsidR="00140B7E">
        <w:t>,</w:t>
      </w:r>
    </w:p>
    <w:p w14:paraId="25559B8B" w14:textId="349EBA1B" w:rsidR="00BF7C58" w:rsidRDefault="00BF7C58" w:rsidP="00BF7C58">
      <w:pPr>
        <w:pStyle w:val="address"/>
      </w:pPr>
      <w:r>
        <w:t>Christ</w:t>
      </w:r>
      <w:r w:rsidRPr="00EE426C">
        <w:t xml:space="preserve"> University, </w:t>
      </w:r>
      <w:r>
        <w:t>Karnataka, Bangalore</w:t>
      </w:r>
      <w:r w:rsidRPr="00EE426C">
        <w:t xml:space="preserve">, </w:t>
      </w:r>
      <w:r>
        <w:t>India</w:t>
      </w:r>
    </w:p>
    <w:p w14:paraId="3144A443" w14:textId="77777777" w:rsidR="00826B44" w:rsidRDefault="00826B44" w:rsidP="00BF7C58">
      <w:pPr>
        <w:pStyle w:val="address"/>
      </w:pPr>
      <w:r>
        <w:rPr>
          <w:vertAlign w:val="superscript"/>
        </w:rPr>
        <w:t>3</w:t>
      </w:r>
      <w:r w:rsidRPr="00EE426C">
        <w:t xml:space="preserve"> </w:t>
      </w:r>
      <w:r w:rsidRPr="00826B44">
        <w:t xml:space="preserve">Faculty, Department of Computer Science, </w:t>
      </w:r>
    </w:p>
    <w:p w14:paraId="329C5E8A" w14:textId="2FAA3F21" w:rsidR="00826B44" w:rsidRPr="00EE426C" w:rsidRDefault="00826B44" w:rsidP="00BF7C58">
      <w:pPr>
        <w:pStyle w:val="address"/>
      </w:pPr>
      <w:r w:rsidRPr="00826B44">
        <w:t>Kristu Jayanti College (Autonomous), Bengaluru, India</w:t>
      </w:r>
    </w:p>
    <w:p w14:paraId="2B498BFF" w14:textId="0CDE9860" w:rsidR="00E974C7" w:rsidRPr="006809AE" w:rsidRDefault="00BF7C58">
      <w:pPr>
        <w:pStyle w:val="address"/>
      </w:pPr>
      <w:r>
        <w:rPr>
          <w:vertAlign w:val="superscript"/>
        </w:rPr>
        <w:t>1</w:t>
      </w:r>
      <w:r w:rsidR="009B2539" w:rsidRPr="006809AE">
        <w:t xml:space="preserve"> </w:t>
      </w:r>
      <w:r>
        <w:rPr>
          <w:rStyle w:val="e-mail"/>
        </w:rPr>
        <w:t>alexkhundongbam260@gmail.com</w:t>
      </w:r>
    </w:p>
    <w:p w14:paraId="3F8C8643" w14:textId="1BCAF55D" w:rsidR="00E974C7" w:rsidRPr="00EE426C" w:rsidRDefault="009B2539">
      <w:pPr>
        <w:pStyle w:val="abstract"/>
        <w:spacing w:after="0"/>
        <w:ind w:firstLine="0"/>
      </w:pPr>
      <w:r w:rsidRPr="00EE426C">
        <w:rPr>
          <w:b/>
          <w:bCs/>
        </w:rPr>
        <w:t xml:space="preserve">Abstract. </w:t>
      </w:r>
      <w:r w:rsidR="00BF7C58" w:rsidRPr="00BF7C58">
        <w:t>In recent years, adversarial attacks have exposed vulnerabilities across various machine learning models, predominantly targeting deep learning architectures. However, the susceptibility of traditional machine learning algorithms to these attacks remains underexplored. This study investigates the adversarial robustness of conventional machine learning models, including Support Vector Machines (SVMs), Decision Trees, k-Nearest Neighbors (K-NN), and logistic regression, examining their response to adversarial perturbations and the effectiveness of tailored defense mechanisms. We employ several popular adversarial attack techniques and systematically evaluate each model’s resilience under various intensities. Furthermore, we explore defense strategies, such as feature preprocessing, adversarial training, and ensemble approaches, assessing their impact on model robustness and computational efficiency. The findings reveal notable patterns in how traditional models respond to attacks and suggest that, in certain cases, these algorithms may offer advantages in adversarial resilience over deep learning counterparts. This work underscores the potential for traditional machine learning in applications where computational efficiency and robustness against adversarial threats are crucial, offering insights into strengthening model defenses in a rapidly evolving security landscape.</w:t>
      </w:r>
    </w:p>
    <w:p w14:paraId="0D077CE7" w14:textId="3F2814B1" w:rsidR="00E974C7" w:rsidRPr="00EE426C" w:rsidRDefault="009B2539">
      <w:pPr>
        <w:pStyle w:val="keywords"/>
      </w:pPr>
      <w:r w:rsidRPr="00EE426C">
        <w:rPr>
          <w:b/>
          <w:bCs/>
        </w:rPr>
        <w:t>Keywords:</w:t>
      </w:r>
      <w:r w:rsidRPr="00EE426C">
        <w:t xml:space="preserve"> </w:t>
      </w:r>
      <w:r w:rsidR="00BF7C58" w:rsidRPr="00BF7C58">
        <w:t>Adversarial attacks</w:t>
      </w:r>
      <w:r w:rsidR="00BF7C58">
        <w:t>, Adversarial defense, Model Robustness, Computational efficiency</w:t>
      </w:r>
    </w:p>
    <w:p w14:paraId="734F651C" w14:textId="29872DE5" w:rsidR="00E974C7" w:rsidRDefault="00BF7C58">
      <w:pPr>
        <w:pStyle w:val="heading1"/>
      </w:pPr>
      <w:r>
        <w:t>Introduction</w:t>
      </w:r>
    </w:p>
    <w:p w14:paraId="295B555A" w14:textId="77777777" w:rsidR="009C25A6" w:rsidRDefault="009C25A6" w:rsidP="009C25A6">
      <w:pPr>
        <w:pStyle w:val="p1a"/>
      </w:pPr>
      <w:r>
        <w:t xml:space="preserve">Adversarial attacks have emerged as a critical threat in the field of machine learning, where small, often imperceptible perturbations to input data can drastically alter a model’s predictions. These attacks are of particular concern in sensitive applications such as cybersecurity, finance, and healthcare, where model reliability is paramount. While deep learning models, especially convolutional neural networks (CNNs) and </w:t>
      </w:r>
      <w:r>
        <w:lastRenderedPageBreak/>
        <w:t>transformers, have shown vulnerability to adversarial manipulations, the security of traditional machine learning (ML) algorithms, such as Support Vector Machines (SVMs), Decision Trees, k-Nearest Neighbors (K-NN), and logistic regression, has been comparatively underexplored.</w:t>
      </w:r>
    </w:p>
    <w:p w14:paraId="2FE631FE" w14:textId="77777777" w:rsidR="009C25A6" w:rsidRDefault="009C25A6" w:rsidP="009C25A6">
      <w:pPr>
        <w:pStyle w:val="p1a"/>
      </w:pPr>
    </w:p>
    <w:p w14:paraId="2472B088" w14:textId="4213449B" w:rsidR="009C25A6" w:rsidRDefault="009C25A6" w:rsidP="009C25A6">
      <w:pPr>
        <w:pStyle w:val="p1a"/>
      </w:pPr>
      <w:r>
        <w:t xml:space="preserve">Traditional ML algorithms, typically designed with fewer layers and simpler structures, may present unique responses to adversarial attacks. This study seeks to address the gap in adversarial research by systematically examining the robustness of conventional ML models under attack. </w:t>
      </w:r>
      <w:r w:rsidR="00CC1912" w:rsidRPr="00CC1912">
        <w:t>We then test a few classical adversarial attack strategies-some of which will result in a variety of valid attacks. Considerations include the Fast Gradient Sign Method (FGSM), Projected Gradient Descent (PGD), and, for something different, Gaussian noise injection. All these adversarial perturbation methods allow us to compare whether the classical algorithms can detect and withstand attacks any better than their deep learning counterparts.</w:t>
      </w:r>
    </w:p>
    <w:p w14:paraId="287A2B7A" w14:textId="77777777" w:rsidR="00CC1912" w:rsidRPr="00CC1912" w:rsidRDefault="00CC1912" w:rsidP="00CC1912"/>
    <w:p w14:paraId="281ECFE8" w14:textId="5EEB2A45" w:rsidR="009C25A6" w:rsidRDefault="009C25A6" w:rsidP="009C25A6">
      <w:pPr>
        <w:pStyle w:val="p1a"/>
      </w:pPr>
      <w:r>
        <w:t>In addition, this paper explores various defense mechanisms, including feature preprocessing, adversarial training, and ensemble methods, aiming to reinforce model robustness without sacrificing computational efficiency. Through this study, we aim to provide a comprehensive understanding of adversarial resilience in traditional ML, shedding light on their potential for security-critical applications where computational resources are limited. Ultimately, this research contributes insights into the defensive strategies that can be employed to secure classical ML models against emerging adversarial threats.</w:t>
      </w:r>
    </w:p>
    <w:p w14:paraId="60D4A3C2" w14:textId="19CBA326" w:rsidR="009C25A6" w:rsidRDefault="009C25A6" w:rsidP="009C25A6">
      <w:pPr>
        <w:pStyle w:val="heading1"/>
      </w:pPr>
      <w:r>
        <w:t>Related Work</w:t>
      </w:r>
    </w:p>
    <w:p w14:paraId="0A2431FF" w14:textId="344A7BFF" w:rsidR="00804AA0" w:rsidRDefault="00804AA0" w:rsidP="00804AA0">
      <w:pPr>
        <w:pStyle w:val="p1a"/>
      </w:pPr>
      <w:r>
        <w:t>In recent years, extensive research has focused on adversarial attacks that subtly modify input data to mislead machine learning models. Most of this emphasizes deep learning models, particularly Convolutional Neural Networks (CNNs) and Vision Transformers (ViTs), due to their prevalent use and susceptibility to adversarial manipulation. Studies such as those by Zhang &amp; Liu (2023) and Wang et al. (2023) have underscored the vulnerabilities of these neural networks, prompting significant efforts to understand and mitigate these weaknesses. Common attack strategies include Fast Gradient Sign Method (FGSM), Projected Gradient Descent (PGD), and Gaussian noise, which are employed to assess model robustness across various applications. Recent advancements have also explored new vulnerabilities and defenses against these attacks15.</w:t>
      </w:r>
    </w:p>
    <w:p w14:paraId="299EAD13" w14:textId="0247784D" w:rsidR="00804AA0" w:rsidRDefault="00804AA0" w:rsidP="00804AA0">
      <w:pPr>
        <w:pStyle w:val="p1a"/>
      </w:pPr>
      <w:r>
        <w:t>While traditional machine learning algorithms like Support Vector Machines (SVMs), Decision Trees, and K-Nearest Neighbors (K-NN) continue to be utilized in resource-constrained environments, their vulnerability to adversarial attacks has been less thoroughly investigated. Only recent studies, such as those by Singh et al. (2024), have begun analyzing the weaknesses of these models through both structural properties and algorithmic differences. These works suggest that the responses of attacked clas</w:t>
      </w:r>
      <w:r>
        <w:lastRenderedPageBreak/>
        <w:t>sical models may differ significantly from those of neural networks, indicating a need for more targeted research in this area.</w:t>
      </w:r>
    </w:p>
    <w:p w14:paraId="47627689" w14:textId="60F3C163" w:rsidR="00804AA0" w:rsidRDefault="00804AA0" w:rsidP="00804AA0">
      <w:pPr>
        <w:pStyle w:val="p1a"/>
      </w:pPr>
      <w:r>
        <w:t>Defensive strategies against adversarial attacks primarily aim to detect or mitigate the impact of adversarial perturbations, with a predominant focus on deep learning models. Approaches such as adversarial training, feature squeezing, and input transformations have shown promise in enhancing resilience. Notably, Singh et al. (2024) explored the applicability of these defenses to classical machine learning algorithms, suggesting that traditional techniques like ensemble methods and input preprocessing could improve the robustness of these older models.</w:t>
      </w:r>
    </w:p>
    <w:p w14:paraId="78700481" w14:textId="27C2A217" w:rsidR="00372506" w:rsidRPr="00372506" w:rsidRDefault="00804AA0" w:rsidP="00804AA0">
      <w:pPr>
        <w:pStyle w:val="p1a"/>
      </w:pPr>
      <w:r>
        <w:t>This paper addresses longstanding gaps in adversarial research by systematically assessing the robustness of classical machine learning algorithms and evaluating various defense mechanisms. This represents a significant shift from prior work that has largely concentrated on deep learning architectures. Consequently, this research provides a comprehensive analysis of adversarial resilience in classical machine learning models, offering new insights into their potential applications in security-critical contexts.</w:t>
      </w:r>
    </w:p>
    <w:p w14:paraId="6217FB27" w14:textId="48403910" w:rsidR="009C25A6" w:rsidRDefault="009C25A6" w:rsidP="009C25A6">
      <w:pPr>
        <w:pStyle w:val="heading1"/>
      </w:pPr>
      <w:r>
        <w:t>Methodology</w:t>
      </w:r>
    </w:p>
    <w:p w14:paraId="4343D288" w14:textId="7BDC4A4F" w:rsidR="009C25A6" w:rsidRDefault="009C25A6" w:rsidP="009C25A6">
      <w:pPr>
        <w:pStyle w:val="heading2"/>
        <w:spacing w:before="0"/>
      </w:pPr>
      <w:r>
        <w:t xml:space="preserve">Dataset </w:t>
      </w:r>
    </w:p>
    <w:p w14:paraId="0DEFD894" w14:textId="77777777" w:rsidR="00F9225C" w:rsidRDefault="00F9225C" w:rsidP="00F9225C">
      <w:pPr>
        <w:pStyle w:val="heading2"/>
        <w:numPr>
          <w:ilvl w:val="0"/>
          <w:numId w:val="0"/>
        </w:numPr>
        <w:rPr>
          <w:b w:val="0"/>
        </w:rPr>
      </w:pPr>
      <w:r w:rsidRPr="00F9225C">
        <w:rPr>
          <w:b w:val="0"/>
        </w:rPr>
        <w:t>This MNIST dataset from OpenML is 'mnist_784.' It is comprised of 70,000 grayscale images of handwritten digits with 784 pixels (28x28). The dataset comprises 60,000 training and 10,000 test samples covering the digits 0-9. We normalize the pixel value from the images by dividing by 255.0 for our preprocessing pipeline to scale values to the range 0 to 1, making the model stable during training. Besides that, the labels for the target are converted into integers as there is a mapping with the classification process.</w:t>
      </w:r>
    </w:p>
    <w:p w14:paraId="0D387CCA" w14:textId="52EA9513" w:rsidR="00DD1AC1" w:rsidRPr="00DD1AC1" w:rsidRDefault="00DD1AC1" w:rsidP="00DD1AC1">
      <w:pPr>
        <w:pStyle w:val="heading2"/>
      </w:pPr>
      <w:r>
        <w:t>Attack techniques</w:t>
      </w:r>
      <w:r>
        <w:tab/>
      </w:r>
    </w:p>
    <w:p w14:paraId="38248F2F" w14:textId="0218D6AA" w:rsidR="009C25A6" w:rsidRDefault="009C25A6" w:rsidP="00F9225C">
      <w:pPr>
        <w:pStyle w:val="heading2"/>
        <w:numPr>
          <w:ilvl w:val="0"/>
          <w:numId w:val="0"/>
        </w:numPr>
      </w:pPr>
      <w:r>
        <w:t>Adversarial Attack Techniques</w:t>
      </w:r>
    </w:p>
    <w:p w14:paraId="4E7317D5" w14:textId="45F23D7B" w:rsidR="00986245" w:rsidRDefault="00986245" w:rsidP="00986245">
      <w:pPr>
        <w:pStyle w:val="p1a"/>
      </w:pPr>
      <w:r w:rsidRPr="00986245">
        <w:t>We employed several adversarial attack methods to evaluate the vulnerability of traditional machine learning models against perturbations.</w:t>
      </w:r>
    </w:p>
    <w:p w14:paraId="6020EB13" w14:textId="429B4721" w:rsidR="00986245" w:rsidRDefault="00986245" w:rsidP="00986245">
      <w:pPr>
        <w:pStyle w:val="Heading3"/>
        <w:rPr>
          <w:b/>
        </w:rPr>
      </w:pPr>
      <w:r w:rsidRPr="00986245">
        <w:rPr>
          <w:b/>
        </w:rPr>
        <w:t>Fast Gradient Sign Method (FGSM)</w:t>
      </w:r>
    </w:p>
    <w:p w14:paraId="7E294887" w14:textId="21FA2F21" w:rsidR="00986245" w:rsidRDefault="00986245" w:rsidP="00986245">
      <w:r w:rsidRPr="00986245">
        <w:t>This method generates adversarial examples by applying perturbations in the direction of the gradient of the loss function. We varied the perturbation magnitude (epsilon) to assess the model's robustness across different levels of intensity.</w:t>
      </w:r>
    </w:p>
    <w:p w14:paraId="04BCA129" w14:textId="408130B9" w:rsidR="00986245" w:rsidRDefault="00986245" w:rsidP="00986245">
      <w:pPr>
        <w:pStyle w:val="Heading3"/>
        <w:rPr>
          <w:b/>
        </w:rPr>
      </w:pPr>
      <w:r w:rsidRPr="00986245">
        <w:rPr>
          <w:b/>
        </w:rPr>
        <w:t>Projected Gradient Descent (PGD</w:t>
      </w:r>
      <w:r>
        <w:rPr>
          <w:b/>
        </w:rPr>
        <w:t>)</w:t>
      </w:r>
    </w:p>
    <w:p w14:paraId="2CCE4382" w14:textId="6BF7701C" w:rsidR="00986245" w:rsidRDefault="00986245" w:rsidP="00986245">
      <w:r w:rsidRPr="00986245">
        <w:lastRenderedPageBreak/>
        <w:t>An iterative version of FGSM that applies multiple steps of gradient ascent with a projection step to ensure perturbations remain within a specified epsilon-ball. This method allows for more sophisticated and effective adversarial examples.</w:t>
      </w:r>
    </w:p>
    <w:p w14:paraId="5534ACC1" w14:textId="5A6F2F3F" w:rsidR="00986245" w:rsidRDefault="00986245" w:rsidP="00986245">
      <w:pPr>
        <w:pStyle w:val="Heading3"/>
        <w:rPr>
          <w:b/>
          <w:bCs/>
        </w:rPr>
      </w:pPr>
      <w:r w:rsidRPr="00986245">
        <w:rPr>
          <w:b/>
          <w:bCs/>
        </w:rPr>
        <w:t>Carlini &amp; Wagner Attack</w:t>
      </w:r>
    </w:p>
    <w:p w14:paraId="51071D14" w14:textId="2853BA2A" w:rsidR="00986245" w:rsidRPr="00986245" w:rsidRDefault="00986245" w:rsidP="00986245">
      <w:r w:rsidRPr="00986245">
        <w:t>A more advanced optimization-based attack that seeks to minimize the distortion while misclassifying the inputs. This technique was included to evaluate how well the models could withstand strong adversarial examples.</w:t>
      </w:r>
    </w:p>
    <w:p w14:paraId="7D674909" w14:textId="453766DC" w:rsidR="009C25A6" w:rsidRDefault="00986245" w:rsidP="009C25A6">
      <w:pPr>
        <w:pStyle w:val="heading2"/>
      </w:pPr>
      <w:r>
        <w:t>ML algorithms</w:t>
      </w:r>
    </w:p>
    <w:p w14:paraId="034D933E" w14:textId="0508FC52" w:rsidR="00986245" w:rsidRDefault="00986245" w:rsidP="00986245">
      <w:pPr>
        <w:pStyle w:val="p1a"/>
      </w:pPr>
      <w:r w:rsidRPr="00986245">
        <w:t>This study focused on evaluating the following traditional machine learning algorithms:</w:t>
      </w:r>
    </w:p>
    <w:p w14:paraId="3983EF3A" w14:textId="1309A9B9" w:rsidR="00986245" w:rsidRDefault="00826B44" w:rsidP="00986245">
      <w:pPr>
        <w:pStyle w:val="Heading3"/>
        <w:rPr>
          <w:b/>
          <w:bCs/>
        </w:rPr>
      </w:pPr>
      <w:r w:rsidRPr="00826B44">
        <w:rPr>
          <w:b/>
          <w:bCs/>
        </w:rPr>
        <w:t>Support Vector Machines (SVM)</w:t>
      </w:r>
    </w:p>
    <w:p w14:paraId="74CA6692" w14:textId="0AB75B26" w:rsidR="00826B44" w:rsidRDefault="00826B44" w:rsidP="00826B44">
      <w:r w:rsidRPr="00826B44">
        <w:t>Known for its effectiveness in high-dimensional spaces, SVM was used with a radial basis function (RBF) kernel to classify CIFAR-10 images.</w:t>
      </w:r>
    </w:p>
    <w:p w14:paraId="179D1069" w14:textId="55249A3A" w:rsidR="00826B44" w:rsidRDefault="00826B44" w:rsidP="00826B44">
      <w:pPr>
        <w:pStyle w:val="Heading3"/>
        <w:rPr>
          <w:b/>
          <w:bCs/>
        </w:rPr>
      </w:pPr>
      <w:r w:rsidRPr="00826B44">
        <w:rPr>
          <w:b/>
          <w:bCs/>
        </w:rPr>
        <w:t>Decision Trees</w:t>
      </w:r>
    </w:p>
    <w:p w14:paraId="28D08A5E" w14:textId="3E75CF7D" w:rsidR="00826B44" w:rsidRDefault="00826B44" w:rsidP="00826B44">
      <w:r w:rsidRPr="00826B44">
        <w:t>A non-parametric model that is easy to interpret, providing a baseline for performance comparisons.</w:t>
      </w:r>
    </w:p>
    <w:p w14:paraId="311F7131" w14:textId="0DAA667D" w:rsidR="00826B44" w:rsidRDefault="00826B44" w:rsidP="00826B44">
      <w:pPr>
        <w:pStyle w:val="Heading3"/>
        <w:rPr>
          <w:b/>
        </w:rPr>
      </w:pPr>
      <w:r w:rsidRPr="00826B44">
        <w:rPr>
          <w:b/>
        </w:rPr>
        <w:t>k-Nearest Neighbors (K-NN)</w:t>
      </w:r>
    </w:p>
    <w:p w14:paraId="63F90A4B" w14:textId="59D76F4C" w:rsidR="00826B44" w:rsidRDefault="00826B44" w:rsidP="00826B44">
      <w:r w:rsidRPr="00826B44">
        <w:t>A simple yet effective instance-based learning algorithm used for its intuitive approach and sensitivity to local data distributions.</w:t>
      </w:r>
    </w:p>
    <w:p w14:paraId="10A38532" w14:textId="2CE05F3A" w:rsidR="00826B44" w:rsidRDefault="00826B44" w:rsidP="00826B44">
      <w:pPr>
        <w:pStyle w:val="Heading3"/>
        <w:rPr>
          <w:b/>
        </w:rPr>
      </w:pPr>
      <w:r w:rsidRPr="00826B44">
        <w:rPr>
          <w:b/>
        </w:rPr>
        <w:t>Logistic Regression</w:t>
      </w:r>
    </w:p>
    <w:p w14:paraId="6D38235C" w14:textId="60C72E19" w:rsidR="00826B44" w:rsidRPr="00826B44" w:rsidRDefault="00826B44" w:rsidP="00826B44">
      <w:r w:rsidRPr="00826B44">
        <w:t>Employed for its simplicity and efficiency, serving as a linear model benchmark for image classification tasks.</w:t>
      </w:r>
    </w:p>
    <w:p w14:paraId="21D59FAD" w14:textId="38133EAB" w:rsidR="00986245" w:rsidRDefault="00986245" w:rsidP="00986245">
      <w:pPr>
        <w:pStyle w:val="heading2"/>
      </w:pPr>
      <w:r>
        <w:t>Defense Mechanisms</w:t>
      </w:r>
    </w:p>
    <w:p w14:paraId="13FA00B6" w14:textId="42782F8C" w:rsidR="00826B44" w:rsidRDefault="00826B44" w:rsidP="00826B44">
      <w:pPr>
        <w:pStyle w:val="p1a"/>
      </w:pPr>
      <w:r w:rsidRPr="00826B44">
        <w:t>To enhance the robustness of the selected traditional ML models against adversarial attacks, we implemented several defense mechanisms:</w:t>
      </w:r>
    </w:p>
    <w:p w14:paraId="0CF482BF" w14:textId="6742ADF7" w:rsidR="00826B44" w:rsidRDefault="00826B44" w:rsidP="00826B44">
      <w:pPr>
        <w:pStyle w:val="Heading3"/>
        <w:rPr>
          <w:b/>
        </w:rPr>
      </w:pPr>
      <w:r w:rsidRPr="00826B44">
        <w:rPr>
          <w:b/>
          <w:bCs/>
        </w:rPr>
        <w:t>Adversarial Training</w:t>
      </w:r>
    </w:p>
    <w:p w14:paraId="46FDA439" w14:textId="5710FBDC" w:rsidR="00826B44" w:rsidRDefault="00826B44" w:rsidP="00826B44">
      <w:r w:rsidRPr="00826B44">
        <w:t>This technique involved augmenting the training dataset with adversarial examples generated using FGSM, thus improving the model's ability to recognize and resist such perturbations.</w:t>
      </w:r>
    </w:p>
    <w:p w14:paraId="0A66FF0D" w14:textId="004F54D4" w:rsidR="00826B44" w:rsidRDefault="00826B44" w:rsidP="00826B44">
      <w:pPr>
        <w:pStyle w:val="Heading3"/>
        <w:rPr>
          <w:b/>
          <w:bCs/>
        </w:rPr>
      </w:pPr>
      <w:r w:rsidRPr="00826B44">
        <w:rPr>
          <w:b/>
          <w:bCs/>
        </w:rPr>
        <w:t>Feature Preprocessing</w:t>
      </w:r>
    </w:p>
    <w:p w14:paraId="77F8D60F" w14:textId="4F2A9643" w:rsidR="00826B44" w:rsidRDefault="00826B44" w:rsidP="00826B44">
      <w:r w:rsidRPr="00826B44">
        <w:lastRenderedPageBreak/>
        <w:t>We applied techniques such as dimensionality reduction using Principal Component Analysis (PCA) to mitigate noise and enhance the signal-to-noise ratio in the input features.</w:t>
      </w:r>
    </w:p>
    <w:p w14:paraId="39EEEB52" w14:textId="79618EC2" w:rsidR="00826B44" w:rsidRDefault="00826B44" w:rsidP="00826B44">
      <w:pPr>
        <w:pStyle w:val="Heading3"/>
        <w:rPr>
          <w:b/>
        </w:rPr>
      </w:pPr>
      <w:r w:rsidRPr="00826B44">
        <w:rPr>
          <w:b/>
          <w:bCs/>
        </w:rPr>
        <w:t>Ensemble Methods</w:t>
      </w:r>
    </w:p>
    <w:p w14:paraId="7BC0E171" w14:textId="5B7A6328" w:rsidR="00826B44" w:rsidRPr="00826B44" w:rsidRDefault="00826B44" w:rsidP="00826B44">
      <w:r w:rsidRPr="00826B44">
        <w:t>An ensemble of different models was created, where predictions from multiple classifiers were combined to improve overall accuracy and robustness against attacks.</w:t>
      </w:r>
    </w:p>
    <w:p w14:paraId="2CE0A815" w14:textId="131F84C3" w:rsidR="00986245" w:rsidRDefault="00986245" w:rsidP="00986245">
      <w:pPr>
        <w:pStyle w:val="heading2"/>
      </w:pPr>
      <w:r>
        <w:t>Experimental Setup</w:t>
      </w:r>
    </w:p>
    <w:p w14:paraId="6FCCEA64" w14:textId="50A89CC6" w:rsidR="00826B44" w:rsidRPr="00826B44" w:rsidRDefault="00826B44" w:rsidP="00826B44">
      <w:pPr>
        <w:pStyle w:val="p1a"/>
      </w:pPr>
      <w:r w:rsidRPr="00826B44">
        <w:t>The experiments were conducted using a Python environment with popular machine learning libraries, including Scikit-learn and TensorFlow. Each traditional ML algorithm was trained on the CIFAR-10 dataset for 50 epochs with a batch size of 32. The models were evaluated on both clean and adversarially perturbed datasets to assess their performance across different attack scenarios.</w:t>
      </w:r>
    </w:p>
    <w:p w14:paraId="760CFAEA" w14:textId="34C84C1A" w:rsidR="00986245" w:rsidRDefault="00986245" w:rsidP="00986245">
      <w:pPr>
        <w:pStyle w:val="heading2"/>
      </w:pPr>
      <w:r>
        <w:t>Evaluation Metrics</w:t>
      </w:r>
    </w:p>
    <w:p w14:paraId="6054AE99" w14:textId="74D5BBAD" w:rsidR="00826B44" w:rsidRDefault="00826B44" w:rsidP="00826B44">
      <w:pPr>
        <w:pStyle w:val="p1a"/>
      </w:pPr>
      <w:r w:rsidRPr="00826B44">
        <w:t>The performance of the models was assessed using the following metrics:</w:t>
      </w:r>
    </w:p>
    <w:p w14:paraId="24DDA1E3" w14:textId="535B0F8B" w:rsidR="00826B44" w:rsidRDefault="00826B44" w:rsidP="00826B44">
      <w:pPr>
        <w:pStyle w:val="Heading3"/>
        <w:rPr>
          <w:b/>
        </w:rPr>
      </w:pPr>
      <w:r w:rsidRPr="00826B44">
        <w:rPr>
          <w:b/>
          <w:bCs/>
        </w:rPr>
        <w:t>Accuracy</w:t>
      </w:r>
    </w:p>
    <w:p w14:paraId="567BF23A" w14:textId="4EEFEA3B" w:rsidR="00826B44" w:rsidRDefault="00826B44" w:rsidP="00826B44">
      <w:r w:rsidRPr="00826B44">
        <w:t>The proportion of correctly classified images in both clean and adversarial settings.</w:t>
      </w:r>
    </w:p>
    <w:p w14:paraId="68D8B53B" w14:textId="4287AB51" w:rsidR="00826B44" w:rsidRDefault="00826B44" w:rsidP="00826B44">
      <w:pPr>
        <w:pStyle w:val="Heading3"/>
        <w:rPr>
          <w:b/>
        </w:rPr>
      </w:pPr>
      <w:r w:rsidRPr="00826B44">
        <w:rPr>
          <w:b/>
        </w:rPr>
        <w:t>Robustness</w:t>
      </w:r>
    </w:p>
    <w:p w14:paraId="37A75547" w14:textId="38FB3797" w:rsidR="00826B44" w:rsidRDefault="00826B44" w:rsidP="00826B44">
      <w:r w:rsidRPr="00826B44">
        <w:t>Measured as the drop in accuracy when evaluating the model on adversarial examples compared to clean examples.</w:t>
      </w:r>
    </w:p>
    <w:p w14:paraId="04EE8CF8" w14:textId="34AB7841" w:rsidR="00826B44" w:rsidRDefault="00826B44" w:rsidP="00826B44">
      <w:pPr>
        <w:pStyle w:val="Heading3"/>
        <w:rPr>
          <w:b/>
        </w:rPr>
      </w:pPr>
      <w:r w:rsidRPr="00826B44">
        <w:rPr>
          <w:b/>
        </w:rPr>
        <w:t>Computational Efficiency</w:t>
      </w:r>
    </w:p>
    <w:p w14:paraId="407A2926" w14:textId="6E0B25CE" w:rsidR="00826B44" w:rsidRPr="00826B44" w:rsidRDefault="00826B44" w:rsidP="00826B44">
      <w:r w:rsidRPr="00826B44">
        <w:t>Analyzed in terms of training time, memory usage, and inference time to ensure practicality in real-world applications.</w:t>
      </w:r>
    </w:p>
    <w:p w14:paraId="5D384B99" w14:textId="6C0E1E1D" w:rsidR="009C25A6" w:rsidRDefault="009C25A6" w:rsidP="009C25A6">
      <w:pPr>
        <w:pStyle w:val="heading1"/>
      </w:pPr>
      <w:r>
        <w:t>Experiments and Results</w:t>
      </w:r>
    </w:p>
    <w:p w14:paraId="7C25D263" w14:textId="77777777" w:rsidR="0097583C" w:rsidRPr="0097583C" w:rsidRDefault="0097583C" w:rsidP="0097583C">
      <w:pPr>
        <w:pStyle w:val="p1a"/>
      </w:pPr>
    </w:p>
    <w:p w14:paraId="2989DF73" w14:textId="145004A3" w:rsidR="009C25A6" w:rsidRDefault="009C25A6" w:rsidP="009C25A6">
      <w:pPr>
        <w:pStyle w:val="heading1"/>
      </w:pPr>
      <w:r>
        <w:lastRenderedPageBreak/>
        <w:t>Discussion</w:t>
      </w:r>
    </w:p>
    <w:p w14:paraId="7BACA1A9" w14:textId="6DAFFE82" w:rsidR="009C25A6" w:rsidRPr="009C25A6" w:rsidRDefault="009C25A6" w:rsidP="009C25A6">
      <w:pPr>
        <w:pStyle w:val="heading1"/>
      </w:pPr>
      <w:r>
        <w:t>Conclusion</w:t>
      </w:r>
    </w:p>
    <w:p w14:paraId="47E6D00B" w14:textId="77777777" w:rsidR="00E974C7" w:rsidRPr="006809AE" w:rsidRDefault="009B2539" w:rsidP="009C25A6">
      <w:pPr>
        <w:pStyle w:val="heading2"/>
        <w:spacing w:before="0"/>
      </w:pPr>
      <w:r>
        <w:t>A Subsection</w:t>
      </w:r>
      <w:r w:rsidRPr="003E3370">
        <w:t xml:space="preserve"> </w:t>
      </w:r>
      <w:r>
        <w:t>Sample</w:t>
      </w:r>
    </w:p>
    <w:p w14:paraId="7CC80CFC" w14:textId="77777777" w:rsidR="00E974C7" w:rsidRPr="00EE426C" w:rsidRDefault="009B2539">
      <w:pPr>
        <w:pStyle w:val="p1a"/>
      </w:pPr>
      <w:r w:rsidRPr="00EE426C">
        <w:t>Please note that the first paragraph of a section or subsection is not indented. The first paragraphs that follows a table, figure, equation etc. does not have an indent, either.</w:t>
      </w:r>
    </w:p>
    <w:p w14:paraId="21A71B55" w14:textId="77777777" w:rsidR="00E974C7" w:rsidRDefault="009B2539">
      <w:r>
        <w:t>Subsequent paragraphs, however, are indented.</w:t>
      </w:r>
    </w:p>
    <w:p w14:paraId="22D0420E" w14:textId="77777777" w:rsidR="00E974C7" w:rsidRDefault="009B2539" w:rsidP="009930E4">
      <w:pPr>
        <w:pStyle w:val="Heading3"/>
      </w:pPr>
      <w:r w:rsidRPr="009930E4">
        <w:rPr>
          <w:rStyle w:val="heading30"/>
        </w:rPr>
        <w:t>Sample Heading (Third Level).</w:t>
      </w:r>
      <w:r w:rsidRPr="003E3370">
        <w:rPr>
          <w:rStyle w:val="heading30"/>
        </w:rPr>
        <w:t xml:space="preserve"> </w:t>
      </w:r>
      <w:r>
        <w:rPr>
          <w:rStyle w:val="heading30"/>
          <w:b w:val="0"/>
        </w:rPr>
        <w:t>Only two levels of headings should be numbered. Lower level headings remain unnumbered; they are formatted as run-in headings.</w:t>
      </w:r>
    </w:p>
    <w:p w14:paraId="2A82D314" w14:textId="77777777" w:rsidR="00E974C7" w:rsidRDefault="009B2539" w:rsidP="009930E4">
      <w:pPr>
        <w:pStyle w:val="Heading4"/>
        <w:rPr>
          <w:rStyle w:val="heading40"/>
          <w:i w:val="0"/>
        </w:rPr>
      </w:pPr>
      <w:r w:rsidRPr="009930E4">
        <w:rPr>
          <w:rStyle w:val="heading40"/>
        </w:rPr>
        <w:t>Sample Heading (Forth Level).</w:t>
      </w:r>
      <w:r w:rsidRPr="003E3370">
        <w:rPr>
          <w:rStyle w:val="heading40"/>
          <w:i w:val="0"/>
        </w:rPr>
        <w:t xml:space="preserve"> </w:t>
      </w:r>
      <w:r>
        <w:rPr>
          <w:rStyle w:val="heading40"/>
          <w:i w:val="0"/>
        </w:rPr>
        <w:t xml:space="preserve">The contribution should contain no more than four levels of headings. The following </w:t>
      </w:r>
      <w:r w:rsidRPr="00A97482">
        <w:rPr>
          <w:rStyle w:val="heading40"/>
          <w:i w:val="0"/>
        </w:rPr>
        <w:fldChar w:fldCharType="begin"/>
      </w:r>
      <w:r w:rsidRPr="00A97482">
        <w:rPr>
          <w:rStyle w:val="heading40"/>
          <w:i w:val="0"/>
        </w:rPr>
        <w:instrText xml:space="preserve"> REF _Ref467509391 \h  \* MERGEFORMAT </w:instrText>
      </w:r>
      <w:r w:rsidRPr="00A97482">
        <w:rPr>
          <w:rStyle w:val="heading40"/>
          <w:i w:val="0"/>
        </w:rPr>
      </w:r>
      <w:r w:rsidRPr="00A97482">
        <w:rPr>
          <w:rStyle w:val="heading40"/>
          <w:i w:val="0"/>
        </w:rPr>
        <w:fldChar w:fldCharType="separate"/>
      </w:r>
      <w:r w:rsidRPr="00EE1BBB">
        <w:t xml:space="preserve">Table </w:t>
      </w:r>
      <w:r w:rsidRPr="00EE1BBB">
        <w:rPr>
          <w:noProof/>
        </w:rPr>
        <w:t>1</w:t>
      </w:r>
      <w:r w:rsidRPr="00A97482">
        <w:rPr>
          <w:rStyle w:val="heading40"/>
          <w:i w:val="0"/>
        </w:rPr>
        <w:fldChar w:fldCharType="end"/>
      </w:r>
      <w:r>
        <w:rPr>
          <w:rStyle w:val="heading40"/>
          <w:i w:val="0"/>
        </w:rPr>
        <w:t xml:space="preserve"> gives a summary of all heading levels.</w:t>
      </w:r>
    </w:p>
    <w:p w14:paraId="77E85E62" w14:textId="57ADDC80" w:rsidR="00E974C7" w:rsidRDefault="009B2539">
      <w:pPr>
        <w:pStyle w:val="tablecaption"/>
      </w:pPr>
      <w:bookmarkStart w:id="0" w:name="_Ref467509391"/>
      <w:r>
        <w:rPr>
          <w:b/>
        </w:rPr>
        <w:t xml:space="preserve">Table </w:t>
      </w:r>
      <w:r>
        <w:rPr>
          <w:b/>
        </w:rPr>
        <w:fldChar w:fldCharType="begin"/>
      </w:r>
      <w:r>
        <w:rPr>
          <w:b/>
        </w:rPr>
        <w:instrText xml:space="preserve"> SEQ "Table" \* MERGEFORMAT </w:instrText>
      </w:r>
      <w:r>
        <w:rPr>
          <w:b/>
        </w:rPr>
        <w:fldChar w:fldCharType="separate"/>
      </w:r>
      <w:r w:rsidR="00396F0F">
        <w:rPr>
          <w:b/>
          <w:noProof/>
        </w:rPr>
        <w:t>1</w:t>
      </w:r>
      <w:r>
        <w:rPr>
          <w:b/>
        </w:rPr>
        <w:fldChar w:fldCharType="end"/>
      </w:r>
      <w:bookmarkEnd w:id="0"/>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000000" w:rsidRPr="009A3755" w14:paraId="02D52DB2" w14:textId="77777777">
        <w:trPr>
          <w:jc w:val="center"/>
        </w:trPr>
        <w:tc>
          <w:tcPr>
            <w:tcW w:w="1664" w:type="dxa"/>
            <w:tcBorders>
              <w:top w:val="single" w:sz="12" w:space="0" w:color="000000"/>
              <w:bottom w:val="single" w:sz="6" w:space="0" w:color="000000"/>
            </w:tcBorders>
          </w:tcPr>
          <w:p w14:paraId="2879D7AE" w14:textId="77777777" w:rsidR="00E974C7" w:rsidRPr="009A3755" w:rsidRDefault="009B2539">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14:paraId="6553EE46" w14:textId="77777777" w:rsidR="00E974C7" w:rsidRPr="009A3755" w:rsidRDefault="009B2539">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14:paraId="5FE8D8E2" w14:textId="77777777" w:rsidR="00E974C7" w:rsidRPr="009A3755" w:rsidRDefault="009B2539">
            <w:pPr>
              <w:ind w:firstLine="0"/>
              <w:jc w:val="left"/>
              <w:rPr>
                <w:sz w:val="18"/>
                <w:szCs w:val="18"/>
              </w:rPr>
            </w:pPr>
            <w:r w:rsidRPr="009A3755">
              <w:rPr>
                <w:sz w:val="18"/>
                <w:szCs w:val="18"/>
              </w:rPr>
              <w:t>Font size and style</w:t>
            </w:r>
          </w:p>
        </w:tc>
      </w:tr>
      <w:tr w:rsidR="00000000" w:rsidRPr="009A3755" w14:paraId="01E3A4AF" w14:textId="77777777">
        <w:trPr>
          <w:trHeight w:val="284"/>
          <w:jc w:val="center"/>
        </w:trPr>
        <w:tc>
          <w:tcPr>
            <w:tcW w:w="1664" w:type="dxa"/>
            <w:vAlign w:val="center"/>
          </w:tcPr>
          <w:p w14:paraId="4746C61A" w14:textId="77777777" w:rsidR="00E974C7" w:rsidRPr="009A3755" w:rsidRDefault="009B2539">
            <w:pPr>
              <w:ind w:firstLine="0"/>
              <w:jc w:val="left"/>
              <w:rPr>
                <w:sz w:val="18"/>
                <w:szCs w:val="18"/>
              </w:rPr>
            </w:pPr>
            <w:r w:rsidRPr="009A3755">
              <w:rPr>
                <w:sz w:val="18"/>
                <w:szCs w:val="18"/>
              </w:rPr>
              <w:t>Title (centered)</w:t>
            </w:r>
          </w:p>
        </w:tc>
        <w:tc>
          <w:tcPr>
            <w:tcW w:w="3387" w:type="dxa"/>
            <w:vAlign w:val="center"/>
          </w:tcPr>
          <w:p w14:paraId="012AB562" w14:textId="77777777" w:rsidR="00E974C7" w:rsidRPr="009A3755" w:rsidRDefault="009B2539">
            <w:pPr>
              <w:ind w:firstLine="0"/>
              <w:jc w:val="left"/>
              <w:rPr>
                <w:sz w:val="18"/>
                <w:szCs w:val="18"/>
              </w:rPr>
            </w:pPr>
            <w:r w:rsidRPr="00192151">
              <w:rPr>
                <w:b/>
                <w:bCs/>
                <w:sz w:val="28"/>
                <w:szCs w:val="25"/>
              </w:rPr>
              <w:t>Lecture Notes</w:t>
            </w:r>
          </w:p>
        </w:tc>
        <w:tc>
          <w:tcPr>
            <w:tcW w:w="1724" w:type="dxa"/>
            <w:vAlign w:val="center"/>
          </w:tcPr>
          <w:p w14:paraId="5E7D243A" w14:textId="77777777" w:rsidR="00E974C7" w:rsidRPr="009A3755" w:rsidRDefault="009B2539">
            <w:pPr>
              <w:ind w:firstLine="0"/>
              <w:jc w:val="left"/>
              <w:rPr>
                <w:sz w:val="18"/>
                <w:szCs w:val="18"/>
              </w:rPr>
            </w:pPr>
            <w:r w:rsidRPr="009A3755">
              <w:rPr>
                <w:sz w:val="18"/>
                <w:szCs w:val="18"/>
              </w:rPr>
              <w:t>14 point, bold</w:t>
            </w:r>
          </w:p>
        </w:tc>
      </w:tr>
      <w:tr w:rsidR="00000000" w:rsidRPr="009A3755" w14:paraId="6427F8A7" w14:textId="77777777">
        <w:trPr>
          <w:trHeight w:val="284"/>
          <w:jc w:val="center"/>
        </w:trPr>
        <w:tc>
          <w:tcPr>
            <w:tcW w:w="1664" w:type="dxa"/>
            <w:vAlign w:val="center"/>
          </w:tcPr>
          <w:p w14:paraId="153183D3" w14:textId="77777777" w:rsidR="00E974C7" w:rsidRPr="009A3755" w:rsidRDefault="009B2539">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14:paraId="279AFC9D" w14:textId="77777777" w:rsidR="00E974C7" w:rsidRPr="009A3755" w:rsidRDefault="009B2539">
            <w:pPr>
              <w:ind w:firstLine="0"/>
              <w:jc w:val="left"/>
              <w:rPr>
                <w:sz w:val="18"/>
                <w:szCs w:val="18"/>
              </w:rPr>
            </w:pPr>
            <w:r w:rsidRPr="00192151">
              <w:rPr>
                <w:b/>
                <w:bCs/>
                <w:sz w:val="24"/>
                <w:szCs w:val="21"/>
              </w:rPr>
              <w:t>1 Introduction</w:t>
            </w:r>
          </w:p>
        </w:tc>
        <w:tc>
          <w:tcPr>
            <w:tcW w:w="1724" w:type="dxa"/>
            <w:vAlign w:val="center"/>
          </w:tcPr>
          <w:p w14:paraId="7FD9DE09" w14:textId="77777777" w:rsidR="00E974C7" w:rsidRPr="009A3755" w:rsidRDefault="009B2539">
            <w:pPr>
              <w:ind w:firstLine="0"/>
              <w:jc w:val="left"/>
              <w:rPr>
                <w:sz w:val="18"/>
                <w:szCs w:val="18"/>
              </w:rPr>
            </w:pPr>
            <w:r w:rsidRPr="009A3755">
              <w:rPr>
                <w:sz w:val="18"/>
                <w:szCs w:val="18"/>
              </w:rPr>
              <w:t>12 point, bold</w:t>
            </w:r>
          </w:p>
        </w:tc>
      </w:tr>
      <w:tr w:rsidR="00000000" w:rsidRPr="009A3755" w14:paraId="253EC0A6" w14:textId="77777777">
        <w:trPr>
          <w:trHeight w:val="284"/>
          <w:jc w:val="center"/>
        </w:trPr>
        <w:tc>
          <w:tcPr>
            <w:tcW w:w="1664" w:type="dxa"/>
            <w:vAlign w:val="center"/>
          </w:tcPr>
          <w:p w14:paraId="6C7B0265" w14:textId="77777777" w:rsidR="00E974C7" w:rsidRPr="009A3755" w:rsidRDefault="009B2539">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14:paraId="4617D3D4" w14:textId="77777777" w:rsidR="00E974C7" w:rsidRPr="009A3755" w:rsidRDefault="009B2539">
            <w:pPr>
              <w:ind w:firstLine="0"/>
              <w:jc w:val="left"/>
              <w:rPr>
                <w:sz w:val="18"/>
                <w:szCs w:val="18"/>
              </w:rPr>
            </w:pPr>
            <w:r w:rsidRPr="00192151">
              <w:rPr>
                <w:b/>
                <w:bCs/>
                <w:szCs w:val="18"/>
              </w:rPr>
              <w:t>2.1 Printing Area</w:t>
            </w:r>
          </w:p>
        </w:tc>
        <w:tc>
          <w:tcPr>
            <w:tcW w:w="1724" w:type="dxa"/>
            <w:vAlign w:val="center"/>
          </w:tcPr>
          <w:p w14:paraId="1B263EAA" w14:textId="77777777" w:rsidR="00E974C7" w:rsidRPr="009A3755" w:rsidRDefault="009B2539">
            <w:pPr>
              <w:ind w:firstLine="0"/>
              <w:jc w:val="left"/>
              <w:rPr>
                <w:sz w:val="18"/>
                <w:szCs w:val="18"/>
              </w:rPr>
            </w:pPr>
            <w:r w:rsidRPr="009A3755">
              <w:rPr>
                <w:sz w:val="18"/>
                <w:szCs w:val="18"/>
              </w:rPr>
              <w:t>10 point, bold</w:t>
            </w:r>
          </w:p>
        </w:tc>
      </w:tr>
      <w:tr w:rsidR="00000000" w:rsidRPr="009A3755" w14:paraId="0A985DBC" w14:textId="77777777">
        <w:trPr>
          <w:trHeight w:val="284"/>
          <w:jc w:val="center"/>
        </w:trPr>
        <w:tc>
          <w:tcPr>
            <w:tcW w:w="1664" w:type="dxa"/>
            <w:vAlign w:val="center"/>
          </w:tcPr>
          <w:p w14:paraId="73715F51" w14:textId="77777777" w:rsidR="00E974C7" w:rsidRPr="009A3755" w:rsidRDefault="009B2539">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14:paraId="5F629D69" w14:textId="77777777" w:rsidR="00E974C7" w:rsidRPr="009A3755" w:rsidRDefault="009B2539">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14:paraId="653DB011" w14:textId="77777777" w:rsidR="00E974C7" w:rsidRPr="009A3755" w:rsidRDefault="009B2539">
            <w:pPr>
              <w:ind w:firstLine="0"/>
              <w:jc w:val="left"/>
              <w:rPr>
                <w:sz w:val="18"/>
                <w:szCs w:val="18"/>
              </w:rPr>
            </w:pPr>
            <w:r w:rsidRPr="009A3755">
              <w:rPr>
                <w:sz w:val="18"/>
                <w:szCs w:val="18"/>
              </w:rPr>
              <w:t>10 point, bold</w:t>
            </w:r>
          </w:p>
        </w:tc>
      </w:tr>
      <w:tr w:rsidR="00000000" w:rsidRPr="009A3755" w14:paraId="5E84CAF8" w14:textId="77777777">
        <w:trPr>
          <w:trHeight w:val="284"/>
          <w:jc w:val="center"/>
        </w:trPr>
        <w:tc>
          <w:tcPr>
            <w:tcW w:w="1664" w:type="dxa"/>
            <w:tcBorders>
              <w:bottom w:val="single" w:sz="12" w:space="0" w:color="000000"/>
            </w:tcBorders>
            <w:vAlign w:val="center"/>
          </w:tcPr>
          <w:p w14:paraId="1250BBCF" w14:textId="77777777" w:rsidR="00E974C7" w:rsidRPr="009A3755" w:rsidRDefault="009B2539">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14:paraId="3E41A4C1" w14:textId="77777777" w:rsidR="00E974C7" w:rsidRPr="009A3755" w:rsidRDefault="009B2539">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14:paraId="775A4E8F" w14:textId="77777777" w:rsidR="00E974C7" w:rsidRPr="009A3755" w:rsidRDefault="009B2539">
            <w:pPr>
              <w:ind w:firstLine="0"/>
              <w:jc w:val="left"/>
              <w:rPr>
                <w:sz w:val="18"/>
                <w:szCs w:val="18"/>
              </w:rPr>
            </w:pPr>
            <w:r w:rsidRPr="009A3755">
              <w:rPr>
                <w:sz w:val="18"/>
                <w:szCs w:val="18"/>
              </w:rPr>
              <w:t>10 point, italic</w:t>
            </w:r>
          </w:p>
        </w:tc>
      </w:tr>
    </w:tbl>
    <w:p w14:paraId="276B7239" w14:textId="77777777" w:rsidR="00E974C7" w:rsidRDefault="009B2539">
      <w:pPr>
        <w:spacing w:before="240"/>
        <w:ind w:firstLine="0"/>
      </w:pPr>
      <w:r>
        <w:t xml:space="preserve">Displayed equations are centered and set on a separate line. </w:t>
      </w:r>
    </w:p>
    <w:p w14:paraId="6009BE49" w14:textId="711ECFC6" w:rsidR="00E974C7" w:rsidRDefault="009B2539">
      <w:pPr>
        <w:pStyle w:val="equation"/>
      </w:pPr>
      <w:r>
        <w:rPr>
          <w:i/>
        </w:rPr>
        <w:tab/>
        <w:t>x</w:t>
      </w:r>
      <w:r>
        <w:t xml:space="preserve"> + </w:t>
      </w:r>
      <w:r>
        <w:rPr>
          <w:i/>
        </w:rPr>
        <w:t>y</w:t>
      </w:r>
      <w:r>
        <w:t xml:space="preserve"> = </w:t>
      </w:r>
      <w:r>
        <w:rPr>
          <w:i/>
        </w:rPr>
        <w:t>z</w:t>
      </w:r>
      <w:r>
        <w:tab/>
        <w:t>(</w:t>
      </w:r>
      <w:fldSimple w:instr=" SEQ &quot;Equation&quot; \n \* MERGEFORMAT ">
        <w:r w:rsidR="00396F0F">
          <w:rPr>
            <w:noProof/>
          </w:rPr>
          <w:t>1</w:t>
        </w:r>
      </w:fldSimple>
      <w:bookmarkStart w:id="1" w:name="_Ref467511674"/>
      <w:bookmarkEnd w:id="1"/>
      <w:r>
        <w:t>)</w:t>
      </w:r>
    </w:p>
    <w:p w14:paraId="70D5DE98" w14:textId="77777777" w:rsidR="00E974C7" w:rsidRPr="00D000D8" w:rsidRDefault="009B2539">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14:paraId="57C95285" w14:textId="77777777" w:rsidR="00E974C7" w:rsidRPr="00EE1BBB" w:rsidRDefault="009B2539">
      <w:pPr>
        <w:spacing w:before="360"/>
        <w:ind w:left="227" w:hanging="227"/>
      </w:pPr>
      <w:r>
        <w:rPr>
          <w:noProof/>
          <w:lang w:val="de-DE" w:eastAsia="de-DE"/>
        </w:rPr>
        <w:lastRenderedPageBreak/>
        <w:drawing>
          <wp:inline distT="0" distB="0" distL="0" distR="0" wp14:anchorId="2BD923BD" wp14:editId="443CDEEE">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8"/>
              </a:graphicData>
            </a:graphic>
          </wp:inline>
        </w:drawing>
      </w:r>
    </w:p>
    <w:p w14:paraId="616FA855" w14:textId="4E3DE29F" w:rsidR="00E974C7" w:rsidRDefault="009B2539">
      <w:pPr>
        <w:pStyle w:val="figurecaption"/>
        <w:jc w:val="both"/>
      </w:pPr>
      <w:bookmarkStart w:id="2" w:name="_Ref467515387"/>
      <w:r>
        <w:rPr>
          <w:b/>
        </w:rPr>
        <w:t xml:space="preserve">Fig. </w:t>
      </w:r>
      <w:r>
        <w:rPr>
          <w:b/>
        </w:rPr>
        <w:fldChar w:fldCharType="begin"/>
      </w:r>
      <w:r>
        <w:rPr>
          <w:b/>
        </w:rPr>
        <w:instrText xml:space="preserve"> SEQ "Figure" \* MERGEFORMAT </w:instrText>
      </w:r>
      <w:r>
        <w:rPr>
          <w:b/>
        </w:rPr>
        <w:fldChar w:fldCharType="separate"/>
      </w:r>
      <w:r w:rsidR="00396F0F">
        <w:rPr>
          <w:b/>
          <w:noProof/>
        </w:rPr>
        <w:t>1</w:t>
      </w:r>
      <w:r>
        <w:rPr>
          <w:b/>
        </w:rPr>
        <w:fldChar w:fldCharType="end"/>
      </w:r>
      <w:bookmarkEnd w:id="2"/>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14:paraId="1399B3ED" w14:textId="77777777" w:rsidR="002D48C5" w:rsidRPr="00F55A71" w:rsidRDefault="002D48C5" w:rsidP="002D48C5">
      <w:pPr>
        <w:pStyle w:val="p1a"/>
      </w:pPr>
      <w:r w:rsidRPr="00F55A71">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0A9845EC" w14:textId="77777777" w:rsidR="00E974C7" w:rsidRDefault="009B2539">
      <w:pPr>
        <w:pStyle w:val="heading1"/>
        <w:numPr>
          <w:ilvl w:val="0"/>
          <w:numId w:val="0"/>
        </w:numPr>
        <w:ind w:left="567" w:hanging="567"/>
      </w:pPr>
      <w:r>
        <w:t>References</w:t>
      </w:r>
    </w:p>
    <w:p w14:paraId="0EBF1267" w14:textId="77777777" w:rsidR="00E974C7" w:rsidRDefault="009B2539">
      <w:pPr>
        <w:pStyle w:val="referenceitem"/>
      </w:pPr>
      <w:r>
        <w:t>Author, F.: Article title. Journal 2(5), 99–110 (2016).</w:t>
      </w:r>
    </w:p>
    <w:p w14:paraId="5331BE93" w14:textId="77777777" w:rsidR="00E974C7" w:rsidRDefault="009B2539">
      <w:pPr>
        <w:pStyle w:val="referenceitem"/>
      </w:pPr>
      <w:r>
        <w:t xml:space="preserve">Author, F., Author, S.: Title of a proceedings paper. In: Editor, F., Editor, S. (eds.) CONFERENCE 2016, LNCS, vol. 9999, pp. 1–13. Springer, Heidelberg (2016). </w:t>
      </w:r>
    </w:p>
    <w:p w14:paraId="36690058" w14:textId="77777777" w:rsidR="00E974C7" w:rsidRDefault="009B2539">
      <w:pPr>
        <w:pStyle w:val="referenceitem"/>
      </w:pPr>
      <w:r>
        <w:t>Author, F., Author, S., Author, T.: Book title. 2nd edn. Publisher, Location (1999).</w:t>
      </w:r>
    </w:p>
    <w:p w14:paraId="753EFBDE" w14:textId="77777777" w:rsidR="00E974C7" w:rsidRDefault="009B2539">
      <w:pPr>
        <w:pStyle w:val="referenceitem"/>
      </w:pPr>
      <w:r>
        <w:t>Author, F.: Contribution title. In: 9th International Proceedings on Proceedings, pp. 1–2. Publisher, Location (2010).</w:t>
      </w:r>
    </w:p>
    <w:p w14:paraId="0C5173EE" w14:textId="77777777" w:rsidR="00E974C7" w:rsidRPr="00606587" w:rsidRDefault="009B2539">
      <w:pPr>
        <w:pStyle w:val="referenceitem"/>
      </w:pPr>
      <w:r>
        <w:t xml:space="preserve">LNCS Homepage, </w:t>
      </w:r>
      <w:hyperlink r:id="rId9" w:history="1">
        <w:r w:rsidRPr="00FB3EC4">
          <w:rPr>
            <w:rStyle w:val="Hyperlink"/>
          </w:rPr>
          <w:t>http://www.springer.com/lncs</w:t>
        </w:r>
      </w:hyperlink>
      <w:r>
        <w:t>, last accessed 2016/11/21.</w:t>
      </w:r>
    </w:p>
    <w:sectPr w:rsidR="00E974C7" w:rsidRPr="00606587" w:rsidSect="009F7FCE">
      <w:headerReference w:type="even" r:id="rId10"/>
      <w:headerReference w:type="default" r:id="rId1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E50BBE4" w14:textId="77777777" w:rsidR="0026372B" w:rsidRDefault="0026372B">
      <w:r>
        <w:separator/>
      </w:r>
    </w:p>
  </w:endnote>
  <w:endnote w:type="continuationSeparator" w:id="0">
    <w:p w14:paraId="26160CD3" w14:textId="77777777" w:rsidR="0026372B" w:rsidRDefault="0026372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1F96C0AC" w14:textId="77777777" w:rsidR="0026372B" w:rsidRDefault="0026372B" w:rsidP="009F7FCE">
      <w:pPr>
        <w:ind w:firstLine="0"/>
      </w:pPr>
      <w:r>
        <w:separator/>
      </w:r>
    </w:p>
  </w:footnote>
  <w:footnote w:type="continuationSeparator" w:id="0">
    <w:p w14:paraId="08F07084" w14:textId="77777777" w:rsidR="0026372B" w:rsidRDefault="0026372B"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9C32216"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2E285FB"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209532517">
    <w:abstractNumId w:val="0"/>
  </w:num>
  <w:num w:numId="2" w16cid:durableId="1726102628">
    <w:abstractNumId w:val="0"/>
  </w:num>
  <w:num w:numId="3" w16cid:durableId="1342273881">
    <w:abstractNumId w:val="1"/>
  </w:num>
  <w:num w:numId="4" w16cid:durableId="913785077">
    <w:abstractNumId w:val="1"/>
  </w:num>
  <w:num w:numId="5" w16cid:durableId="875315457">
    <w:abstractNumId w:val="3"/>
  </w:num>
  <w:num w:numId="6" w16cid:durableId="1638338844">
    <w:abstractNumId w:val="3"/>
  </w:num>
  <w:num w:numId="7" w16cid:durableId="1170296232">
    <w:abstractNumId w:val="2"/>
  </w:num>
  <w:num w:numId="8" w16cid:durableId="2000038459">
    <w:abstractNumId w:val="4"/>
  </w:num>
  <w:num w:numId="9" w16cid:durableId="696857461">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21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140B7E"/>
    <w:rsid w:val="00157A78"/>
    <w:rsid w:val="001624C0"/>
    <w:rsid w:val="001A02F0"/>
    <w:rsid w:val="0026372B"/>
    <w:rsid w:val="002D48C5"/>
    <w:rsid w:val="002F36EA"/>
    <w:rsid w:val="00372506"/>
    <w:rsid w:val="00396F0F"/>
    <w:rsid w:val="00717170"/>
    <w:rsid w:val="00804AA0"/>
    <w:rsid w:val="00826B44"/>
    <w:rsid w:val="008F2D4C"/>
    <w:rsid w:val="0097583C"/>
    <w:rsid w:val="00986245"/>
    <w:rsid w:val="009930E4"/>
    <w:rsid w:val="009B2539"/>
    <w:rsid w:val="009C25A6"/>
    <w:rsid w:val="009F24EC"/>
    <w:rsid w:val="009F7FCE"/>
    <w:rsid w:val="00B23481"/>
    <w:rsid w:val="00BB642A"/>
    <w:rsid w:val="00BF7C58"/>
    <w:rsid w:val="00C97615"/>
    <w:rsid w:val="00CC1912"/>
    <w:rsid w:val="00D14690"/>
    <w:rsid w:val="00D802E9"/>
    <w:rsid w:val="00DC2CA9"/>
    <w:rsid w:val="00DD1AC1"/>
    <w:rsid w:val="00E4520A"/>
    <w:rsid w:val="00E603C7"/>
    <w:rsid w:val="00E974C7"/>
    <w:rsid w:val="00F321B4"/>
    <w:rsid w:val="00F9225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7E71231"/>
  <w15:docId w15:val="{7DF900F3-5D05-46FD-8438-984FCC75D7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semiHidden/>
    <w:rsid w:val="009C25A6"/>
    <w:rPr>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mcds>
    <wne:mcd wne:macroName="LN_DOCUMENT.SPLNPROCMACROS.RESTOREPAGESETUP" wne:name="LN_Document.SpLNProcMacros.RestorePageSetup" wne:bEncrypt="00" wne:cmg="56"/>
    <wne:mcd wne:macroName="LN_DOCUMENT.SPLNPROCMACROS.CHECKENSURESTYLES" wne:name="LN_Documen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836888">
      <w:bodyDiv w:val="1"/>
      <w:marLeft w:val="0"/>
      <w:marRight w:val="0"/>
      <w:marTop w:val="0"/>
      <w:marBottom w:val="0"/>
      <w:divBdr>
        <w:top w:val="none" w:sz="0" w:space="0" w:color="auto"/>
        <w:left w:val="none" w:sz="0" w:space="0" w:color="auto"/>
        <w:bottom w:val="none" w:sz="0" w:space="0" w:color="auto"/>
        <w:right w:val="none" w:sz="0" w:space="0" w:color="auto"/>
      </w:divBdr>
      <w:divsChild>
        <w:div w:id="938787">
          <w:marLeft w:val="0"/>
          <w:marRight w:val="0"/>
          <w:marTop w:val="0"/>
          <w:marBottom w:val="0"/>
          <w:divBdr>
            <w:top w:val="single" w:sz="2" w:space="0" w:color="auto"/>
            <w:left w:val="single" w:sz="2" w:space="4" w:color="auto"/>
            <w:bottom w:val="single" w:sz="2" w:space="0" w:color="auto"/>
            <w:right w:val="single" w:sz="2" w:space="4" w:color="auto"/>
          </w:divBdr>
        </w:div>
        <w:div w:id="108621273">
          <w:marLeft w:val="0"/>
          <w:marRight w:val="0"/>
          <w:marTop w:val="0"/>
          <w:marBottom w:val="0"/>
          <w:divBdr>
            <w:top w:val="single" w:sz="2" w:space="0" w:color="auto"/>
            <w:left w:val="single" w:sz="2" w:space="4" w:color="auto"/>
            <w:bottom w:val="single" w:sz="2" w:space="0" w:color="auto"/>
            <w:right w:val="single" w:sz="2" w:space="4" w:color="auto"/>
          </w:divBdr>
        </w:div>
        <w:div w:id="390925394">
          <w:marLeft w:val="0"/>
          <w:marRight w:val="0"/>
          <w:marTop w:val="0"/>
          <w:marBottom w:val="0"/>
          <w:divBdr>
            <w:top w:val="single" w:sz="2" w:space="0" w:color="auto"/>
            <w:left w:val="single" w:sz="2" w:space="4" w:color="auto"/>
            <w:bottom w:val="single" w:sz="2" w:space="0" w:color="auto"/>
            <w:right w:val="single" w:sz="2" w:space="4" w:color="auto"/>
          </w:divBdr>
        </w:div>
        <w:div w:id="732704812">
          <w:marLeft w:val="0"/>
          <w:marRight w:val="0"/>
          <w:marTop w:val="0"/>
          <w:marBottom w:val="0"/>
          <w:divBdr>
            <w:top w:val="single" w:sz="2" w:space="0" w:color="auto"/>
            <w:left w:val="single" w:sz="2" w:space="4" w:color="auto"/>
            <w:bottom w:val="single" w:sz="2" w:space="0" w:color="auto"/>
            <w:right w:val="single" w:sz="2" w:space="4" w:color="auto"/>
          </w:divBdr>
        </w:div>
        <w:div w:id="908617087">
          <w:marLeft w:val="0"/>
          <w:marRight w:val="0"/>
          <w:marTop w:val="0"/>
          <w:marBottom w:val="0"/>
          <w:divBdr>
            <w:top w:val="single" w:sz="2" w:space="0" w:color="auto"/>
            <w:left w:val="single" w:sz="2" w:space="4" w:color="auto"/>
            <w:bottom w:val="single" w:sz="2" w:space="0" w:color="auto"/>
            <w:right w:val="single" w:sz="2" w:space="4" w:color="auto"/>
          </w:divBdr>
        </w:div>
        <w:div w:id="1336809639">
          <w:marLeft w:val="0"/>
          <w:marRight w:val="0"/>
          <w:marTop w:val="0"/>
          <w:marBottom w:val="0"/>
          <w:divBdr>
            <w:top w:val="single" w:sz="2" w:space="0" w:color="auto"/>
            <w:left w:val="single" w:sz="2" w:space="4" w:color="auto"/>
            <w:bottom w:val="single" w:sz="2" w:space="0" w:color="auto"/>
            <w:right w:val="single" w:sz="2" w:space="4" w:color="auto"/>
          </w:divBdr>
        </w:div>
      </w:divsChild>
    </w:div>
    <w:div w:id="620839745">
      <w:bodyDiv w:val="1"/>
      <w:marLeft w:val="0"/>
      <w:marRight w:val="0"/>
      <w:marTop w:val="0"/>
      <w:marBottom w:val="0"/>
      <w:divBdr>
        <w:top w:val="none" w:sz="0" w:space="0" w:color="auto"/>
        <w:left w:val="none" w:sz="0" w:space="0" w:color="auto"/>
        <w:bottom w:val="none" w:sz="0" w:space="0" w:color="auto"/>
        <w:right w:val="none" w:sz="0" w:space="0" w:color="auto"/>
      </w:divBdr>
    </w:div>
    <w:div w:id="663051560">
      <w:bodyDiv w:val="1"/>
      <w:marLeft w:val="0"/>
      <w:marRight w:val="0"/>
      <w:marTop w:val="0"/>
      <w:marBottom w:val="0"/>
      <w:divBdr>
        <w:top w:val="none" w:sz="0" w:space="0" w:color="auto"/>
        <w:left w:val="none" w:sz="0" w:space="0" w:color="auto"/>
        <w:bottom w:val="none" w:sz="0" w:space="0" w:color="auto"/>
        <w:right w:val="none" w:sz="0" w:space="0" w:color="auto"/>
      </w:divBdr>
    </w:div>
    <w:div w:id="870458627">
      <w:bodyDiv w:val="1"/>
      <w:marLeft w:val="0"/>
      <w:marRight w:val="0"/>
      <w:marTop w:val="0"/>
      <w:marBottom w:val="0"/>
      <w:divBdr>
        <w:top w:val="none" w:sz="0" w:space="0" w:color="auto"/>
        <w:left w:val="none" w:sz="0" w:space="0" w:color="auto"/>
        <w:bottom w:val="none" w:sz="0" w:space="0" w:color="auto"/>
        <w:right w:val="none" w:sz="0" w:space="0" w:color="auto"/>
      </w:divBdr>
    </w:div>
    <w:div w:id="984312625">
      <w:bodyDiv w:val="1"/>
      <w:marLeft w:val="0"/>
      <w:marRight w:val="0"/>
      <w:marTop w:val="0"/>
      <w:marBottom w:val="0"/>
      <w:divBdr>
        <w:top w:val="none" w:sz="0" w:space="0" w:color="auto"/>
        <w:left w:val="none" w:sz="0" w:space="0" w:color="auto"/>
        <w:bottom w:val="none" w:sz="0" w:space="0" w:color="auto"/>
        <w:right w:val="none" w:sz="0" w:space="0" w:color="auto"/>
      </w:divBdr>
    </w:div>
    <w:div w:id="1214317688">
      <w:bodyDiv w:val="1"/>
      <w:marLeft w:val="0"/>
      <w:marRight w:val="0"/>
      <w:marTop w:val="0"/>
      <w:marBottom w:val="0"/>
      <w:divBdr>
        <w:top w:val="none" w:sz="0" w:space="0" w:color="auto"/>
        <w:left w:val="none" w:sz="0" w:space="0" w:color="auto"/>
        <w:bottom w:val="none" w:sz="0" w:space="0" w:color="auto"/>
        <w:right w:val="none" w:sz="0" w:space="0" w:color="auto"/>
      </w:divBdr>
    </w:div>
    <w:div w:id="1485199676">
      <w:bodyDiv w:val="1"/>
      <w:marLeft w:val="0"/>
      <w:marRight w:val="0"/>
      <w:marTop w:val="0"/>
      <w:marBottom w:val="0"/>
      <w:divBdr>
        <w:top w:val="none" w:sz="0" w:space="0" w:color="auto"/>
        <w:left w:val="none" w:sz="0" w:space="0" w:color="auto"/>
        <w:bottom w:val="none" w:sz="0" w:space="0" w:color="auto"/>
        <w:right w:val="none" w:sz="0" w:space="0" w:color="auto"/>
      </w:divBdr>
      <w:divsChild>
        <w:div w:id="198394786">
          <w:marLeft w:val="0"/>
          <w:marRight w:val="0"/>
          <w:marTop w:val="0"/>
          <w:marBottom w:val="0"/>
          <w:divBdr>
            <w:top w:val="single" w:sz="2" w:space="0" w:color="auto"/>
            <w:left w:val="single" w:sz="2" w:space="4" w:color="auto"/>
            <w:bottom w:val="single" w:sz="2" w:space="0" w:color="auto"/>
            <w:right w:val="single" w:sz="2" w:space="4" w:color="auto"/>
          </w:divBdr>
        </w:div>
        <w:div w:id="228417752">
          <w:marLeft w:val="0"/>
          <w:marRight w:val="0"/>
          <w:marTop w:val="0"/>
          <w:marBottom w:val="0"/>
          <w:divBdr>
            <w:top w:val="single" w:sz="2" w:space="0" w:color="auto"/>
            <w:left w:val="single" w:sz="2" w:space="4" w:color="auto"/>
            <w:bottom w:val="single" w:sz="2" w:space="0" w:color="auto"/>
            <w:right w:val="single" w:sz="2" w:space="4" w:color="auto"/>
          </w:divBdr>
        </w:div>
        <w:div w:id="1022054377">
          <w:marLeft w:val="0"/>
          <w:marRight w:val="0"/>
          <w:marTop w:val="0"/>
          <w:marBottom w:val="0"/>
          <w:divBdr>
            <w:top w:val="single" w:sz="2" w:space="0" w:color="auto"/>
            <w:left w:val="single" w:sz="2" w:space="4" w:color="auto"/>
            <w:bottom w:val="single" w:sz="2" w:space="0" w:color="auto"/>
            <w:right w:val="single" w:sz="2" w:space="4" w:color="auto"/>
          </w:divBdr>
        </w:div>
        <w:div w:id="1042510496">
          <w:marLeft w:val="0"/>
          <w:marRight w:val="0"/>
          <w:marTop w:val="0"/>
          <w:marBottom w:val="0"/>
          <w:divBdr>
            <w:top w:val="single" w:sz="2" w:space="0" w:color="auto"/>
            <w:left w:val="single" w:sz="2" w:space="4" w:color="auto"/>
            <w:bottom w:val="single" w:sz="2" w:space="0" w:color="auto"/>
            <w:right w:val="single" w:sz="2" w:space="4" w:color="auto"/>
          </w:divBdr>
        </w:div>
        <w:div w:id="1087077343">
          <w:marLeft w:val="0"/>
          <w:marRight w:val="0"/>
          <w:marTop w:val="0"/>
          <w:marBottom w:val="0"/>
          <w:divBdr>
            <w:top w:val="single" w:sz="2" w:space="0" w:color="auto"/>
            <w:left w:val="single" w:sz="2" w:space="4" w:color="auto"/>
            <w:bottom w:val="single" w:sz="2" w:space="0" w:color="auto"/>
            <w:right w:val="single" w:sz="2" w:space="4" w:color="auto"/>
          </w:divBdr>
        </w:div>
        <w:div w:id="2001108872">
          <w:marLeft w:val="0"/>
          <w:marRight w:val="0"/>
          <w:marTop w:val="0"/>
          <w:marBottom w:val="0"/>
          <w:divBdr>
            <w:top w:val="single" w:sz="2" w:space="0" w:color="auto"/>
            <w:left w:val="single" w:sz="2" w:space="4" w:color="auto"/>
            <w:bottom w:val="single" w:sz="2" w:space="0" w:color="auto"/>
            <w:right w:val="single" w:sz="2" w:space="4" w:color="auto"/>
          </w:divBdr>
        </w:div>
      </w:divsChild>
    </w:div>
    <w:div w:id="1696688395">
      <w:bodyDiv w:val="1"/>
      <w:marLeft w:val="0"/>
      <w:marRight w:val="0"/>
      <w:marTop w:val="0"/>
      <w:marBottom w:val="0"/>
      <w:divBdr>
        <w:top w:val="none" w:sz="0" w:space="0" w:color="auto"/>
        <w:left w:val="none" w:sz="0" w:space="0" w:color="auto"/>
        <w:bottom w:val="none" w:sz="0" w:space="0" w:color="auto"/>
        <w:right w:val="none" w:sz="0" w:space="0" w:color="auto"/>
      </w:divBdr>
    </w:div>
    <w:div w:id="1900824236">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chart" Target="charts/chart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http://www.springer.com/lncs"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FFFC-47A7-BD54-60051E0C404C}"/>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FFFC-47A7-BD54-60051E0C404C}"/>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FFFC-47A7-BD54-60051E0C404C}"/>
            </c:ext>
          </c:extLst>
        </c:ser>
        <c:dLbls>
          <c:showLegendKey val="0"/>
          <c:showVal val="0"/>
          <c:showCatName val="0"/>
          <c:showSerName val="0"/>
          <c:showPercent val="0"/>
          <c:showBubbleSize val="0"/>
        </c:dLbls>
        <c:smooth val="0"/>
        <c:axId val="134235264"/>
        <c:axId val="134236800"/>
      </c:lineChart>
      <c:catAx>
        <c:axId val="134235264"/>
        <c:scaling>
          <c:orientation val="minMax"/>
        </c:scaling>
        <c:delete val="0"/>
        <c:axPos val="b"/>
        <c:numFmt formatCode="General" sourceLinked="1"/>
        <c:majorTickMark val="out"/>
        <c:minorTickMark val="none"/>
        <c:tickLblPos val="nextTo"/>
        <c:crossAx val="134236800"/>
        <c:crosses val="autoZero"/>
        <c:auto val="1"/>
        <c:lblAlgn val="ctr"/>
        <c:lblOffset val="100"/>
        <c:tickLblSkip val="5"/>
        <c:noMultiLvlLbl val="0"/>
      </c:catAx>
      <c:valAx>
        <c:axId val="134236800"/>
        <c:scaling>
          <c:orientation val="minMax"/>
        </c:scaling>
        <c:delete val="0"/>
        <c:axPos val="l"/>
        <c:majorGridlines>
          <c:spPr>
            <a:ln>
              <a:noFill/>
            </a:ln>
          </c:spPr>
        </c:majorGridlines>
        <c:numFmt formatCode="General" sourceLinked="1"/>
        <c:majorTickMark val="out"/>
        <c:minorTickMark val="none"/>
        <c:tickLblPos val="nextTo"/>
        <c:crossAx val="134235264"/>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2231</TotalTime>
  <Pages>7</Pages>
  <Words>1919</Words>
  <Characters>10939</Characters>
  <Application>Microsoft Office Word</Application>
  <DocSecurity>0</DocSecurity>
  <Lines>91</Lines>
  <Paragraphs>25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12833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Markus Richter</dc:creator>
  <cp:keywords/>
  <dc:description/>
  <cp:lastModifiedBy>KEZYA STEFFYN</cp:lastModifiedBy>
  <cp:revision>1</cp:revision>
  <dcterms:created xsi:type="dcterms:W3CDTF">2017-02-26T12:30:00Z</dcterms:created>
  <dcterms:modified xsi:type="dcterms:W3CDTF">2024-11-12T17:37:00Z</dcterms:modified>
</cp:coreProperties>
</file>