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79.png" ContentType="image/png"/>
  <Override PartName="/word/media/rId1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 (data from https://mli.gov.mb.ca/).</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178" w:name="references"/>
    <w:p>
      <w:pPr>
        <w:pStyle w:val="Heading2"/>
      </w:pPr>
      <w:r>
        <w:t xml:space="preserve">References</w:t>
      </w:r>
    </w:p>
    <w:bookmarkStart w:id="177" w:name="refs"/>
    <w:bookmarkStart w:id="65"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4">
        <w:r>
          <w:rPr>
            <w:rStyle w:val="InternetLink"/>
          </w:rPr>
          <w:t xml:space="preserve">10.1016/j.jenvman.2013.08.060</w:t>
        </w:r>
      </w:hyperlink>
      <w:r>
        <w:t xml:space="preserve">.</w:t>
      </w:r>
    </w:p>
    <w:bookmarkEnd w:id="65"/>
    <w:bookmarkStart w:id="67"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6">
        <w:r>
          <w:rPr>
            <w:rStyle w:val="InternetLink"/>
          </w:rPr>
          <w:t xml:space="preserve">10.1111/j.1475-2743.2009.00236.x</w:t>
        </w:r>
      </w:hyperlink>
      <w:r>
        <w:t xml:space="preserve">.</w:t>
      </w:r>
    </w:p>
    <w:bookmarkEnd w:id="67"/>
    <w:bookmarkStart w:id="69"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68">
        <w:r>
          <w:rPr>
            <w:rStyle w:val="InternetLink"/>
          </w:rPr>
          <w:t xml:space="preserve">10.1038/sdata.2018.214</w:t>
        </w:r>
      </w:hyperlink>
      <w:r>
        <w:t xml:space="preserve">.</w:t>
      </w:r>
    </w:p>
    <w:bookmarkEnd w:id="69"/>
    <w:bookmarkStart w:id="71"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0">
        <w:r>
          <w:rPr>
            <w:rStyle w:val="InternetLink"/>
          </w:rPr>
          <w:t xml:space="preserve">doi:10.1016/j.agee.2004.05.011</w:t>
        </w:r>
      </w:hyperlink>
      <w:r>
        <w:t xml:space="preserve">.</w:t>
      </w:r>
    </w:p>
    <w:bookmarkEnd w:id="71"/>
    <w:bookmarkStart w:id="73"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2">
        <w:r>
          <w:rPr>
            <w:rStyle w:val="InternetLink"/>
          </w:rPr>
          <w:t xml:space="preserve">10.1016/S0022-1694(01)00375-4</w:t>
        </w:r>
      </w:hyperlink>
      <w:r>
        <w:t xml:space="preserve">.</w:t>
      </w:r>
    </w:p>
    <w:bookmarkEnd w:id="73"/>
    <w:bookmarkStart w:id="75"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4">
        <w:r>
          <w:rPr>
            <w:rStyle w:val="InternetLink"/>
          </w:rPr>
          <w:t xml:space="preserve">10.1016/j.rama.2018.04.013</w:t>
        </w:r>
      </w:hyperlink>
      <w:r>
        <w:t xml:space="preserve">.</w:t>
      </w:r>
    </w:p>
    <w:bookmarkEnd w:id="75"/>
    <w:bookmarkStart w:id="77"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6">
        <w:r>
          <w:rPr>
            <w:rStyle w:val="InternetLink"/>
          </w:rPr>
          <w:t xml:space="preserve">10.2134/jeq2018.08.0307</w:t>
        </w:r>
      </w:hyperlink>
      <w:r>
        <w:t xml:space="preserve">.</w:t>
      </w:r>
    </w:p>
    <w:bookmarkEnd w:id="77"/>
    <w:bookmarkStart w:id="79"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78">
        <w:r>
          <w:rPr>
            <w:rStyle w:val="InternetLink"/>
          </w:rPr>
          <w:t xml:space="preserve">10.1016/j.agee.2015.06.012</w:t>
        </w:r>
      </w:hyperlink>
      <w:r>
        <w:t xml:space="preserve">.</w:t>
      </w:r>
    </w:p>
    <w:bookmarkEnd w:id="79"/>
    <w:bookmarkStart w:id="81"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0">
        <w:r>
          <w:rPr>
            <w:rStyle w:val="InternetLink"/>
          </w:rPr>
          <w:t xml:space="preserve">10.1016/j.agee.2020.106891</w:t>
        </w:r>
      </w:hyperlink>
      <w:r>
        <w:t xml:space="preserve">.</w:t>
      </w:r>
    </w:p>
    <w:bookmarkEnd w:id="81"/>
    <w:bookmarkStart w:id="83"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2">
        <w:r>
          <w:rPr>
            <w:rStyle w:val="InternetLink"/>
          </w:rPr>
          <w:t xml:space="preserve">10.1002/nafm.10224</w:t>
        </w:r>
      </w:hyperlink>
      <w:r>
        <w:t xml:space="preserve">.</w:t>
      </w:r>
    </w:p>
    <w:bookmarkEnd w:id="83"/>
    <w:bookmarkStart w:id="85"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4">
        <w:r>
          <w:rPr>
            <w:rStyle w:val="InternetLink"/>
          </w:rPr>
          <w:t xml:space="preserve">10.13031/2013.31033</w:t>
        </w:r>
      </w:hyperlink>
      <w:r>
        <w:t xml:space="preserve">.</w:t>
      </w:r>
    </w:p>
    <w:bookmarkEnd w:id="85"/>
    <w:bookmarkStart w:id="87"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6">
        <w:r>
          <w:rPr>
            <w:rStyle w:val="InternetLink"/>
          </w:rPr>
          <w:t xml:space="preserve">10.1139/cjss-2021-0028</w:t>
        </w:r>
      </w:hyperlink>
      <w:r>
        <w:t xml:space="preserve">.</w:t>
      </w:r>
    </w:p>
    <w:bookmarkEnd w:id="87"/>
    <w:bookmarkStart w:id="89"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88">
        <w:r>
          <w:rPr>
            <w:rStyle w:val="InternetLink"/>
          </w:rPr>
          <w:t xml:space="preserve">10.1016/j.agee.2006.03.029</w:t>
        </w:r>
      </w:hyperlink>
      <w:r>
        <w:t xml:space="preserve">.</w:t>
      </w:r>
    </w:p>
    <w:bookmarkEnd w:id="89"/>
    <w:bookmarkStart w:id="91"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0">
        <w:r>
          <w:rPr>
            <w:rStyle w:val="InternetLink"/>
          </w:rPr>
          <w:t xml:space="preserve">10.4141/cjss2012-050</w:t>
        </w:r>
      </w:hyperlink>
      <w:r>
        <w:t xml:space="preserve">.</w:t>
      </w:r>
    </w:p>
    <w:bookmarkEnd w:id="91"/>
    <w:bookmarkStart w:id="93" w:name="X8cec5fd8bc2ece12f5c0d2c19db91628ec2af3b"/>
    <w:p>
      <w:pPr>
        <w:pStyle w:val="Bibliography"/>
      </w:pPr>
      <w:r>
        <w:t xml:space="preserve">Environment, and Climate Change Canada. 2024. Canadian Climate Normals.</w:t>
      </w:r>
      <w:r>
        <w:t xml:space="preserve"> </w:t>
      </w:r>
      <w:hyperlink r:id="rId92">
        <w:r>
          <w:rPr>
            <w:rStyle w:val="InternetLink"/>
          </w:rPr>
          <w:t xml:space="preserve">https://climate.weather.gc.ca/climate_normals/index_e.html</w:t>
        </w:r>
      </w:hyperlink>
      <w:r>
        <w:t xml:space="preserve">.</w:t>
      </w:r>
    </w:p>
    <w:bookmarkEnd w:id="93"/>
    <w:bookmarkStart w:id="94" w:name="ref-fitch2003"/>
    <w:p>
      <w:pPr>
        <w:pStyle w:val="Bibliography"/>
      </w:pPr>
      <w:r>
        <w:t xml:space="preserve">Fitch, L., B. Adams, and K. O’Shaughnessy. 2003. Caring for the green zone: Riparian areas and grazing management. 3rd ed. Cows; Fish Program, Lethbridge, Alberta.</w:t>
      </w:r>
    </w:p>
    <w:bookmarkEnd w:id="94"/>
    <w:bookmarkStart w:id="96"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5">
        <w:r>
          <w:rPr>
            <w:rStyle w:val="InternetLink"/>
          </w:rPr>
          <w:t xml:space="preserve">10.3390/w12113070</w:t>
        </w:r>
      </w:hyperlink>
      <w:r>
        <w:t xml:space="preserve">.</w:t>
      </w:r>
    </w:p>
    <w:bookmarkEnd w:id="96"/>
    <w:bookmarkStart w:id="98"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7">
        <w:r>
          <w:rPr>
            <w:rStyle w:val="InternetLink"/>
          </w:rPr>
          <w:t xml:space="preserve">10.2489/jswc.74.6.571</w:t>
        </w:r>
      </w:hyperlink>
      <w:r>
        <w:t xml:space="preserve">.</w:t>
      </w:r>
    </w:p>
    <w:bookmarkEnd w:id="98"/>
    <w:bookmarkStart w:id="100" w:name="ref-gregory1991"/>
    <w:p>
      <w:pPr>
        <w:pStyle w:val="Bibliography"/>
      </w:pPr>
      <w:r>
        <w:t xml:space="preserve">Gregory, S.V., F.J. Swanson, W.A. McKee, and K.W. Cummins. 1991. An ecosystem perspective of riparian zones. BioScience 41(8): 540551. doi:</w:t>
      </w:r>
      <w:r>
        <w:t xml:space="preserve"> </w:t>
      </w:r>
      <w:hyperlink r:id="rId99">
        <w:r>
          <w:rPr>
            <w:rStyle w:val="InternetLink"/>
          </w:rPr>
          <w:t xml:space="preserve">10.2307/1311607</w:t>
        </w:r>
      </w:hyperlink>
      <w:r>
        <w:t xml:space="preserve">.</w:t>
      </w:r>
    </w:p>
    <w:bookmarkEnd w:id="100"/>
    <w:bookmarkStart w:id="102"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1">
        <w:r>
          <w:rPr>
            <w:rStyle w:val="InternetLink"/>
          </w:rPr>
          <w:t xml:space="preserve">10.2134/jeq2018.04.0129</w:t>
        </w:r>
      </w:hyperlink>
      <w:r>
        <w:t xml:space="preserve">.</w:t>
      </w:r>
    </w:p>
    <w:bookmarkEnd w:id="102"/>
    <w:bookmarkStart w:id="104"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3">
        <w:r>
          <w:rPr>
            <w:rStyle w:val="InternetLink"/>
          </w:rPr>
          <w:t xml:space="preserve">10.1007/s11356-017-9406-6</w:t>
        </w:r>
      </w:hyperlink>
      <w:r>
        <w:t xml:space="preserve">.</w:t>
      </w:r>
    </w:p>
    <w:bookmarkEnd w:id="104"/>
    <w:bookmarkStart w:id="106"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5">
        <w:r>
          <w:rPr>
            <w:rStyle w:val="InternetLink"/>
          </w:rPr>
          <w:t xml:space="preserve">10.1016/j.geoderma.2013.09.019</w:t>
        </w:r>
      </w:hyperlink>
      <w:r>
        <w:t xml:space="preserve">.</w:t>
      </w:r>
    </w:p>
    <w:bookmarkEnd w:id="106"/>
    <w:bookmarkStart w:id="108"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7">
        <w:r>
          <w:rPr>
            <w:rStyle w:val="InternetLink"/>
          </w:rPr>
          <w:t xml:space="preserve">10.1016/j.agee.2018.10.016</w:t>
        </w:r>
      </w:hyperlink>
      <w:r>
        <w:t xml:space="preserve">.</w:t>
      </w:r>
    </w:p>
    <w:bookmarkEnd w:id="108"/>
    <w:bookmarkStart w:id="110"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09">
        <w:r>
          <w:rPr>
            <w:rStyle w:val="InternetLink"/>
          </w:rPr>
          <w:t xml:space="preserve">10.2134/jeq2018.01.0042</w:t>
        </w:r>
      </w:hyperlink>
      <w:r>
        <w:t xml:space="preserve">.</w:t>
      </w:r>
    </w:p>
    <w:bookmarkEnd w:id="110"/>
    <w:bookmarkStart w:id="112"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1">
        <w:r>
          <w:rPr>
            <w:rStyle w:val="InternetLink"/>
          </w:rPr>
          <w:t xml:space="preserve">10.1007/s10705-007-9088-4</w:t>
        </w:r>
      </w:hyperlink>
      <w:r>
        <w:t xml:space="preserve">.</w:t>
      </w:r>
    </w:p>
    <w:bookmarkEnd w:id="112"/>
    <w:bookmarkStart w:id="114"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3">
        <w:r>
          <w:rPr>
            <w:rStyle w:val="InternetLink"/>
          </w:rPr>
          <w:t xml:space="preserve">10.1016/j.ecoleng.2018.11.024</w:t>
        </w:r>
      </w:hyperlink>
      <w:r>
        <w:t xml:space="preserve">.</w:t>
      </w:r>
    </w:p>
    <w:bookmarkEnd w:id="114"/>
    <w:bookmarkStart w:id="116"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5">
        <w:r>
          <w:rPr>
            <w:rStyle w:val="InternetLink"/>
          </w:rPr>
          <w:t xml:space="preserve">10.1139/er-2017-0077</w:t>
        </w:r>
      </w:hyperlink>
      <w:r>
        <w:t xml:space="preserve">.</w:t>
      </w:r>
    </w:p>
    <w:bookmarkEnd w:id="116"/>
    <w:bookmarkStart w:id="118"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7">
        <w:r>
          <w:rPr>
            <w:rStyle w:val="InternetLink"/>
          </w:rPr>
          <w:t xml:space="preserve">10.1002/jwmg.21984</w:t>
        </w:r>
      </w:hyperlink>
      <w:r>
        <w:t xml:space="preserve">.</w:t>
      </w:r>
    </w:p>
    <w:bookmarkEnd w:id="118"/>
    <w:bookmarkStart w:id="120"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19">
        <w:r>
          <w:rPr>
            <w:rStyle w:val="InternetLink"/>
          </w:rPr>
          <w:t xml:space="preserve">10.1002/nafm.10863</w:t>
        </w:r>
      </w:hyperlink>
      <w:r>
        <w:t xml:space="preserve">.</w:t>
      </w:r>
    </w:p>
    <w:bookmarkEnd w:id="120"/>
    <w:bookmarkStart w:id="122"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1">
        <w:r>
          <w:rPr>
            <w:rStyle w:val="InternetLink"/>
          </w:rPr>
          <w:t xml:space="preserve">10.1051/agro:2005001</w:t>
        </w:r>
      </w:hyperlink>
      <w:r>
        <w:t xml:space="preserve">.</w:t>
      </w:r>
    </w:p>
    <w:bookmarkEnd w:id="122"/>
    <w:bookmarkStart w:id="124"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3">
        <w:r>
          <w:rPr>
            <w:rStyle w:val="InternetLink"/>
          </w:rPr>
          <w:t xml:space="preserve">10.2134/jeq2019.05.0220</w:t>
        </w:r>
      </w:hyperlink>
      <w:r>
        <w:t xml:space="preserve">.</w:t>
      </w:r>
    </w:p>
    <w:bookmarkEnd w:id="124"/>
    <w:bookmarkStart w:id="126"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5">
        <w:r>
          <w:rPr>
            <w:rStyle w:val="InternetLink"/>
          </w:rPr>
          <w:t xml:space="preserve">10.2134/jeq2019.03.0119</w:t>
        </w:r>
      </w:hyperlink>
      <w:r>
        <w:t xml:space="preserve">.</w:t>
      </w:r>
    </w:p>
    <w:bookmarkEnd w:id="126"/>
    <w:bookmarkStart w:id="128"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7">
        <w:r>
          <w:rPr>
            <w:rStyle w:val="InternetLink"/>
          </w:rPr>
          <w:t xml:space="preserve">10.1080/07011784.2017.1331140</w:t>
        </w:r>
      </w:hyperlink>
      <w:r>
        <w:t xml:space="preserve">.</w:t>
      </w:r>
    </w:p>
    <w:bookmarkEnd w:id="128"/>
    <w:bookmarkStart w:id="130"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29">
        <w:r>
          <w:rPr>
            <w:rStyle w:val="InternetLink"/>
          </w:rPr>
          <w:t xml:space="preserve">10.1007/s10531-008-9332-5</w:t>
        </w:r>
      </w:hyperlink>
      <w:r>
        <w:t xml:space="preserve">.</w:t>
      </w:r>
    </w:p>
    <w:bookmarkEnd w:id="130"/>
    <w:bookmarkStart w:id="132"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1">
        <w:r>
          <w:rPr>
            <w:rStyle w:val="InternetLink"/>
          </w:rPr>
          <w:t xml:space="preserve">10.1016/j.jclepro.2021.128143</w:t>
        </w:r>
      </w:hyperlink>
      <w:r>
        <w:t xml:space="preserve">.</w:t>
      </w:r>
    </w:p>
    <w:bookmarkEnd w:id="132"/>
    <w:bookmarkStart w:id="134" w:name="ref-manitobaagriculture2023"/>
    <w:p>
      <w:pPr>
        <w:pStyle w:val="Bibliography"/>
      </w:pPr>
      <w:r>
        <w:t xml:space="preserve">Manitoba Agriculture. 2023. Manitoba agriculture weather program.</w:t>
      </w:r>
      <w:r>
        <w:t xml:space="preserve"> </w:t>
      </w:r>
      <w:hyperlink r:id="rId133">
        <w:r>
          <w:rPr>
            <w:rStyle w:val="InternetLink"/>
          </w:rPr>
          <w:t xml:space="preserve">https://www.gov.mb.ca/agriculture/weather/manitoba-ag-weather.html</w:t>
        </w:r>
      </w:hyperlink>
      <w:r>
        <w:t xml:space="preserve">.</w:t>
      </w:r>
    </w:p>
    <w:bookmarkEnd w:id="134"/>
    <w:bookmarkStart w:id="136" w:name="ref-manitobaagriculture2024"/>
    <w:p>
      <w:pPr>
        <w:pStyle w:val="Bibliography"/>
      </w:pPr>
      <w:r>
        <w:t xml:space="preserve">Manitoba Agriculture. 2024. Agriculture rotational grazing.</w:t>
      </w:r>
      <w:r>
        <w:t xml:space="preserve"> </w:t>
      </w:r>
      <w:hyperlink r:id="rId135">
        <w:r>
          <w:rPr>
            <w:rStyle w:val="InternetLink"/>
          </w:rPr>
          <w:t xml:space="preserve">https://www.gov.mb.ca/agriculture/</w:t>
        </w:r>
      </w:hyperlink>
      <w:r>
        <w:t xml:space="preserve">.</w:t>
      </w:r>
    </w:p>
    <w:bookmarkEnd w:id="136"/>
    <w:bookmarkStart w:id="138" w:name="ref-manitobabeefforageinitiatives2024"/>
    <w:p>
      <w:pPr>
        <w:pStyle w:val="Bibliography"/>
      </w:pPr>
      <w:r>
        <w:t xml:space="preserve">Manitoba Beef &amp; Forage Initiatives. 2024. MBFI farm stations.</w:t>
      </w:r>
      <w:r>
        <w:t xml:space="preserve"> </w:t>
      </w:r>
      <w:hyperlink r:id="rId137">
        <w:r>
          <w:rPr>
            <w:rStyle w:val="InternetLink"/>
          </w:rPr>
          <w:t xml:space="preserve">https://www.mbfi.ca/farm-station</w:t>
        </w:r>
      </w:hyperlink>
      <w:r>
        <w:t xml:space="preserve">.</w:t>
      </w:r>
    </w:p>
    <w:bookmarkEnd w:id="138"/>
    <w:bookmarkStart w:id="140"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39">
        <w:r>
          <w:rPr>
            <w:rStyle w:val="InternetLink"/>
          </w:rPr>
          <w:t xml:space="preserve">10.1007/s10021-003-0161-9</w:t>
        </w:r>
      </w:hyperlink>
      <w:r>
        <w:t xml:space="preserve">.</w:t>
      </w:r>
    </w:p>
    <w:bookmarkEnd w:id="140"/>
    <w:bookmarkStart w:id="142"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1">
        <w:r>
          <w:rPr>
            <w:rStyle w:val="InternetLink"/>
          </w:rPr>
          <w:t xml:space="preserve">10.1029/2010WR009341</w:t>
        </w:r>
      </w:hyperlink>
      <w:r>
        <w:t xml:space="preserve">.</w:t>
      </w:r>
    </w:p>
    <w:bookmarkEnd w:id="142"/>
    <w:bookmarkStart w:id="144" w:name="ref-montgomery1996"/>
    <w:p>
      <w:pPr>
        <w:pStyle w:val="Bibliography"/>
      </w:pPr>
      <w:r>
        <w:t xml:space="preserve">Montgomery, G. 1996.</w:t>
      </w:r>
      <w:r>
        <w:t xml:space="preserve"> </w:t>
      </w:r>
      <w:hyperlink r:id="rId143">
        <w:r>
          <w:rPr>
            <w:rStyle w:val="InternetLink"/>
          </w:rPr>
          <w:t xml:space="preserve">Riparian areas reservoirs of diversity</w:t>
        </w:r>
      </w:hyperlink>
      <w:r>
        <w:t xml:space="preserve">. Lincoln, Nebraska, USA.</w:t>
      </w:r>
    </w:p>
    <w:bookmarkEnd w:id="144"/>
    <w:bookmarkStart w:id="146"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5">
        <w:r>
          <w:rPr>
            <w:rStyle w:val="InternetLink"/>
          </w:rPr>
          <w:t xml:space="preserve">10.1016/S0003-2670(00)88444-5</w:t>
        </w:r>
      </w:hyperlink>
      <w:r>
        <w:t xml:space="preserve">.</w:t>
      </w:r>
    </w:p>
    <w:bookmarkEnd w:id="146"/>
    <w:bookmarkStart w:id="148"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7">
        <w:r>
          <w:rPr>
            <w:rStyle w:val="InternetLink"/>
          </w:rPr>
          <w:t xml:space="preserve">10.1016/j.jenvman.2023.117646</w:t>
        </w:r>
      </w:hyperlink>
      <w:r>
        <w:t xml:space="preserve">.</w:t>
      </w:r>
    </w:p>
    <w:bookmarkEnd w:id="148"/>
    <w:bookmarkStart w:id="150"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49">
        <w:r>
          <w:rPr>
            <w:rStyle w:val="InternetLink"/>
          </w:rPr>
          <w:t xml:space="preserve">10.1111/j.1475-2743.2007.00121.x</w:t>
        </w:r>
      </w:hyperlink>
      <w:r>
        <w:t xml:space="preserve">.</w:t>
      </w:r>
    </w:p>
    <w:bookmarkEnd w:id="150"/>
    <w:bookmarkStart w:id="152" w:name="ref-podolsky1993"/>
    <w:p>
      <w:pPr>
        <w:pStyle w:val="Bibliography"/>
      </w:pPr>
      <w:r>
        <w:t xml:space="preserve">Podolsky, G.P., and D. Schindler. 1993.</w:t>
      </w:r>
      <w:r>
        <w:t xml:space="preserve"> </w:t>
      </w:r>
      <w:hyperlink r:id="rId151">
        <w:r>
          <w:rPr>
            <w:rStyle w:val="InternetLink"/>
          </w:rPr>
          <w:t xml:space="preserve">Soils of the manitoba zero tillage research association farm</w:t>
        </w:r>
      </w:hyperlink>
      <w:r>
        <w:t xml:space="preserve">. Winnipeg, Manitoba.</w:t>
      </w:r>
    </w:p>
    <w:bookmarkEnd w:id="152"/>
    <w:bookmarkStart w:id="154"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3">
        <w:r>
          <w:rPr>
            <w:rStyle w:val="InternetLink"/>
          </w:rPr>
          <w:t xml:space="preserve">https://www.frontiersin.org/article/10.3389/feart.2018.00135</w:t>
        </w:r>
      </w:hyperlink>
      <w:r>
        <w:t xml:space="preserve">.</w:t>
      </w:r>
    </w:p>
    <w:bookmarkEnd w:id="154"/>
    <w:bookmarkStart w:id="156"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5">
        <w:r>
          <w:rPr>
            <w:rStyle w:val="InternetLink"/>
          </w:rPr>
          <w:t xml:space="preserve">10.2134/jeq2006.0169</w:t>
        </w:r>
      </w:hyperlink>
      <w:r>
        <w:t xml:space="preserve">.</w:t>
      </w:r>
    </w:p>
    <w:bookmarkEnd w:id="156"/>
    <w:bookmarkStart w:id="158"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7">
        <w:r>
          <w:rPr>
            <w:rStyle w:val="InternetLink"/>
          </w:rPr>
          <w:t xml:space="preserve">10.2134/jeq2010.0543</w:t>
        </w:r>
      </w:hyperlink>
      <w:r>
        <w:t xml:space="preserve">.</w:t>
      </w:r>
    </w:p>
    <w:bookmarkEnd w:id="158"/>
    <w:bookmarkStart w:id="160"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59">
        <w:r>
          <w:rPr>
            <w:rStyle w:val="InternetLink"/>
          </w:rPr>
          <w:t xml:space="preserve">10.1016/j.jglr.2012.04.003</w:t>
        </w:r>
      </w:hyperlink>
      <w:r>
        <w:t xml:space="preserve">.</w:t>
      </w:r>
    </w:p>
    <w:bookmarkEnd w:id="160"/>
    <w:bookmarkStart w:id="161" w:name="ref-sharpley"/>
    <w:p>
      <w:pPr>
        <w:pStyle w:val="Bibliography"/>
      </w:pPr>
      <w:r>
        <w:t xml:space="preserve">Sharpley, A.N., P.J.A. Kleinman, and J.L. Weld. 2006. Environmental soil phosphorus indices. In: Carter, M.R. and Gregorich, E.G., editors. 2nd ed. CRC Press, Boca Raton, FL, U.S.A</w:t>
      </w:r>
    </w:p>
    <w:bookmarkEnd w:id="161"/>
    <w:bookmarkStart w:id="163" w:name="ref-stanley2002"/>
    <w:p>
      <w:pPr>
        <w:pStyle w:val="Bibliography"/>
      </w:pPr>
      <w:r>
        <w:t xml:space="preserve">Stanley, T.R., and F.L. Knopf. 2002. Avian Responses to Late-Season Grazing in a Shrub-Willow Floodplain. Conservation Biology 16(1): 225–231. doi:</w:t>
      </w:r>
      <w:r>
        <w:t xml:space="preserve"> </w:t>
      </w:r>
      <w:hyperlink r:id="rId162">
        <w:r>
          <w:rPr>
            <w:rStyle w:val="InternetLink"/>
          </w:rPr>
          <w:t xml:space="preserve">10.1046/j.1523-1739.2002.00269.x</w:t>
        </w:r>
      </w:hyperlink>
      <w:r>
        <w:t xml:space="preserve">.</w:t>
      </w:r>
    </w:p>
    <w:bookmarkEnd w:id="163"/>
    <w:bookmarkStart w:id="165"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4">
        <w:r>
          <w:rPr>
            <w:rStyle w:val="InternetLink"/>
          </w:rPr>
          <w:t xml:space="preserve">10.1007/s10750-012-1002-7</w:t>
        </w:r>
      </w:hyperlink>
      <w:r>
        <w:t xml:space="preserve">.</w:t>
      </w:r>
    </w:p>
    <w:bookmarkEnd w:id="165"/>
    <w:bookmarkStart w:id="167"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6">
        <w:r>
          <w:rPr>
            <w:rStyle w:val="InternetLink"/>
          </w:rPr>
          <w:t xml:space="preserve">10.3390/soilsystems4040066</w:t>
        </w:r>
      </w:hyperlink>
      <w:r>
        <w:t xml:space="preserve">.</w:t>
      </w:r>
    </w:p>
    <w:bookmarkEnd w:id="167"/>
    <w:bookmarkStart w:id="168"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68"/>
    <w:bookmarkStart w:id="170"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69">
        <w:r>
          <w:rPr>
            <w:rStyle w:val="InternetLink"/>
          </w:rPr>
          <w:t xml:space="preserve">10.1007/s40725-023-00209-x</w:t>
        </w:r>
      </w:hyperlink>
      <w:r>
        <w:t xml:space="preserve">.</w:t>
      </w:r>
    </w:p>
    <w:bookmarkEnd w:id="170"/>
    <w:bookmarkStart w:id="172"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1">
        <w:r>
          <w:rPr>
            <w:rStyle w:val="InternetLink"/>
          </w:rPr>
          <w:t xml:space="preserve">10.1111/j.1752-1688.2010.00420.x</w:t>
        </w:r>
      </w:hyperlink>
      <w:r>
        <w:t xml:space="preserve">.</w:t>
      </w:r>
    </w:p>
    <w:bookmarkEnd w:id="172"/>
    <w:bookmarkStart w:id="174"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3">
        <w:r>
          <w:rPr>
            <w:rStyle w:val="InternetLink"/>
          </w:rPr>
          <w:t xml:space="preserve">10.2134/jeq2006.0422</w:t>
        </w:r>
      </w:hyperlink>
      <w:r>
        <w:t xml:space="preserve">.</w:t>
      </w:r>
    </w:p>
    <w:bookmarkEnd w:id="174"/>
    <w:bookmarkStart w:id="176"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5">
        <w:r>
          <w:rPr>
            <w:rStyle w:val="InternetLink"/>
          </w:rPr>
          <w:t xml:space="preserve">10.1016/j.ecoleng.2018.10.020</w:t>
        </w:r>
      </w:hyperlink>
      <w:r>
        <w:t xml:space="preserve">.</w:t>
      </w:r>
    </w:p>
    <w:bookmarkEnd w:id="176"/>
    <w:bookmarkEnd w:id="177"/>
    <w:bookmarkEnd w:id="178"/>
    <w:bookmarkStart w:id="187"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2" w:name="suppfig-weather-plot"/>
          <w:p>
            <w:pPr>
              <w:pStyle w:val="Compact"/>
              <w:jc w:val="center"/>
            </w:pPr>
            <w:r>
              <w:drawing>
                <wp:inline>
                  <wp:extent cx="5943600" cy="4245428"/>
                  <wp:effectExtent b="0" l="0" r="0" t="0"/>
                  <wp:docPr descr="" title="" id="180" name="Picture"/>
                  <a:graphic>
                    <a:graphicData uri="http://schemas.openxmlformats.org/drawingml/2006/picture">
                      <pic:pic>
                        <pic:nvPicPr>
                          <pic:cNvPr descr="supp-weather-plot-1.png" id="181" name="Picture"/>
                          <pic:cNvPicPr>
                            <a:picLocks noChangeArrowheads="1" noChangeAspect="1"/>
                          </pic:cNvPicPr>
                        </pic:nvPicPr>
                        <pic:blipFill>
                          <a:blip r:embed="rId179"/>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2"/>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6" w:name="suppfig-bd-plot"/>
          <w:p>
            <w:pPr>
              <w:pStyle w:val="Compact"/>
              <w:jc w:val="center"/>
            </w:pPr>
            <w:r>
              <w:drawing>
                <wp:inline>
                  <wp:extent cx="5943600" cy="4245428"/>
                  <wp:effectExtent b="0" l="0" r="0" t="0"/>
                  <wp:docPr descr="" title="" id="184" name="Picture"/>
                  <a:graphic>
                    <a:graphicData uri="http://schemas.openxmlformats.org/drawingml/2006/picture">
                      <pic:pic>
                        <pic:nvPicPr>
                          <pic:cNvPr descr="supp-weights-bd-1.png" id="185" name="Picture"/>
                          <pic:cNvPicPr>
                            <a:picLocks noChangeArrowheads="1" noChangeAspect="1"/>
                          </pic:cNvPicPr>
                        </pic:nvPicPr>
                        <pic:blipFill>
                          <a:blip r:embed="rId18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6"/>
        </w:tc>
      </w:tr>
    </w:tbl>
    <w:bookmarkEnd w:id="18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2024-03-13T22:45:58Z</dcterms:created>
  <dcterms:modified xsi:type="dcterms:W3CDTF">2024-03-13T22:45:58Z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2024-03-13</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During the spring snowmelt riparian areas can be a source of phosphorus to the water instead of removing it. This happens because the freezing and thawing of the ground and vegetation releases more phosphorus. To see if we can reduce the loss of phosphorus we looked at different sources of phosphorus in riparian areas including plants, dead vegetation, and soil. The top layer of soil was the biggest source of phosphorus, followed by the plants. Two intensities of cattle grazing, along with mowing, were tested as ways of managing the riparain areas. Both cattle grazing and mowing in the fall before winter helped reduce the amount of plant-based phosphorus without increasing the amount of phosphorus in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