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2.png" ContentType="image/png"/>
  <Override PartName="/word/media/rId202.png" ContentType="image/png"/>
  <Override PartName="/word/media/rId40.png" ContentType="image/png"/>
  <Override PartName="/word/media/rId47.png" ContentType="image/png"/>
  <Override PartName="/word/media/rId52.png" ContentType="image/png"/>
  <Override PartName="/word/media/rId59.png" ContentType="image/png"/>
  <Override PartName="/word/media/rId33.png" ContentType="image/png"/>
  <Override PartName="/word/media/rId23.png" ContentType="image/png"/>
  <Override PartName="/word/media/rId218.png" ContentType="image/png"/>
  <Override PartName="/word/media/rId206.png" ContentType="image/png"/>
  <Override PartName="/word/media/rId210.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Water-Extractable Phosphorus Sources</w:t>
      </w:r>
    </w:p>
    <w:p>
      <w:pPr>
        <w:pStyle w:val="Author"/>
      </w:pPr>
      <w:r>
        <w:t xml:space="preserve">Alexander J Koiter</w:t>
      </w:r>
    </w:p>
    <w:p>
      <w:pPr>
        <w:pStyle w:val="Author"/>
      </w:pPr>
      <w:r>
        <w:t xml:space="preserve">Tamaragh Y Malone</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areal density of WEP in riparian biomass</w:t>
      </w:r>
    </w:p>
    <w:p>
      <w:pPr>
        <w:pStyle w:val="Compact"/>
        <w:numPr>
          <w:ilvl w:val="0"/>
          <w:numId w:val="1001"/>
        </w:numPr>
      </w:pPr>
      <w:r>
        <w:t xml:space="preserve">There were no measurable changes in the areal density/concentration of WEP in the litter, organic layer, or Ah horizon post grazing</w:t>
      </w:r>
    </w:p>
    <w:p>
      <w:pPr>
        <w:pStyle w:val="Compact"/>
        <w:numPr>
          <w:ilvl w:val="0"/>
          <w:numId w:val="1001"/>
        </w:numPr>
      </w:pPr>
      <w:r>
        <w:t xml:space="preserve">Large spatial variability in areal density/concentration of WEP exists in riparian areas</w:t>
      </w:r>
    </w:p>
    <w:p>
      <w:pPr>
        <w:pStyle w:val="FirstParagraph"/>
      </w:pPr>
      <w:r>
        <w:rPr>
          <w:b/>
          <w:bCs/>
        </w:rPr>
        <w:t xml:space="preserve">Effects of Riparian Grazing on Distinct Water-Extractable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short-term autumn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bookmarkEnd w:id="20"/>
    <w:bookmarkStart w:id="21" w:name="introduction"/>
    <w:p>
      <w:pPr>
        <w:pStyle w:val="Heading2"/>
      </w:pPr>
      <w:r>
        <w:t xml:space="preserve">1 Introduction</w:t>
      </w:r>
    </w:p>
    <w:p>
      <w:pPr>
        <w:pStyle w:val="FirstParagraph"/>
      </w:pPr>
      <w:r>
        <w:t xml:space="preserve">The increasing frequency and extent of algal blooms is typically linked to increased nutrient loading into lake and rivers. Phosphorus (P) loading is particularly concerning as this is generally the limiting nutrient in freshwater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adsorption,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hydrograph (rapid rise and fall in discharge)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from soil and vegetation to the surrounding environment</w:t>
      </w:r>
      <w:r>
        <w:t xml:space="preserve"> </w:t>
      </w:r>
      <w:r>
        <w:t xml:space="preserve">(</w:t>
      </w:r>
      <w:hyperlink w:anchor="ref-roberts2012">
        <w:r>
          <w:rPr>
            <w:rStyle w:val="InternetLink"/>
          </w:rPr>
          <w:t xml:space="preserve">Roberts et al., 2012</w:t>
        </w:r>
      </w:hyperlink>
      <w:r>
        <w:t xml:space="preserve">)</w:t>
      </w:r>
      <w:r>
        <w:t xml:space="preserve">. As soil P concentration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during the spring snow melt, due to both to a longer period of soil-water contact and an increased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mass of P leached out of the dead vegetation and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Repeated freeze-thaw cycles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to prevent loss to water bodies. Unlike nitrogen (N), which can be significantly lost to the atmosphere through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when not taken up by plants, P is generally only lost through runoff or leaching. Harvesting and removing of biomass from the riparian area for use as forage can be a practice to remove P. Mechanized biomass harvesting may be impractical or unsafe due to steep gradients, wet soil, and other obstacles like trees; however, livestock grazing in riparian areas (riparian pastures) is common in the Canadian Prairies due to the abundance of forage, particularly during drought. Livestock exclusion from riparian areas has been suggested as a best management practice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strategies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(within the first three years) residues; 3) partially to well-decomposed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in the mass and composition of biomass and litter as well as soil properties including organic matter content and horizon thickness. A better understanding of the spatial variability and relative contributions of the different sources of P is is helpful in building a more complete representation of riparian processes and function.</w:t>
      </w:r>
    </w:p>
    <w:p>
      <w:pPr>
        <w:pStyle w:val="TextBody"/>
      </w:pPr>
      <w:r>
        <w:t xml:space="preserve">Given the timing and processes of P dynamics within riparian areas in cold climates, like the Canadian Prairies, reducing the near-surface concentration of soluble P prior to spring snowmelt could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WEP and investigate how it changes following cattle grazing or mowing treatments. In addition to a control, the three treatments included grazing, high-density grazing, and mowing. Each treatment, including a control, was replicated in riparian areas surrounding four prairie potholes (wetlands). Samples of biomass, litter, organic layer, and Ah horizon, were collected in three locations both pre- and post-treatment. A workflow diagram showing the experimental setup, field work, sample preparation, and laboratory analysis can be found in</w:t>
      </w:r>
      <w:r>
        <w:t xml:space="preserve"> </w:t>
      </w:r>
      <w:hyperlink w:anchor="suppfig-workflow-plot">
        <w:r>
          <w:rPr>
            <w:rStyle w:val="InternetLink"/>
          </w:rPr>
          <w:t xml:space="preserve">Figure S1</w:t>
        </w:r>
      </w:hyperlink>
      <w:r>
        <w:t xml:space="preserve">.</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predominantly agricultural land use, including annual crops (grains and oil seeds) and grazing/forage. MBFI is a 260-hectare (ha) research and demonstration farm with a mix of pasture, hay, and forage/silage cropland. Prior to the establishment of MBFI the site was part of the Manitoba Zero Tillage Research Association farm (1993-2014) where annual crops, including oil seeds and grains, were grown.</w:t>
      </w:r>
    </w:p>
    <w:p>
      <w:pPr>
        <w:pStyle w:val="TextBody"/>
      </w:pPr>
      <w:r>
        <w:t xml:space="preserve">There are also numerous small permanent and ephemeral wetlands (potholes) and associated riparian areas which account for approximately 35% of the total farmland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w:t>
      </w:r>
      <w:r>
        <w:t xml:space="preserve"> </w:t>
      </w:r>
      <w:r>
        <w:t xml:space="preserve">(</w:t>
      </w:r>
      <w:hyperlink w:anchor="ref-podolsky1993">
        <w:r>
          <w:rPr>
            <w:rStyle w:val="InternetLink"/>
          </w:rPr>
          <w:t xml:space="preserve">Podolsky and Schindler, 1993</w:t>
        </w:r>
      </w:hyperlink>
      <w:r>
        <w:t xml:space="preserve">)</w:t>
      </w:r>
      <w:r>
        <w:t xml:space="preserve">. The surface texture class of the riparian soil is a clay loam and pH values range from 7.1 to 8.3 with a mean of 7.6. Generally the surface soil profiles surrounding theses prairie potholes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In the riparian areas used as part of this study the average depth of the organic layer was found to be approximately 1 cm for the upper and middle sampling locations and 2 cm for the lower sampling location. The Ah horizon was more than 10 cm deep at all sampling locations.</w:t>
      </w:r>
    </w:p>
    <w:p>
      <w:pPr>
        <w:pStyle w:val="TextBody"/>
      </w:pPr>
      <w:r>
        <w:t xml:space="preserve">Vegetation was assessed using the foliar cover method for each plot within each of the four riparian areas. There was considerable variability among riparian areas, plots, and sampling locations (upper, midle,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subdivided into four approximately 450</w:t>
      </w:r>
      <w:r>
        <w:t xml:space="preserve"> </w:t>
      </w:r>
      <m:oMath>
        <m:sSup>
          <m:e>
            <m:r>
              <m:t>m</m:t>
            </m:r>
          </m:e>
          <m:sup>
            <m:r>
              <m:t>2</m:t>
            </m:r>
          </m:sup>
        </m:sSup>
      </m:oMath>
      <w:r>
        <w:t xml:space="preserve"> </w:t>
      </w:r>
      <w:r>
        <w:t xml:space="preserve">plots. Within each riparian area, each plot was randomly assigned to a treatment or control. The experimental groups (i.e., treatments) were 1) control, 2) graze, 3) high-density graze, and 4) mow and harvest. The grazing treatments consisted of a single five-hour grazing period, with the grazing treatment having 3.1-3.5 animal units per plot and the high-density grazing having 11.75-12 animal units. These stocking densities were used to approximate a typical rotational grazing and a mob grazing approach. The grazed plots were fenced on all four sides, including the edge of the waterbody and provided with supplemental water. The cattle grazing treatments occurred over four consecutive days where each day the graze and high-density graze treatments were completed at a given riparian area. The cattle were transported between the riparian areas by trailer and were placed in a holding area while not grazing the experimental plots. For the mowing treatment, the vegetation was cut to a height of 10cm, and the vegetation was manually raked out of the plot. Treatments were applied early to mid-September, before the first frost, in three consecutive years (2019-2021) (</w:t>
      </w:r>
      <w:hyperlink w:anchor="suppfig-weather-plot">
        <w:r>
          <w:rPr>
            <w:rStyle w:val="InternetLink"/>
          </w:rPr>
          <w:t xml:space="preserve">Figure S3</w:t>
        </w:r>
      </w:hyperlink>
      <w:r>
        <w:t xml:space="preserve">). Within each plot three distinctive sampling locations, or topographic positions, were established, adjacent to the edge of the waterbody (lower), adjacent to the field/pasture (upper), and at the mid-point (middle). Samples were collected at each sampling location 1-3 days before and 1-3 days after treatment (including the control) to assess the impact of grazing and mowing. Before and after samples were collected at immediately adjacent locations.</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(1 – 2 cm deep)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infer soil P release into runoff water. Dried and homogenized samples were extracted by shaking (150 RPM) with deionized water for one hour at a mass-to-volume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w:t>
      </w:r>
      <m:oMath>
        <m:r>
          <m:t>m</m:t>
        </m:r>
        <m:r>
          <m:t>g</m:t>
        </m:r>
        <m:r>
          <m:t> </m:t>
        </m:r>
        <m:r>
          <m:t>k</m:t>
        </m:r>
        <m:sSup>
          <m:e>
            <m:r>
              <m:t>g</m:t>
            </m:r>
          </m:e>
          <m:sup>
            <m:r>
              <m:rPr>
                <m:sty m:val="p"/>
              </m:rPr>
              <m:t>−</m:t>
            </m:r>
            <m:r>
              <m:t>1</m:t>
            </m:r>
          </m:sup>
        </m:sSup>
      </m:oMath>
      <w:r>
        <w:t xml:space="preserve">) was calculated for all sources of P. In addition, the areal density of WEP was calculated for biomass and litter by combining WEP concentration with the mass of material collected from the quadrat. The vertical profile of WEP within the riparian area assessed from samples collected before treatments were implemented across the 3-year study. For comparison, an approximate estimation of areal density WEP in the organic layer and Ah was calculated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were undertaken using the R Statistical Software (v4.4.1;</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Four Linear Mixed Models (R package</w:t>
      </w:r>
      <w:r>
        <w:t xml:space="preserve"> </w:t>
      </w:r>
      <w:r>
        <w:rPr>
          <w:rStyle w:val="VerbatimChar"/>
        </w:rPr>
        <w:t xml:space="preserve">glmmTMB</w:t>
      </w:r>
      <w:r>
        <w:t xml:space="preserve"> </w:t>
      </w:r>
      <w:r>
        <w:t xml:space="preserve">v1.1.10;</w:t>
      </w:r>
      <w:r>
        <w:t xml:space="preserve"> </w:t>
      </w:r>
      <w:r>
        <w:t xml:space="preserve">Brooks et al. (</w:t>
      </w:r>
      <w:hyperlink w:anchor="ref-brooks2017">
        <w:r>
          <w:rPr>
            <w:rStyle w:val="InternetLink"/>
          </w:rPr>
          <w:t xml:space="preserve">2017</w:t>
        </w:r>
      </w:hyperlink>
      <w:r>
        <w:t xml:space="preserve">)</w:t>
      </w:r>
      <w:r>
        <w:t xml:space="preserve">) were used to investigate the effect of treatment and riparian sampling location (including interaction) on the numeric difference in WEP measurements taken before and after treatment for each of the four distinct sources of P (areal densities for biomass and litter; concentrations for organic matter and Ah). Year and riparian area were included as crossed random factors to control for the variability within years and riparian areas.</w:t>
      </w:r>
    </w:p>
    <w:p>
      <w:pPr>
        <w:pStyle w:val="TextBody"/>
      </w:pPr>
      <w:r>
        <w:t xml:space="preserve">Additionally, when investigating the net change in biomass WEP the initial biomass WEP (before applying the treatment) was included in the model as a covariate. This controls for the fact that the magnitude of the difference in biomass measurements taken before and after treatment is directly related to the mass of WEP initially available. By controlling for this, the model indicates which treatments resulted in a relatively greater change in biomass, rather than simply absolute change.</w:t>
      </w:r>
    </w:p>
    <w:p>
      <w:pPr>
        <w:pStyle w:val="TextBody"/>
      </w:pPr>
      <w:r>
        <w:t xml:space="preserve">The interaction between treatment and riparian sampling location was removed if non-significant (p &lt; 0.05). When a main effect or interaction was significant, post-hoc pairwise comparisons with a Benjamini-Hochberg p-value adjustment were performed (p &lt;0.05). When a main effect or interaction was significant, post-hoc pairwise comparisons with a Benjamini-Hochberg p-value adjustment was used (</w:t>
      </w:r>
      <w:r>
        <w:rPr>
          <w:rStyle w:val="VerbatimChar"/>
        </w:rPr>
        <w:t xml:space="preserve">emmeans</w:t>
      </w:r>
      <w:r>
        <w:t xml:space="preserve"> </w:t>
      </w:r>
      <w:r>
        <w:t xml:space="preserve">v1.10.5;</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v0.4.6;</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v0.12.4;</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v3.1.3;</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were 1) no difference in the net WEP among treatments or riparian sampling locations and 2) no interactions between these two factors.</w:t>
      </w:r>
    </w:p>
    <w:p>
      <w:pPr>
        <w:pStyle w:val="TextBody"/>
      </w:pPr>
      <w:r>
        <w:t xml:space="preserve">Pearson correlations were performed to explore relations in WEP concentrations among the four unique P sources for each of the three topographic positions using samples collected before the application of the treatments. These relations were visualized using a scatterplot matrix created using the</w:t>
      </w:r>
      <w:r>
        <w:t xml:space="preserve"> </w:t>
      </w:r>
      <w:r>
        <w:rPr>
          <w:rStyle w:val="VerbatimChar"/>
        </w:rPr>
        <w:t xml:space="preserve">GGally</w:t>
      </w:r>
      <w:r>
        <w:t xml:space="preserve"> </w:t>
      </w:r>
      <w:r>
        <w:t xml:space="preserve">R package (v2.2.1;</w:t>
      </w:r>
      <w:r>
        <w:t xml:space="preserve"> </w:t>
      </w:r>
      <w:r>
        <w:t xml:space="preserve">Schloerke et al. (</w:t>
      </w:r>
      <w:hyperlink w:anchor="ref-Schloerke2024">
        <w:r>
          <w:rPr>
            <w:rStyle w:val="InternetLink"/>
          </w:rPr>
          <w:t xml:space="preserve">2024</w:t>
        </w:r>
      </w:hyperlink>
      <w:r>
        <w:t xml:space="preserve">)</w:t>
      </w:r>
      <w:r>
        <w:t xml:space="preserve"> </w:t>
      </w:r>
      <w:r>
        <w:t xml:space="preserve">)</w:t>
      </w:r>
    </w:p>
    <w:bookmarkEnd w:id="31"/>
    <w:bookmarkEnd w:id="32"/>
    <w:bookmarkStart w:id="67" w:name="results-and-discussion"/>
    <w:p>
      <w:pPr>
        <w:pStyle w:val="Heading2"/>
      </w:pPr>
      <w:r>
        <w:t xml:space="preserve">3 Results and Discussion</w:t>
      </w:r>
    </w:p>
    <w:bookmarkStart w:id="38" w:name="vertical-profiles-of-p"/>
    <w:p>
      <w:pPr>
        <w:pStyle w:val="Heading3"/>
      </w:pPr>
      <w:r>
        <w:t xml:space="preserve">3.1 Vertical profiles of P</w:t>
      </w:r>
    </w:p>
    <w:p>
      <w:pPr>
        <w:pStyle w:val="FirstParagraph"/>
      </w:pPr>
      <w:r>
        <w:t xml:space="preserve">The biomass, litter, organic layer, and Ah horizon sources of P demonstrated a strong vertical stratification in both the concentration and areal densities of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both were &lt;2.5</w:t>
      </w:r>
      <w:r>
        <w:t xml:space="preserve"> </w:t>
      </w:r>
      <m:oMath>
        <m:r>
          <m:t>m</m:t>
        </m:r>
        <m:r>
          <m:t>g</m:t>
        </m:r>
        <m:r>
          <m:t> </m:t>
        </m:r>
        <m:r>
          <m:t>k</m:t>
        </m:r>
        <m:sSup>
          <m:e>
            <m:r>
              <m:t>g</m:t>
            </m:r>
          </m:e>
          <m:sup>
            <m:r>
              <m:rPr>
                <m:sty m:val="p"/>
              </m:rPr>
              <m:t>−</m:t>
            </m:r>
            <m:r>
              <m:t>1</m:t>
            </m:r>
          </m:sup>
        </m:sSup>
      </m:oMath>
      <w:r>
        <w:t xml:space="preserve">.</w:t>
      </w:r>
    </w:p>
    <w:p>
      <w:pPr>
        <w:pStyle w:val="TextBody"/>
      </w:pPr>
      <w:r>
        <w:t xml:space="preserve">Overall, in terms of the areal density of WEP, the top 10 cm of the Ah horizon was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the litter (13.7</w:t>
      </w:r>
      <w:r>
        <w:t xml:space="preserve"> </w:t>
      </w:r>
      <m:oMath>
        <m:r>
          <m:t>m</m:t>
        </m:r>
        <m:r>
          <m:t>g</m:t>
        </m:r>
        <m:r>
          <m:t> </m:t>
        </m:r>
        <m:sSup>
          <m:e>
            <m:r>
              <m:t>m</m:t>
            </m:r>
          </m:e>
          <m:sup>
            <m:r>
              <m:rPr>
                <m:sty m:val="p"/>
              </m:rPr>
              <m:t>−</m:t>
            </m:r>
            <m:r>
              <m:t>2</m:t>
            </m:r>
          </m:sup>
        </m:sSup>
      </m:oMath>
      <w:r>
        <w:t xml:space="preserve">). It should be noted that these are only approximate estimates for the organic layer and Ah horizon because the values for depth and bulk density measured in 2023 were used in the calculations for all previous years. Nevertheless, the vertical profile of WEP in riparian areas (</w:t>
      </w:r>
      <w:hyperlink w:anchor="fig-vertical-wep">
        <w:r>
          <w:rPr>
            <w:rStyle w:val="InternetLink"/>
          </w:rPr>
          <w:t xml:space="preserve">Figure 2</w:t>
        </w:r>
      </w:hyperlink>
      <w:r>
        <w:t xml:space="preserve">) observed in this study supports the concept that a measure of P in soil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bookmarkEnd w:id="38"/>
    <w:bookmarkStart w:id="39" w:name="longitudinal-profiles-of-p"/>
    <w:p>
      <w:pPr>
        <w:pStyle w:val="Heading3"/>
      </w:pPr>
      <w:r>
        <w:t xml:space="preserve">3.2 Longitudinal profiles of P</w:t>
      </w:r>
    </w:p>
    <w:p>
      <w:pPr>
        <w:pStyle w:val="FirstParagraph"/>
      </w:pPr>
      <w:r>
        <w:t xml:space="preserve">Prior to grazing and mowing treatments, the median WEP concentrations were similar among the upper, mid, and lower positions for the biomass samples. There was a small topographic trend in the WEP concentration for both the Ah and organic litter P sources where the concentration decreased from the upper through to the lower sampling locations. The WEP concentrations in the Ah and organic layer were found to be significantly (p &lt; 0.001) and positively correlated (r</w:t>
      </w:r>
      <w:r>
        <w:rPr>
          <w:vertAlign w:val="superscript"/>
        </w:rPr>
        <w:t xml:space="preserve">2</w:t>
      </w:r>
      <w:r>
        <w:t xml:space="preserve"> </w:t>
      </w:r>
      <w:r>
        <w:t xml:space="preserve">= 0.40) (</w:t>
      </w:r>
      <w:hyperlink w:anchor="fig-vertical-wep">
        <w:r>
          <w:rPr>
            <w:rStyle w:val="InternetLink"/>
          </w:rPr>
          <w:t xml:space="preserve">Figure 2</w:t>
        </w:r>
      </w:hyperlink>
      <w:r>
        <w:t xml:space="preserve"> </w:t>
      </w:r>
      <w:r>
        <w:t xml:space="preserve">and</w:t>
      </w:r>
      <w:r>
        <w:t xml:space="preserve"> </w:t>
      </w:r>
      <w:hyperlink w:anchor="suppfig-pairs-plot">
        <w:r>
          <w:rPr>
            <w:rStyle w:val="InternetLink"/>
          </w:rPr>
          <w:t xml:space="preserve">Figure S5</w:t>
        </w:r>
      </w:hyperlink>
      <w:r>
        <w:t xml:space="preserve">). This topographic pattern is consistent with other studies and is likely due to the rapid physical and geochemical retention of upslope derived P within the first 5 m of the riparian area</w:t>
      </w:r>
      <w:r>
        <w:t xml:space="preserve"> </w:t>
      </w:r>
      <w:r>
        <w:t xml:space="preserve">(</w:t>
      </w:r>
      <w:hyperlink w:anchor="ref-syversen2005">
        <w:r>
          <w:rPr>
            <w:rStyle w:val="InternetLink"/>
          </w:rPr>
          <w:t xml:space="preserve">Syversen and Borch, 2005</w:t>
        </w:r>
      </w:hyperlink>
      <w:r>
        <w:t xml:space="preserve">)</w:t>
      </w:r>
      <w:r>
        <w:t xml:space="preserve">.The litter showed the opposite topographic trend with higher WEP concentrations in the lower sampling locations. There was a significant (p &lt; 0.001) positive correlation (r</w:t>
      </w:r>
      <w:r>
        <w:rPr>
          <w:vertAlign w:val="superscript"/>
        </w:rPr>
        <w:t xml:space="preserve">2</w:t>
      </w:r>
      <w:r>
        <w:t xml:space="preserve"> </w:t>
      </w:r>
      <w:r>
        <w:t xml:space="preserve">= 0.34)between the WEP concentration in the biomass and litter samples suggesting that biomass with a high WEP concentration produces litter with a high WEP concentration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There is some evidence that plants growing in P-rich environments can become enriched in P</w:t>
      </w:r>
      <w:r>
        <w:t xml:space="preserve"> </w:t>
      </w:r>
      <w:r>
        <w:t xml:space="preserve">(e.g.,</w:t>
      </w:r>
      <w:r>
        <w:t xml:space="preserve"> </w:t>
      </w:r>
      <w:hyperlink w:anchor="ref-kröger2007">
        <w:r>
          <w:rPr>
            <w:rStyle w:val="InternetLink"/>
          </w:rPr>
          <w:t xml:space="preserve">Kröger et al., 2007</w:t>
        </w:r>
      </w:hyperlink>
      <w:r>
        <w:t xml:space="preserve">)</w:t>
      </w:r>
      <w:r>
        <w:t xml:space="preserve">; however,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w:t>
      </w:r>
    </w:p>
    <w:p>
      <w:pPr>
        <w:pStyle w:val="TextBody"/>
      </w:pPr>
      <w:r>
        <w:t xml:space="preserve">For the biomass and litter sources, the lower riparian locations had greater areal densities of WEP whereas the organic and Ah sources had greater areal densities of WEP in the upper riparian locations. The longitudinal gradient of WEP showed an inverted symmetry where the biomass WEP was largest near the lower sampling location and the Ah soil WEP was largest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created conditions that favor high biomass production (</w:t>
      </w:r>
      <w:hyperlink w:anchor="suppfig-bd-plot">
        <w:r>
          <w:rPr>
            <w:rStyle w:val="InternetLink"/>
          </w:rPr>
          <w:t xml:space="preserve">Figure S4</w:t>
        </w:r>
      </w:hyperlink>
      <w:r>
        <w:t xml:space="preserve">) ) and higher WEP concentration (</w:t>
      </w:r>
      <w:hyperlink w:anchor="fig-vertical-wep">
        <w:r>
          <w:rPr>
            <w:rStyle w:val="InternetLink"/>
          </w:rPr>
          <w:t xml:space="preserve">Figure 2</w:t>
        </w:r>
      </w:hyperlink>
      <w:r>
        <w:t xml:space="preserve"> </w:t>
      </w:r>
      <w:r>
        <w:t xml:space="preserve">a). The higher bulk density was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as it helps to inform management decisions and target the largest sources of P</w:t>
      </w:r>
      <w:r>
        <w:t xml:space="preserve"> </w:t>
      </w:r>
      <w:r>
        <w:t xml:space="preserve">(</w:t>
      </w:r>
      <w:hyperlink w:anchor="ref-reid2018">
        <w:r>
          <w:rPr>
            <w:rStyle w:val="InternetLink"/>
          </w:rPr>
          <w:t xml:space="preserve">Reid et al., 2018</w:t>
        </w:r>
      </w:hyperlink>
      <w:r>
        <w:t xml:space="preserve">)</w:t>
      </w:r>
      <w:r>
        <w:t xml:space="preserve">.</w:t>
      </w:r>
    </w:p>
    <w:bookmarkEnd w:id="39"/>
    <w:bookmarkStart w:id="64" w:name="X4e9774125463934afc7fae8551e4ea6c29029a5"/>
    <w:p>
      <w:pPr>
        <w:pStyle w:val="Heading3"/>
      </w:pPr>
      <w:r>
        <w:t xml:space="preserve">3.3 Impacts of grazing and mowing on P sources</w:t>
      </w:r>
    </w:p>
    <w:p>
      <w:pPr>
        <w:pStyle w:val="FirstParagraph"/>
      </w:pPr>
      <w:r>
        <w:t xml:space="preserve">There was considerable variation across all treatments and riparian locations in all four P sources. This high variability in WEP areal density/concentration is best reflected in the control treatment where the expected difference was 0 (Figures 3 through 6), but WEP losses and gains were still observed despite no treatment being applied. . For example, the control plots had a median biomass WEP removal rate of 5.5</w:t>
      </w:r>
      <w:r>
        <w:t xml:space="preserve"> </w:t>
      </w:r>
      <m:oMath>
        <m:r>
          <m:t>m</m:t>
        </m:r>
        <m:r>
          <m:t>g</m:t>
        </m:r>
        <m:r>
          <m:t> </m:t>
        </m:r>
        <m:sSup>
          <m:e>
            <m:r>
              <m:t>m</m:t>
            </m:r>
          </m:e>
          <m:sup>
            <m:r>
              <m:rPr>
                <m:sty m:val="p"/>
              </m:rPr>
              <m:t>−</m:t>
            </m:r>
            <m:r>
              <m:t>2</m:t>
            </m:r>
          </m:sup>
        </m:sSup>
      </m:oMath>
      <w:r>
        <w:t xml:space="preserve"> </w:t>
      </w:r>
      <w:r>
        <w:t xml:space="preserve">(</w:t>
      </w:r>
      <w:hyperlink w:anchor="fig-vegetation-wep">
        <w:r>
          <w:rPr>
            <w:rStyle w:val="InternetLink"/>
          </w:rPr>
          <w:t xml:space="preserve">Figure 3</w:t>
        </w:r>
      </w:hyperlink>
      <w:r>
        <w:t xml:space="preserve"> </w:t>
      </w:r>
      <w:r>
        <w:t xml:space="preserve">a). However, despite this variability, several patterns demonstrating relationships among treatments and vertical and longitudinal P emerged.</w:t>
      </w:r>
    </w:p>
    <w:p>
      <w:pPr>
        <w:pStyle w:val="TextBody"/>
      </w:pPr>
      <w:r>
        <w:t xml:space="preserve">Results of the linear mixed model of areal density of biomass WEP show a significant effect of treatment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Post-hoc comparisons showed that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).The mowing and high-density grazing reduced the average WEP areal density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3" w:name="fig-vegetation-wep"/>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01_Biomass_analysis-fig-vegetation-wep-output-2.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3"/>
        </w:tc>
      </w:tr>
    </w:tbl>
    <w:p>
      <w:pPr>
        <w:pStyle w:val="TextBody"/>
      </w:pPr>
      <w:r>
        <w:rPr>
          <w:vertAlign w:val="subscript"/>
        </w:rPr>
        <w:t xml:space="preserve">Source:</w:t>
      </w:r>
      <w:r>
        <w:rPr>
          <w:vertAlign w:val="subscript"/>
        </w:rPr>
        <w:t xml:space="preserve"> </w:t>
      </w:r>
      <w:hyperlink r:id="rId44">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5"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5"/>
          <w:p/>
        </w:tc>
      </w:tr>
    </w:tbl>
    <w:p>
      <w:pPr>
        <w:pStyle w:val="TextBody"/>
      </w:pPr>
      <w:r>
        <w:rPr>
          <w:vertAlign w:val="subscript"/>
        </w:rPr>
        <w:t xml:space="preserve">Source:</w:t>
      </w:r>
      <w:r>
        <w:rPr>
          <w:vertAlign w:val="subscript"/>
        </w:rPr>
        <w:t xml:space="preserve"> </w:t>
      </w:r>
      <w:hyperlink r:id="rId46">
        <w:r>
          <w:rPr>
            <w:rStyle w:val="InternetLink"/>
            <w:vertAlign w:val="subscript"/>
          </w:rPr>
          <w:t xml:space="preserve">Riparian vegetation WEP in response to grazing</w:t>
        </w:r>
      </w:hyperlink>
    </w:p>
    <w:p>
      <w:pPr>
        <w:pStyle w:val="TextBody"/>
      </w:pPr>
      <w:r>
        <w:t xml:space="preserve">The model looking at areal density of litter WEP showed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w:t>
      </w:r>
      <w:hyperlink w:anchor="fig-litter-wep">
        <w:r>
          <w:rPr>
            <w:rStyle w:val="InternetLink"/>
          </w:rPr>
          <w:t xml:space="preserve">Figure 4</w:t>
        </w:r>
      </w:hyperlink>
      <w:r>
        <w:t xml:space="preserve">). ). In contrast, the model exploring WEP concentration in the organic layer detected no significant difference among riparian locations (X</w:t>
      </w:r>
      <w:r>
        <w:rPr>
          <w:vertAlign w:val="superscript"/>
        </w:rPr>
        <w:t xml:space="preserve">2</w:t>
      </w:r>
      <w:r>
        <w:t xml:space="preserve"> </w:t>
      </w:r>
      <w:r>
        <w:t xml:space="preserve">= 0.57, df = 2, p = 0.75) but did find a significant effect of treatment (X</w:t>
      </w:r>
      <w:r>
        <w:rPr>
          <w:vertAlign w:val="superscript"/>
        </w:rPr>
        <w:t xml:space="preserve">2</w:t>
      </w:r>
      <w:r>
        <w:t xml:space="preserve"> </w:t>
      </w:r>
      <w:r>
        <w:t xml:space="preserve">= 8.24, df = 3, p = 0.04). However, the post-hoc pairwise comparisons (</w:t>
      </w:r>
      <w:hyperlink w:anchor="tbl-organic-posthoc">
        <w:r>
          <w:rPr>
            <w:rStyle w:val="InternetLink"/>
          </w:rPr>
          <w:t xml:space="preserve">Table 2</w:t>
        </w:r>
      </w:hyperlink>
      <w:r>
        <w:t xml:space="preserve">) found no significant differences (p &lt; 0.05) among the treatments. Finally,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on the concentration of WEP in the Ah horizon (</w:t>
      </w:r>
      <w:hyperlink w:anchor="fig-soil-wep">
        <w:r>
          <w:rPr>
            <w:rStyle w:val="Internet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litter-wep"/>
          <w:p>
            <w:pPr>
              <w:pStyle w:val="Compact"/>
              <w:jc w:val="center"/>
            </w:pPr>
            <w:r>
              <w:drawing>
                <wp:inline>
                  <wp:extent cx="5943600" cy="4245428"/>
                  <wp:effectExtent b="0" l="0" r="0" t="0"/>
                  <wp:docPr descr="" title="" id="48" name="Picture"/>
                  <a:graphic>
                    <a:graphicData uri="http://schemas.openxmlformats.org/drawingml/2006/picture">
                      <pic:pic>
                        <pic:nvPicPr>
                          <pic:cNvPr descr="index_files/figure-docx/notebooks-02_Litter_analysis-fig-litter-wep-output-2.png" id="49"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50"/>
        </w:tc>
      </w:tr>
    </w:tbl>
    <w:p>
      <w:pPr>
        <w:pStyle w:val="TextBody"/>
      </w:pPr>
      <w:r>
        <w:rPr>
          <w:vertAlign w:val="subscript"/>
        </w:rPr>
        <w:t xml:space="preserve">Source:</w:t>
      </w:r>
      <w:r>
        <w:rPr>
          <w:vertAlign w:val="subscript"/>
        </w:rPr>
        <w:t xml:space="preserve"> </w:t>
      </w:r>
      <w:hyperlink r:id="rId51">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5" w:name="fig-organic-wep"/>
          <w:p>
            <w:pPr>
              <w:pStyle w:val="Compact"/>
              <w:jc w:val="center"/>
            </w:pPr>
            <w:r>
              <w:drawing>
                <wp:inline>
                  <wp:extent cx="5943600" cy="4245428"/>
                  <wp:effectExtent b="0" l="0" r="0" t="0"/>
                  <wp:docPr descr="" title="" id="53" name="Picture"/>
                  <a:graphic>
                    <a:graphicData uri="http://schemas.openxmlformats.org/drawingml/2006/picture">
                      <pic:pic>
                        <pic:nvPicPr>
                          <pic:cNvPr descr="index_files/figure-docx/notebooks-03_Soils_analysis-fig-organic-wep-output-1.png" id="54"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5"/>
        </w:tc>
      </w:tr>
    </w:tbl>
    <w:p>
      <w:pPr>
        <w:pStyle w:val="TextBody"/>
      </w:pPr>
      <w:r>
        <w:rPr>
          <w:vertAlign w:val="subscript"/>
        </w:rPr>
        <w:t xml:space="preserve">Source:</w:t>
      </w:r>
      <w:r>
        <w:rPr>
          <w:vertAlign w:val="subscript"/>
        </w:rPr>
        <w:t xml:space="preserve"> </w:t>
      </w:r>
      <w:hyperlink r:id="rId56">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7"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7"/>
          <w:p/>
        </w:tc>
      </w:tr>
    </w:tbl>
    <w:p>
      <w:pPr>
        <w:pStyle w:val="TextBody"/>
      </w:pPr>
      <w:r>
        <w:rPr>
          <w:vertAlign w:val="subscript"/>
        </w:rPr>
        <w:t xml:space="preserve">Source:</w:t>
      </w:r>
      <w:r>
        <w:rPr>
          <w:vertAlign w:val="subscript"/>
        </w:rPr>
        <w:t xml:space="preserve"> </w:t>
      </w:r>
      <w:hyperlink r:id="rId58">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2" w:name="fig-soil-wep"/>
          <w:p>
            <w:pPr>
              <w:pStyle w:val="Compact"/>
              <w:jc w:val="center"/>
            </w:pPr>
            <w:r>
              <w:drawing>
                <wp:inline>
                  <wp:extent cx="5943600" cy="4245428"/>
                  <wp:effectExtent b="0" l="0" r="0" t="0"/>
                  <wp:docPr descr="" title="" id="60" name="Picture"/>
                  <a:graphic>
                    <a:graphicData uri="http://schemas.openxmlformats.org/drawingml/2006/picture">
                      <pic:pic>
                        <pic:nvPicPr>
                          <pic:cNvPr descr="index_files/figure-docx/notebooks-03_Soils_analysis-fig-soil-wep-output-1.png" id="61"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2"/>
        </w:tc>
      </w:tr>
    </w:tbl>
    <w:p>
      <w:pPr>
        <w:pStyle w:val="TextBody"/>
      </w:pPr>
      <w:r>
        <w:rPr>
          <w:vertAlign w:val="subscript"/>
        </w:rPr>
        <w:t xml:space="preserve">Source:</w:t>
      </w:r>
      <w:r>
        <w:rPr>
          <w:vertAlign w:val="subscript"/>
        </w:rPr>
        <w:t xml:space="preserve"> </w:t>
      </w:r>
      <w:hyperlink r:id="rId63">
        <w:r>
          <w:rPr>
            <w:rStyle w:val="InternetLink"/>
            <w:vertAlign w:val="subscript"/>
          </w:rPr>
          <w:t xml:space="preserve">Riparian organic and mineral soil WEP in response to grazing</w:t>
        </w:r>
      </w:hyperlink>
    </w:p>
    <w:p>
      <w:pPr>
        <w:pStyle w:val="TextBody"/>
      </w:pPr>
      <w:r>
        <w:t xml:space="preserve">Taken together, these results suggest that short-term autumn high-density grazing may be a potential management tool that can reduce the mass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could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models did detect a significant effect of treatment on the organic layer WEP; however, the pairwise comparisons were not able to detect any significant differences and the exact nature of the impact of the treatments remains unclear.</w:t>
      </w:r>
    </w:p>
    <w:p>
      <w:pPr>
        <w:pStyle w:val="TextBody"/>
      </w:pPr>
      <w:r>
        <w:t xml:space="preserve">The ability to detect changes in the WEP sources in riparian areas is difficult due to spatial variability in both the pre- and post-grazing treatments. Even within the control plots, both net addition and removal of WEP were detected and in many cases the variability was similar to the other treatments. This inherent variability (i.e., pre-grazing) likely results from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4"/>
    <w:bookmarkStart w:id="65" w:name="X1b5212230c435d3040773ee5e8d3a31ac555935"/>
    <w:p>
      <w:pPr>
        <w:pStyle w:val="Heading3"/>
      </w:pPr>
      <w:r>
        <w:t xml:space="preserve">3.4 Sources of variability and uncertainty in P sources</w:t>
      </w:r>
    </w:p>
    <w:p>
      <w:pPr>
        <w:pStyle w:val="FirstParagraph"/>
      </w:pPr>
      <w:r>
        <w:t xml:space="preserve">The prairie pothole wetlands regularly experience high water levels in the early spring. Automated observations made with a water level logger adjacent to one plot between October 2020 and May 2021 showed that the lower, middle, and upper sampling points experienced inundation for approximately 21, 11, and zero days, respectively</w:t>
      </w:r>
      <w:r>
        <w:t xml:space="preserve"> </w:t>
      </w:r>
      <w:r>
        <w:t xml:space="preserve">(</w:t>
      </w:r>
      <w:hyperlink w:anchor="ref-noyes2024">
        <w:r>
          <w:rPr>
            <w:rStyle w:val="InternetLink"/>
          </w:rPr>
          <w:t xml:space="preserve">Noyes et al., 2024</w:t>
        </w:r>
      </w:hyperlink>
      <w:r>
        <w:t xml:space="preserve">)</w:t>
      </w:r>
      <w:r>
        <w:t xml:space="preserve">. The annual weather conditions and topography of riparian areas surrounding the wetlands will impact the length and extent of flooding. Prolonged contact with water has been shown to increase the mass of WEP lost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may also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would be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w:t>
      </w:r>
    </w:p>
    <w:p>
      <w:pPr>
        <w:pStyle w:val="TextBody"/>
      </w:pPr>
      <w:r>
        <w:t xml:space="preserve">The WEP protocol used for both soil and vegetation samples are not likely to capture redox-sensitive mobilized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However, temperature sensors placed at the soil surface adjacent to one plot recorded four freeze-thaw cycles between Oct 2020 and May 2021 and found that surface temperatures fluctuations are moderated in this region by the relatively persistent snowpack</w:t>
      </w:r>
      <w:r>
        <w:t xml:space="preserve"> </w:t>
      </w:r>
      <w:r>
        <w:t xml:space="preserve">(</w:t>
      </w:r>
      <w:hyperlink w:anchor="ref-noyes2024">
        <w:r>
          <w:rPr>
            <w:rStyle w:val="InternetLink"/>
          </w:rPr>
          <w:t xml:space="preserve">Noyes et al., 2024</w:t>
        </w:r>
      </w:hyperlink>
      <w:r>
        <w:t xml:space="preserve">)</w:t>
      </w:r>
      <w:r>
        <w:t xml:space="preserve">.), reducing the potential effects of freeze-thaw cycles on P release. However, both the prolonged contact with water and freeze-thaw cycles are not captured in the WEP protocols and may result in an underestimation of the potential for P loss from each of the four distinctive sources of P in riparian areas.</w:t>
      </w:r>
    </w:p>
    <w:p>
      <w:pPr>
        <w:pStyle w:val="TextBody"/>
      </w:pPr>
      <w:r>
        <w:t xml:space="preserve">In addition to climatic effects, there may be variability in P as a side effect of the study design. One source of variability could be from added urine and manure in grazed areas which likely created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However,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concentrations than P additions from cattle urine and manure.</w:t>
      </w:r>
    </w:p>
    <w:p>
      <w:pPr>
        <w:pStyle w:val="TextBody"/>
      </w:pPr>
      <w:r>
        <w:t xml:space="preserve">Another source of variability may have been from sampling. As there was significant variability among plots, the single 0.25</w:t>
      </w:r>
      <w:r>
        <w:t xml:space="preserve"> </w:t>
      </w:r>
      <m:oMath>
        <m:sSup>
          <m:e>
            <m:r>
              <m:t>m</m:t>
            </m:r>
          </m:e>
          <m:sup>
            <m:r>
              <m:t>2</m:t>
            </m:r>
          </m:sup>
        </m:sSup>
      </m:oMath>
      <w:r>
        <w:t xml:space="preserve"> </w:t>
      </w:r>
      <w:r>
        <w:t xml:space="preserve">sampling quadrat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5"/>
    <w:bookmarkStart w:id="66" w:name="management-implications"/>
    <w:p>
      <w:pPr>
        <w:pStyle w:val="Heading3"/>
      </w:pPr>
      <w:r>
        <w:t xml:space="preserve">3.5 Management implications</w:t>
      </w:r>
    </w:p>
    <w:p>
      <w:pPr>
        <w:pStyle w:val="FirstParagraph"/>
      </w:pPr>
      <w:r>
        <w:t xml:space="preserve">Autumn was selected for the mowing and grazing treatments for three reasons. The first was to reduce the mass of biomass P available that can contribute to the P loss during the spring snowmelt. Second, drier soil conditions reduce the extent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Grazing can negatively affect these species, but late-season grazing may reduce this potential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w:t>
      </w:r>
    </w:p>
    <w:p>
      <w:pPr>
        <w:pStyle w:val="TextBody"/>
      </w:pPr>
      <w:r>
        <w:t xml:space="preserve">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to the farm level would require virtual fencing or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 (to conduct short-term grazing), especially in prairie pothole region where there are numerous and small riparian areas</w:t>
      </w:r>
      <w:r>
        <w:t xml:space="preserve"> </w:t>
      </w:r>
      <w:r>
        <w:t xml:space="preserve">(</w:t>
      </w:r>
      <w:hyperlink w:anchor="ref-sovell2000">
        <w:r>
          <w:rPr>
            <w:rStyle w:val="InternetLink"/>
          </w:rPr>
          <w:t xml:space="preserve">Sovell et al., 2000</w:t>
        </w:r>
      </w:hyperlink>
      <w:r>
        <w:t xml:space="preserve">;</w:t>
      </w:r>
      <w:r>
        <w:t xml:space="preserve"> </w:t>
      </w:r>
      <w:hyperlink w:anchor="ref-hubbard2004">
        <w:r>
          <w:rPr>
            <w:rStyle w:val="InternetLink"/>
          </w:rPr>
          <w:t xml:space="preserve">Hubbard et al., 2004</w:t>
        </w:r>
      </w:hyperlink>
      <w:r>
        <w:t xml:space="preserve">;</w:t>
      </w:r>
      <w:r>
        <w:t xml:space="preserve"> </w:t>
      </w:r>
      <w:hyperlink w:anchor="ref-hulvey2021">
        <w:r>
          <w:rPr>
            <w:rStyle w:val="InternetLink"/>
          </w:rPr>
          <w:t xml:space="preserve">Hulvey et al., 2021</w:t>
        </w:r>
      </w:hyperlink>
      <w:r>
        <w:t xml:space="preserve">;</w:t>
      </w:r>
      <w:r>
        <w:t xml:space="preserve"> </w:t>
      </w:r>
      <w:hyperlink w:anchor="ref-manitobaagriculture2024">
        <w:r>
          <w:rPr>
            <w:rStyle w:val="InternetLink"/>
          </w:rPr>
          <w:t xml:space="preserve">Manitoba Agriculture, 2024</w:t>
        </w:r>
      </w:hyperlink>
      <w:r>
        <w:t xml:space="preserve">)</w:t>
      </w:r>
      <w:r>
        <w:t xml:space="preserve">.</w:t>
      </w:r>
    </w:p>
    <w:p>
      <w:pPr>
        <w:pStyle w:val="TextBody"/>
      </w:pPr>
      <w:r>
        <w:t xml:space="preserve">The long-term impacts of repeated grazing of riparian areas also need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Although this study generally considers environmental implications, forage management practices also have an agronomic effect which should be taken into consideration when developing best management practices</w:t>
      </w:r>
      <w:r>
        <w:t xml:space="preserve"> </w:t>
      </w:r>
      <w:r>
        <w:t xml:space="preserve">(</w:t>
      </w:r>
      <w:hyperlink w:anchor="ref-subedi2020">
        <w:r>
          <w:rPr>
            <w:rStyle w:val="InternetLink"/>
          </w:rPr>
          <w:t xml:space="preserve">Subedi et al., 2020</w:t>
        </w:r>
      </w:hyperlink>
      <w:r>
        <w:t xml:space="preserve">)</w:t>
      </w:r>
      <w:r>
        <w:t xml:space="preserve">.</w:t>
      </w:r>
    </w:p>
    <w:bookmarkEnd w:id="66"/>
    <w:bookmarkEnd w:id="67"/>
    <w:bookmarkStart w:id="68" w:name="conclusion"/>
    <w:p>
      <w:pPr>
        <w:pStyle w:val="Heading2"/>
      </w:pPr>
      <w:r>
        <w:t xml:space="preserve">4 Conclusion</w:t>
      </w:r>
    </w:p>
    <w:p>
      <w:pPr>
        <w:pStyle w:val="FirstParagraph"/>
      </w:pPr>
      <w:r>
        <w:t xml:space="preserve">Biomass and litter are significant sources of near-surface WEP in riparian areas that have been historically disregarded in studies. Management of the biomass prior to the onset of winter conditions in cold climates has the potential to reduce the mass of P directly lost during the spring snowmelt and maintain or enhance the nutrient buffering capacity. The results from this experiment demonstrated that short-term, high-density cattle grazing and mowing both resulted in a reduction in the mass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Additional work on riparian management strategies is needed to address the specific challenges posed by cold climates. In these regions, the runoff and nutrient losses occur predominately during the spring snowmelt period when the ability of riparian areas to trap and retain nutrients is diminished. Further, the repeated freeze-thaw cycles of the vegetation and soils increases the potential P losses during this key time. Continued research to identify, quantify, and manage these sources of P to improve water quality remains a priority. In addition to improving water quality, the development of riparian management strategies should prioritize the protection of other ecological goods and services and recognize these areas as an integral part of the farm.</w:t>
      </w:r>
    </w:p>
    <w:bookmarkEnd w:id="68"/>
    <w:bookmarkStart w:id="69"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9"/>
    <w:bookmarkStart w:id="71"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70">
        <w:r>
          <w:rPr>
            <w:rStyle w:val="InternetLink"/>
          </w:rPr>
          <w:t xml:space="preserve">https://github.com/alex-koiter/riparian-grazing-manuscript</w:t>
        </w:r>
      </w:hyperlink>
    </w:p>
    <w:bookmarkEnd w:id="71"/>
    <w:bookmarkStart w:id="72"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2"/>
    <w:bookmarkStart w:id="73" w:name="author-contributions"/>
    <w:p>
      <w:pPr>
        <w:pStyle w:val="Heading2"/>
      </w:pPr>
      <w:r>
        <w:t xml:space="preserve">Author contributions</w:t>
      </w:r>
    </w:p>
    <w:p>
      <w:pPr>
        <w:pStyle w:val="FirstParagraph"/>
      </w:pPr>
      <w:r>
        <w:rPr>
          <w:b/>
          <w:bCs/>
        </w:rPr>
        <w:t xml:space="preserve">A Koiter:</w:t>
      </w:r>
      <w:r>
        <w:t xml:space="preserve"> </w:t>
      </w:r>
      <w:r>
        <w:t xml:space="preserve">Conceptualization; Funding acquisition; Methodology (equal); Investigation (equal); Data curation (equal); Formal analysis; Visualization; Writing – original draft (lead); writing – review and editing (lead).</w:t>
      </w:r>
      <w:r>
        <w:t xml:space="preserve"> </w:t>
      </w:r>
      <w:r>
        <w:rPr>
          <w:b/>
          <w:bCs/>
        </w:rPr>
        <w:t xml:space="preserve">T. Malone:</w:t>
      </w:r>
      <w:r>
        <w:t xml:space="preserve"> </w:t>
      </w:r>
      <w:r>
        <w:t xml:space="preserve">Methodology (equal); Data curation (equal); Investigation (equal); Writing – original draft (supporting); Writing – review and editing (supporting).</w:t>
      </w:r>
    </w:p>
    <w:bookmarkEnd w:id="73"/>
    <w:bookmarkStart w:id="201" w:name="references"/>
    <w:p>
      <w:pPr>
        <w:pStyle w:val="Heading2"/>
      </w:pPr>
      <w:r>
        <w:t xml:space="preserve">References</w:t>
      </w:r>
    </w:p>
    <w:bookmarkStart w:id="200" w:name="refs"/>
    <w:bookmarkStart w:id="75"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4">
        <w:r>
          <w:rPr>
            <w:rStyle w:val="InternetLink"/>
          </w:rPr>
          <w:t xml:space="preserve">10.1016/j.jenvman.2013.08.060</w:t>
        </w:r>
      </w:hyperlink>
      <w:r>
        <w:t xml:space="preserve">.</w:t>
      </w:r>
    </w:p>
    <w:bookmarkEnd w:id="75"/>
    <w:bookmarkStart w:id="77"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6">
        <w:r>
          <w:rPr>
            <w:rStyle w:val="InternetLink"/>
          </w:rPr>
          <w:t xml:space="preserve">10.1111/j.1475-2743.2009.00236.x</w:t>
        </w:r>
      </w:hyperlink>
      <w:r>
        <w:t xml:space="preserve">.</w:t>
      </w:r>
    </w:p>
    <w:bookmarkEnd w:id="77"/>
    <w:bookmarkStart w:id="79"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8">
        <w:r>
          <w:rPr>
            <w:rStyle w:val="InternetLink"/>
          </w:rPr>
          <w:t xml:space="preserve">10.1038/sdata.2018.214</w:t>
        </w:r>
      </w:hyperlink>
      <w:r>
        <w:t xml:space="preserve">.</w:t>
      </w:r>
    </w:p>
    <w:bookmarkEnd w:id="79"/>
    <w:bookmarkStart w:id="81"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80">
        <w:r>
          <w:rPr>
            <w:rStyle w:val="InternetLink"/>
          </w:rPr>
          <w:t xml:space="preserve">10.32614/RJ-2017-066</w:t>
        </w:r>
      </w:hyperlink>
      <w:r>
        <w:t xml:space="preserve">.</w:t>
      </w:r>
    </w:p>
    <w:bookmarkEnd w:id="81"/>
    <w:bookmarkStart w:id="83"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2">
        <w:r>
          <w:rPr>
            <w:rStyle w:val="InternetLink"/>
          </w:rPr>
          <w:t xml:space="preserve">10.1016/S0022-1694(01)00375-4</w:t>
        </w:r>
      </w:hyperlink>
      <w:r>
        <w:t xml:space="preserve">.</w:t>
      </w:r>
    </w:p>
    <w:bookmarkEnd w:id="83"/>
    <w:bookmarkStart w:id="85"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4">
        <w:r>
          <w:rPr>
            <w:rStyle w:val="InternetLink"/>
          </w:rPr>
          <w:t xml:space="preserve">10.1016/j.rama.2018.04.013</w:t>
        </w:r>
      </w:hyperlink>
      <w:r>
        <w:t xml:space="preserve">.</w:t>
      </w:r>
    </w:p>
    <w:bookmarkEnd w:id="85"/>
    <w:bookmarkStart w:id="87"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6">
        <w:r>
          <w:rPr>
            <w:rStyle w:val="InternetLink"/>
          </w:rPr>
          <w:t xml:space="preserve">10.2134/agronj2017.08.0449</w:t>
        </w:r>
      </w:hyperlink>
      <w:r>
        <w:t xml:space="preserve">.</w:t>
      </w:r>
    </w:p>
    <w:bookmarkEnd w:id="87"/>
    <w:bookmarkStart w:id="89"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8">
        <w:r>
          <w:rPr>
            <w:rStyle w:val="InternetLink"/>
          </w:rPr>
          <w:t xml:space="preserve">10.2134/jeq2018.08.0307</w:t>
        </w:r>
      </w:hyperlink>
      <w:r>
        <w:t xml:space="preserve">.</w:t>
      </w:r>
    </w:p>
    <w:bookmarkEnd w:id="89"/>
    <w:bookmarkStart w:id="91"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90">
        <w:r>
          <w:rPr>
            <w:rStyle w:val="InternetLink"/>
          </w:rPr>
          <w:t xml:space="preserve">10.1002/nafm.10224</w:t>
        </w:r>
      </w:hyperlink>
      <w:r>
        <w:t xml:space="preserve">.</w:t>
      </w:r>
    </w:p>
    <w:bookmarkEnd w:id="91"/>
    <w:bookmarkStart w:id="93"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2">
        <w:r>
          <w:rPr>
            <w:rStyle w:val="InternetLink"/>
          </w:rPr>
          <w:t xml:space="preserve">10.1139/cjss-2021-0028</w:t>
        </w:r>
      </w:hyperlink>
      <w:r>
        <w:t xml:space="preserve">.</w:t>
      </w:r>
    </w:p>
    <w:bookmarkEnd w:id="93"/>
    <w:bookmarkStart w:id="95" w:name="X8cec5fd8bc2ece12f5c0d2c19db91628ec2af3b"/>
    <w:p>
      <w:pPr>
        <w:pStyle w:val="Bibliography"/>
      </w:pPr>
      <w:r>
        <w:t xml:space="preserve">Environment, and Climate Change Canada. 2024. Canadian Climate Normals.</w:t>
      </w:r>
      <w:r>
        <w:t xml:space="preserve"> </w:t>
      </w:r>
      <w:hyperlink r:id="rId94">
        <w:r>
          <w:rPr>
            <w:rStyle w:val="InternetLink"/>
          </w:rPr>
          <w:t xml:space="preserve">https://climate.weather.gc.ca/climate_normals/index_e.html</w:t>
        </w:r>
      </w:hyperlink>
      <w:r>
        <w:t xml:space="preserve">.</w:t>
      </w:r>
    </w:p>
    <w:bookmarkEnd w:id="95"/>
    <w:bookmarkStart w:id="97" w:name="ref-fellows2023"/>
    <w:p>
      <w:pPr>
        <w:pStyle w:val="Bibliography"/>
      </w:pPr>
      <w:r>
        <w:t xml:space="preserve">Fellows, I. 2023.</w:t>
      </w:r>
      <w:r>
        <w:t xml:space="preserve"> </w:t>
      </w:r>
      <w:hyperlink r:id="rId96">
        <w:r>
          <w:rPr>
            <w:rStyle w:val="InternetLink"/>
          </w:rPr>
          <w:t xml:space="preserve">OpenStreetMap: Access to open street map raster images</w:t>
        </w:r>
      </w:hyperlink>
      <w:r>
        <w:t xml:space="preserve">.</w:t>
      </w:r>
    </w:p>
    <w:bookmarkEnd w:id="97"/>
    <w:bookmarkStart w:id="98" w:name="ref-fitch2003"/>
    <w:p>
      <w:pPr>
        <w:pStyle w:val="Bibliography"/>
      </w:pPr>
      <w:r>
        <w:t xml:space="preserve">Fitch, L., B. Adams, and K. O’Shaughnessy. 2003. Caring for the green zone: Riparian areas and grazing management. 3rd ed. Cows; Fish Program, Lethbridge, Alberta.</w:t>
      </w:r>
    </w:p>
    <w:bookmarkEnd w:id="98"/>
    <w:bookmarkStart w:id="100" w:name="ref-fox2019"/>
    <w:p>
      <w:pPr>
        <w:pStyle w:val="Bibliography"/>
      </w:pPr>
      <w:r>
        <w:t xml:space="preserve">Fox, J., and S. Weisberg. 2019.</w:t>
      </w:r>
      <w:r>
        <w:t xml:space="preserve"> </w:t>
      </w:r>
      <w:hyperlink r:id="rId99">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100"/>
    <w:bookmarkStart w:id="102"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1">
        <w:r>
          <w:rPr>
            <w:rStyle w:val="InternetLink"/>
          </w:rPr>
          <w:t xml:space="preserve">10.2489/jswc.74.6.571</w:t>
        </w:r>
      </w:hyperlink>
      <w:r>
        <w:t xml:space="preserve">.</w:t>
      </w:r>
    </w:p>
    <w:bookmarkEnd w:id="102"/>
    <w:bookmarkStart w:id="104"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3">
        <w:r>
          <w:rPr>
            <w:rStyle w:val="InternetLink"/>
          </w:rPr>
          <w:t xml:space="preserve">10.2134/jeq2018.04.0129</w:t>
        </w:r>
      </w:hyperlink>
      <w:r>
        <w:t xml:space="preserve">.</w:t>
      </w:r>
    </w:p>
    <w:bookmarkEnd w:id="104"/>
    <w:bookmarkStart w:id="106"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5">
        <w:r>
          <w:rPr>
            <w:rStyle w:val="InternetLink"/>
          </w:rPr>
          <w:t xml:space="preserve">10.1007/s11356-017-9406-6</w:t>
        </w:r>
      </w:hyperlink>
      <w:r>
        <w:t xml:space="preserve">.</w:t>
      </w:r>
    </w:p>
    <w:bookmarkEnd w:id="106"/>
    <w:bookmarkStart w:id="108"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7">
        <w:r>
          <w:rPr>
            <w:rStyle w:val="InternetLink"/>
          </w:rPr>
          <w:t xml:space="preserve">10.1016/j.geoderma.2013.09.019</w:t>
        </w:r>
      </w:hyperlink>
      <w:r>
        <w:t xml:space="preserve">.</w:t>
      </w:r>
    </w:p>
    <w:bookmarkEnd w:id="108"/>
    <w:bookmarkStart w:id="110"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9">
        <w:r>
          <w:rPr>
            <w:rStyle w:val="InternetLink"/>
          </w:rPr>
          <w:t xml:space="preserve">10.1016/j.agee.2018.10.016</w:t>
        </w:r>
      </w:hyperlink>
      <w:r>
        <w:t xml:space="preserve">.</w:t>
      </w:r>
    </w:p>
    <w:bookmarkEnd w:id="110"/>
    <w:bookmarkStart w:id="112" w:name="ref-hartig2022"/>
    <w:p>
      <w:pPr>
        <w:pStyle w:val="Bibliography"/>
      </w:pPr>
      <w:r>
        <w:t xml:space="preserve">Hartig, F. 2022.</w:t>
      </w:r>
      <w:r>
        <w:t xml:space="preserve"> </w:t>
      </w:r>
      <w:hyperlink r:id="rId111">
        <w:r>
          <w:rPr>
            <w:rStyle w:val="InternetLink"/>
          </w:rPr>
          <w:t xml:space="preserve">DHARMa: Residual diagnostics for hierarchical (multi-level / mixed) regression models</w:t>
        </w:r>
      </w:hyperlink>
      <w:r>
        <w:t xml:space="preserve">.</w:t>
      </w:r>
    </w:p>
    <w:bookmarkEnd w:id="112"/>
    <w:bookmarkStart w:id="114"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3">
        <w:r>
          <w:rPr>
            <w:rStyle w:val="InternetLink"/>
          </w:rPr>
          <w:t xml:space="preserve">10.2134/jeq2018.01.0042</w:t>
        </w:r>
      </w:hyperlink>
      <w:r>
        <w:t xml:space="preserve">.</w:t>
      </w:r>
    </w:p>
    <w:bookmarkEnd w:id="114"/>
    <w:bookmarkStart w:id="116" w:name="ref-hubbard2004"/>
    <w:p>
      <w:pPr>
        <w:pStyle w:val="Bibliography"/>
      </w:pPr>
      <w:r>
        <w:t xml:space="preserve">Hubbard, R.K., G.L. Newton, and G.M. Hill. 2004. Water quality and the grazing animal1. Journal of Animal Science 82(suppl</w:t>
      </w:r>
      <w:r>
        <w:t xml:space="preserve">_</w:t>
      </w:r>
      <w:r>
        <w:t xml:space="preserve">13): E255–E263. doi:</w:t>
      </w:r>
      <w:r>
        <w:t xml:space="preserve"> </w:t>
      </w:r>
      <w:hyperlink r:id="rId115">
        <w:r>
          <w:rPr>
            <w:rStyle w:val="InternetLink"/>
          </w:rPr>
          <w:t xml:space="preserve">10.2527/2004.8213_supplE255x</w:t>
        </w:r>
      </w:hyperlink>
      <w:r>
        <w:t xml:space="preserve">.</w:t>
      </w:r>
    </w:p>
    <w:bookmarkEnd w:id="116"/>
    <w:bookmarkStart w:id="118" w:name="ref-hulvey2021"/>
    <w:p>
      <w:pPr>
        <w:pStyle w:val="Bibliography"/>
      </w:pPr>
      <w:r>
        <w:t xml:space="preserve">Hulvey, K.B., C.D. Mellon, and A.R. Kleinhesselink. 2021. Rotational grazing can mitigate ecosystem service trade-offs between livestock production and water quality in semi-arid rangelands. Journal of Applied Ecology 58(10): 2113–2123. doi:</w:t>
      </w:r>
      <w:r>
        <w:t xml:space="preserve"> </w:t>
      </w:r>
      <w:hyperlink r:id="rId117">
        <w:r>
          <w:rPr>
            <w:rStyle w:val="InternetLink"/>
          </w:rPr>
          <w:t xml:space="preserve">10.1111/1365-2664.13954</w:t>
        </w:r>
      </w:hyperlink>
      <w:r>
        <w:t xml:space="preserve">.</w:t>
      </w:r>
    </w:p>
    <w:bookmarkEnd w:id="118"/>
    <w:bookmarkStart w:id="120"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9">
        <w:r>
          <w:rPr>
            <w:rStyle w:val="InternetLink"/>
          </w:rPr>
          <w:t xml:space="preserve">10.1007/s10705-007-9088-4</w:t>
        </w:r>
      </w:hyperlink>
      <w:r>
        <w:t xml:space="preserve">.</w:t>
      </w:r>
    </w:p>
    <w:bookmarkEnd w:id="120"/>
    <w:bookmarkStart w:id="122"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21">
        <w:r>
          <w:rPr>
            <w:rStyle w:val="InternetLink"/>
          </w:rPr>
          <w:t xml:space="preserve">10.1016/j.ecoleng.2018.11.024</w:t>
        </w:r>
      </w:hyperlink>
      <w:r>
        <w:t xml:space="preserve">.</w:t>
      </w:r>
    </w:p>
    <w:bookmarkEnd w:id="122"/>
    <w:bookmarkStart w:id="124"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23">
        <w:r>
          <w:rPr>
            <w:rStyle w:val="InternetLink"/>
          </w:rPr>
          <w:t xml:space="preserve">10.1139/er-2017-0077</w:t>
        </w:r>
      </w:hyperlink>
      <w:r>
        <w:t xml:space="preserve">.</w:t>
      </w:r>
    </w:p>
    <w:bookmarkEnd w:id="124"/>
    <w:bookmarkStart w:id="126"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5">
        <w:r>
          <w:rPr>
            <w:rStyle w:val="InternetLink"/>
          </w:rPr>
          <w:t xml:space="preserve">10.1002/jwmg.21984</w:t>
        </w:r>
      </w:hyperlink>
      <w:r>
        <w:t xml:space="preserve">.</w:t>
      </w:r>
    </w:p>
    <w:bookmarkEnd w:id="126"/>
    <w:bookmarkStart w:id="128"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7">
        <w:r>
          <w:rPr>
            <w:rStyle w:val="InternetLink"/>
          </w:rPr>
          <w:t xml:space="preserve">10.1002/nafm.10863</w:t>
        </w:r>
      </w:hyperlink>
      <w:r>
        <w:t xml:space="preserve">.</w:t>
      </w:r>
    </w:p>
    <w:bookmarkEnd w:id="128"/>
    <w:bookmarkStart w:id="130" w:name="ref-kröger2007"/>
    <w:p>
      <w:pPr>
        <w:pStyle w:val="Bibliography"/>
      </w:pPr>
      <w:r>
        <w:t xml:space="preserve">Kröger, R., M.M. Holland, M.T. Moore, and C.M. Cooper. 2007. Plant senescence: A mechanism for nutrient release in temperate agricultural wetlands. Environmental Pollution 146(1): 114–119. doi:</w:t>
      </w:r>
      <w:r>
        <w:t xml:space="preserve"> </w:t>
      </w:r>
      <w:hyperlink r:id="rId129">
        <w:r>
          <w:rPr>
            <w:rStyle w:val="InternetLink"/>
          </w:rPr>
          <w:t xml:space="preserve">10.1016/j.envpol.2006.06.005</w:t>
        </w:r>
      </w:hyperlink>
      <w:r>
        <w:t xml:space="preserve">.</w:t>
      </w:r>
    </w:p>
    <w:bookmarkEnd w:id="130"/>
    <w:bookmarkStart w:id="132"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31">
        <w:r>
          <w:rPr>
            <w:rStyle w:val="InternetLink"/>
          </w:rPr>
          <w:t xml:space="preserve">10.1051/agro:2005001</w:t>
        </w:r>
      </w:hyperlink>
      <w:r>
        <w:t xml:space="preserve">.</w:t>
      </w:r>
    </w:p>
    <w:bookmarkEnd w:id="132"/>
    <w:bookmarkStart w:id="134" w:name="ref-lenth2024"/>
    <w:p>
      <w:pPr>
        <w:pStyle w:val="Bibliography"/>
      </w:pPr>
      <w:r>
        <w:t xml:space="preserve">Lenth, R.V. 2024.</w:t>
      </w:r>
      <w:r>
        <w:t xml:space="preserve"> </w:t>
      </w:r>
      <w:hyperlink r:id="rId133">
        <w:r>
          <w:rPr>
            <w:rStyle w:val="InternetLink"/>
          </w:rPr>
          <w:t xml:space="preserve">Emmeans: Estimated marginal means, aka least-squares means</w:t>
        </w:r>
      </w:hyperlink>
      <w:r>
        <w:t xml:space="preserve">.</w:t>
      </w:r>
    </w:p>
    <w:bookmarkEnd w:id="134"/>
    <w:bookmarkStart w:id="136"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35">
        <w:r>
          <w:rPr>
            <w:rStyle w:val="InternetLink"/>
          </w:rPr>
          <w:t xml:space="preserve">10.2134/jeq2019.05.0220</w:t>
        </w:r>
      </w:hyperlink>
      <w:r>
        <w:t xml:space="preserve">.</w:t>
      </w:r>
    </w:p>
    <w:bookmarkEnd w:id="136"/>
    <w:bookmarkStart w:id="138"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7">
        <w:r>
          <w:rPr>
            <w:rStyle w:val="InternetLink"/>
          </w:rPr>
          <w:t xml:space="preserve">10.1007/s11104-013-1716-y</w:t>
        </w:r>
      </w:hyperlink>
      <w:r>
        <w:t xml:space="preserve">.</w:t>
      </w:r>
    </w:p>
    <w:bookmarkEnd w:id="138"/>
    <w:bookmarkStart w:id="140"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9">
        <w:r>
          <w:rPr>
            <w:rStyle w:val="InternetLink"/>
          </w:rPr>
          <w:t xml:space="preserve">10.2134/jeq2019.03.0119</w:t>
        </w:r>
      </w:hyperlink>
      <w:r>
        <w:t xml:space="preserve">.</w:t>
      </w:r>
    </w:p>
    <w:bookmarkEnd w:id="140"/>
    <w:bookmarkStart w:id="142"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41">
        <w:r>
          <w:rPr>
            <w:rStyle w:val="InternetLink"/>
          </w:rPr>
          <w:t xml:space="preserve">10.1080/07011784.2017.1331140</w:t>
        </w:r>
      </w:hyperlink>
      <w:r>
        <w:t xml:space="preserve">.</w:t>
      </w:r>
    </w:p>
    <w:bookmarkEnd w:id="142"/>
    <w:bookmarkStart w:id="144"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43">
        <w:r>
          <w:rPr>
            <w:rStyle w:val="InternetLink"/>
          </w:rPr>
          <w:t xml:space="preserve">10.21105/joss.03139</w:t>
        </w:r>
      </w:hyperlink>
      <w:r>
        <w:t xml:space="preserve">.</w:t>
      </w:r>
    </w:p>
    <w:bookmarkEnd w:id="144"/>
    <w:bookmarkStart w:id="146"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45">
        <w:r>
          <w:rPr>
            <w:rStyle w:val="InternetLink"/>
          </w:rPr>
          <w:t xml:space="preserve">10.1016/j.jclepro.2021.128143</w:t>
        </w:r>
      </w:hyperlink>
      <w:r>
        <w:t xml:space="preserve">.</w:t>
      </w:r>
    </w:p>
    <w:bookmarkEnd w:id="146"/>
    <w:bookmarkStart w:id="148" w:name="ref-manitobaagriculture2023"/>
    <w:p>
      <w:pPr>
        <w:pStyle w:val="Bibliography"/>
      </w:pPr>
      <w:r>
        <w:t xml:space="preserve">Manitoba Agriculture. 2023. Manitoba agriculture weather program.</w:t>
      </w:r>
      <w:r>
        <w:t xml:space="preserve"> </w:t>
      </w:r>
      <w:hyperlink r:id="rId147">
        <w:r>
          <w:rPr>
            <w:rStyle w:val="InternetLink"/>
          </w:rPr>
          <w:t xml:space="preserve">https://www.gov.mb.ca/agriculture/weather/manitoba-ag-weather.html</w:t>
        </w:r>
      </w:hyperlink>
      <w:r>
        <w:t xml:space="preserve">.</w:t>
      </w:r>
    </w:p>
    <w:bookmarkEnd w:id="148"/>
    <w:bookmarkStart w:id="150" w:name="ref-manitobaagriculture2024"/>
    <w:p>
      <w:pPr>
        <w:pStyle w:val="Bibliography"/>
      </w:pPr>
      <w:r>
        <w:t xml:space="preserve">Manitoba Agriculture. 2024. Agriculture rotational grazing.</w:t>
      </w:r>
      <w:r>
        <w:t xml:space="preserve"> </w:t>
      </w:r>
      <w:hyperlink r:id="rId149">
        <w:r>
          <w:rPr>
            <w:rStyle w:val="InternetLink"/>
          </w:rPr>
          <w:t xml:space="preserve">https://www.gov.mb.ca/agriculture/</w:t>
        </w:r>
      </w:hyperlink>
      <w:r>
        <w:t xml:space="preserve">.</w:t>
      </w:r>
    </w:p>
    <w:bookmarkEnd w:id="150"/>
    <w:bookmarkStart w:id="152" w:name="ref-manitobabeefforageinitiatives2024"/>
    <w:p>
      <w:pPr>
        <w:pStyle w:val="Bibliography"/>
      </w:pPr>
      <w:r>
        <w:t xml:space="preserve">Manitoba Beef &amp; Forage Initiatives. 2024. MBFI farm stations.</w:t>
      </w:r>
      <w:r>
        <w:t xml:space="preserve"> </w:t>
      </w:r>
      <w:hyperlink r:id="rId151">
        <w:r>
          <w:rPr>
            <w:rStyle w:val="InternetLink"/>
          </w:rPr>
          <w:t xml:space="preserve">https://www.mbfi.ca/farm-station</w:t>
        </w:r>
      </w:hyperlink>
      <w:r>
        <w:t xml:space="preserve">.</w:t>
      </w:r>
    </w:p>
    <w:bookmarkEnd w:id="152"/>
    <w:bookmarkStart w:id="154" w:name="ref-massicotte2023"/>
    <w:p>
      <w:pPr>
        <w:pStyle w:val="Bibliography"/>
      </w:pPr>
      <w:r>
        <w:t xml:space="preserve">Massicotte, P., and A. South. 2023.</w:t>
      </w:r>
      <w:r>
        <w:t xml:space="preserve"> </w:t>
      </w:r>
      <w:hyperlink r:id="rId153">
        <w:r>
          <w:rPr>
            <w:rStyle w:val="InternetLink"/>
          </w:rPr>
          <w:t xml:space="preserve">Rnaturalearth: World map data from natural earth</w:t>
        </w:r>
      </w:hyperlink>
      <w:r>
        <w:t xml:space="preserve">.</w:t>
      </w:r>
    </w:p>
    <w:bookmarkEnd w:id="154"/>
    <w:bookmarkStart w:id="156"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55">
        <w:r>
          <w:rPr>
            <w:rStyle w:val="InternetLink"/>
          </w:rPr>
          <w:t xml:space="preserve">10.1007/s10021-003-0161-9</w:t>
        </w:r>
      </w:hyperlink>
      <w:r>
        <w:t xml:space="preserve">.</w:t>
      </w:r>
    </w:p>
    <w:bookmarkEnd w:id="156"/>
    <w:bookmarkStart w:id="158"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7">
        <w:r>
          <w:rPr>
            <w:rStyle w:val="InternetLink"/>
          </w:rPr>
          <w:t xml:space="preserve">10.1029/2010WR009341</w:t>
        </w:r>
      </w:hyperlink>
      <w:r>
        <w:t xml:space="preserve">.</w:t>
      </w:r>
    </w:p>
    <w:bookmarkEnd w:id="158"/>
    <w:bookmarkStart w:id="160"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9">
        <w:r>
          <w:rPr>
            <w:rStyle w:val="InternetLink"/>
          </w:rPr>
          <w:t xml:space="preserve">10.1016/S0003-2670(00)88444-5</w:t>
        </w:r>
      </w:hyperlink>
      <w:r>
        <w:t xml:space="preserve">.</w:t>
      </w:r>
    </w:p>
    <w:bookmarkEnd w:id="160"/>
    <w:bookmarkStart w:id="162" w:name="ref-noyes2024"/>
    <w:p>
      <w:pPr>
        <w:pStyle w:val="Bibliography"/>
      </w:pPr>
      <w:r>
        <w:t xml:space="preserve">Noyes, I., A.J. Koiter, H. Jarvie, J.M. Plach, D.A. Lobb, et al. 2024. Potential phosphorus mobilization from riparian vegetation following freezing. Journal of Environmental Management 370(122710). doi:</w:t>
      </w:r>
      <w:r>
        <w:t xml:space="preserve"> </w:t>
      </w:r>
      <w:hyperlink r:id="rId161">
        <w:r>
          <w:rPr>
            <w:rStyle w:val="InternetLink"/>
          </w:rPr>
          <w:t xml:space="preserve">https://doi.org/10.1016/j.jenvman.2024.122710</w:t>
        </w:r>
      </w:hyperlink>
      <w:r>
        <w:t xml:space="preserve">.</w:t>
      </w:r>
    </w:p>
    <w:bookmarkEnd w:id="162"/>
    <w:bookmarkStart w:id="164"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63">
        <w:r>
          <w:rPr>
            <w:rStyle w:val="InternetLink"/>
          </w:rPr>
          <w:t xml:space="preserve">10.1016/j.jenvman.2023.117646</w:t>
        </w:r>
      </w:hyperlink>
      <w:r>
        <w:t xml:space="preserve">.</w:t>
      </w:r>
    </w:p>
    <w:bookmarkEnd w:id="164"/>
    <w:bookmarkStart w:id="166"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65">
        <w:r>
          <w:rPr>
            <w:rStyle w:val="InternetLink"/>
          </w:rPr>
          <w:t xml:space="preserve">10.1111/j.1475-2743.2007.00121.x</w:t>
        </w:r>
      </w:hyperlink>
      <w:r>
        <w:t xml:space="preserve">.</w:t>
      </w:r>
    </w:p>
    <w:bookmarkEnd w:id="166"/>
    <w:bookmarkStart w:id="168" w:name="ref-podolsky1993"/>
    <w:p>
      <w:pPr>
        <w:pStyle w:val="Bibliography"/>
      </w:pPr>
      <w:r>
        <w:t xml:space="preserve">Podolsky, G.P., and D. Schindler. 1993.</w:t>
      </w:r>
      <w:r>
        <w:t xml:space="preserve"> </w:t>
      </w:r>
      <w:hyperlink r:id="rId167">
        <w:r>
          <w:rPr>
            <w:rStyle w:val="InternetLink"/>
          </w:rPr>
          <w:t xml:space="preserve">Soils of the manitoba zero tillage research association farm</w:t>
        </w:r>
      </w:hyperlink>
      <w:r>
        <w:t xml:space="preserve">. Winnipeg, Manitoba.</w:t>
      </w:r>
    </w:p>
    <w:bookmarkEnd w:id="168"/>
    <w:bookmarkStart w:id="170" w:name="ref-rcoreteam2024"/>
    <w:p>
      <w:pPr>
        <w:pStyle w:val="Bibliography"/>
      </w:pPr>
      <w:r>
        <w:t xml:space="preserve">R Core Team. 2024. R: A language and environment for statistical computing.</w:t>
      </w:r>
      <w:r>
        <w:t xml:space="preserve"> </w:t>
      </w:r>
      <w:hyperlink r:id="rId169">
        <w:r>
          <w:rPr>
            <w:rStyle w:val="InternetLink"/>
          </w:rPr>
          <w:t xml:space="preserve">http://www.R-project.org</w:t>
        </w:r>
      </w:hyperlink>
      <w:r>
        <w:t xml:space="preserve">.</w:t>
      </w:r>
    </w:p>
    <w:bookmarkEnd w:id="170"/>
    <w:bookmarkStart w:id="172"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71">
        <w:r>
          <w:rPr>
            <w:rStyle w:val="InternetLink"/>
          </w:rPr>
          <w:t xml:space="preserve">https://www.frontiersin.org/article/10.3389/feart.2018.00135</w:t>
        </w:r>
      </w:hyperlink>
      <w:r>
        <w:t xml:space="preserve">.</w:t>
      </w:r>
    </w:p>
    <w:bookmarkEnd w:id="172"/>
    <w:bookmarkStart w:id="174"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73">
        <w:r>
          <w:rPr>
            <w:rStyle w:val="InternetLink"/>
          </w:rPr>
          <w:t xml:space="preserve">10.2134/jeq2010.0543</w:t>
        </w:r>
      </w:hyperlink>
      <w:r>
        <w:t xml:space="preserve">.</w:t>
      </w:r>
    </w:p>
    <w:bookmarkEnd w:id="174"/>
    <w:bookmarkStart w:id="176" w:name="ref-rstudio2024"/>
    <w:p>
      <w:pPr>
        <w:pStyle w:val="Bibliography"/>
      </w:pPr>
      <w:r>
        <w:t xml:space="preserve">RStudio. 2024. RStudio: Integrated development environment for r.</w:t>
      </w:r>
      <w:r>
        <w:t xml:space="preserve"> </w:t>
      </w:r>
      <w:hyperlink r:id="rId175">
        <w:r>
          <w:rPr>
            <w:rStyle w:val="InternetLink"/>
          </w:rPr>
          <w:t xml:space="preserve">http://www.rstudio.org/</w:t>
        </w:r>
      </w:hyperlink>
      <w:r>
        <w:t xml:space="preserve">.</w:t>
      </w:r>
    </w:p>
    <w:bookmarkEnd w:id="176"/>
    <w:bookmarkStart w:id="178"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77">
        <w:r>
          <w:rPr>
            <w:rStyle w:val="InternetLink"/>
          </w:rPr>
          <w:t xml:space="preserve">10.1016/j.jglr.2012.04.003</w:t>
        </w:r>
      </w:hyperlink>
      <w:r>
        <w:t xml:space="preserve">.</w:t>
      </w:r>
    </w:p>
    <w:bookmarkEnd w:id="178"/>
    <w:bookmarkStart w:id="180" w:name="ref-Schloerke2024"/>
    <w:p>
      <w:pPr>
        <w:pStyle w:val="Bibliography"/>
      </w:pPr>
      <w:r>
        <w:t xml:space="preserve">Schloerke, B., D. Cook, J. Larmarange, F. Briatte, M. Marbach, et al. 2024.</w:t>
      </w:r>
      <w:r>
        <w:t xml:space="preserve"> </w:t>
      </w:r>
      <w:hyperlink r:id="rId179">
        <w:r>
          <w:rPr>
            <w:rStyle w:val="InternetLink"/>
          </w:rPr>
          <w:t xml:space="preserve">GGally: Extension to ’ggplot2’</w:t>
        </w:r>
      </w:hyperlink>
      <w:r>
        <w:t xml:space="preserve">.</w:t>
      </w:r>
    </w:p>
    <w:bookmarkEnd w:id="180"/>
    <w:bookmarkStart w:id="181" w:name="ref-sharpley"/>
    <w:p>
      <w:pPr>
        <w:pStyle w:val="Bibliography"/>
      </w:pPr>
      <w:r>
        <w:t xml:space="preserve">Sharpley, A.N., P.J.A. Kleinman, and J.L. Weld. 2006. Environmental soil phosphorus indices. In: Carter, M.R. and Gregorich, E.G., editors. 2nd ed. CRC Press, Boca Raton, FL, U.S.A</w:t>
      </w:r>
    </w:p>
    <w:bookmarkEnd w:id="181"/>
    <w:bookmarkStart w:id="183" w:name="ref-sovell2000"/>
    <w:p>
      <w:pPr>
        <w:pStyle w:val="Bibliography"/>
      </w:pPr>
      <w:r>
        <w:t xml:space="preserve">Sovell, L.A., B. Vondracek, J.A. Frost, and K.G. Mumford. 2000. Impacts of Rotational Grazing and Riparian Buffers on Physicochemical and Biological Characteristicsof Southeastern Minnesota, USA, Streams. Environmental Management 26(6): 629–641. doi:</w:t>
      </w:r>
      <w:r>
        <w:t xml:space="preserve"> </w:t>
      </w:r>
      <w:hyperlink r:id="rId182">
        <w:r>
          <w:rPr>
            <w:rStyle w:val="InternetLink"/>
          </w:rPr>
          <w:t xml:space="preserve">10.1007/s002670010121</w:t>
        </w:r>
      </w:hyperlink>
      <w:r>
        <w:t xml:space="preserve">.</w:t>
      </w:r>
    </w:p>
    <w:bookmarkEnd w:id="183"/>
    <w:bookmarkStart w:id="185" w:name="ref-stanley2002"/>
    <w:p>
      <w:pPr>
        <w:pStyle w:val="Bibliography"/>
      </w:pPr>
      <w:r>
        <w:t xml:space="preserve">Stanley, T.R., and F.L. Knopf. 2002. Avian responses to late-season grazing in a shrub-willow floodplain. Conservation Biology 16(1): 225–231. doi:</w:t>
      </w:r>
      <w:r>
        <w:t xml:space="preserve"> </w:t>
      </w:r>
      <w:hyperlink r:id="rId184">
        <w:r>
          <w:rPr>
            <w:rStyle w:val="InternetLink"/>
          </w:rPr>
          <w:t xml:space="preserve">10.1046/j.1523-1739.2002.00269.x</w:t>
        </w:r>
      </w:hyperlink>
      <w:r>
        <w:t xml:space="preserve">.</w:t>
      </w:r>
    </w:p>
    <w:bookmarkEnd w:id="185"/>
    <w:bookmarkStart w:id="187"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86">
        <w:r>
          <w:rPr>
            <w:rStyle w:val="InternetLink"/>
          </w:rPr>
          <w:t xml:space="preserve">10.3390/soilsystems4040066</w:t>
        </w:r>
      </w:hyperlink>
      <w:r>
        <w:t xml:space="preserve">.</w:t>
      </w:r>
    </w:p>
    <w:bookmarkEnd w:id="187"/>
    <w:bookmarkStart w:id="189" w:name="ref-syversen2005"/>
    <w:p>
      <w:pPr>
        <w:pStyle w:val="Bibliography"/>
      </w:pPr>
      <w:r>
        <w:t xml:space="preserve">Syversen, N., and H. Borch. 2005. Retention of soil particle fractions and phosphorus in cold-climate buffer zones. Ecological Engineering 25(4): 382–394.</w:t>
      </w:r>
      <w:r>
        <w:t xml:space="preserve"> </w:t>
      </w:r>
      <w:hyperlink r:id="rId188">
        <w:r>
          <w:rPr>
            <w:rStyle w:val="InternetLink"/>
          </w:rPr>
          <w:t xml:space="preserve">http://www.sciencedirect.com/science/article/pii/S092585740500145X</w:t>
        </w:r>
      </w:hyperlink>
      <w:r>
        <w:t xml:space="preserve">.</w:t>
      </w:r>
    </w:p>
    <w:bookmarkEnd w:id="189"/>
    <w:bookmarkStart w:id="190"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90"/>
    <w:bookmarkStart w:id="192"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91">
        <w:r>
          <w:rPr>
            <w:rStyle w:val="InternetLink"/>
          </w:rPr>
          <w:t xml:space="preserve">10.1111/j.1752-1688.2010.00420.x</w:t>
        </w:r>
      </w:hyperlink>
      <w:r>
        <w:t xml:space="preserve">.</w:t>
      </w:r>
    </w:p>
    <w:bookmarkEnd w:id="192"/>
    <w:bookmarkStart w:id="194"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93">
        <w:r>
          <w:rPr>
            <w:rStyle w:val="InternetLink"/>
          </w:rPr>
          <w:t xml:space="preserve">10.1016/j.scitotenv.2020.138709</w:t>
        </w:r>
      </w:hyperlink>
      <w:r>
        <w:t xml:space="preserve">.</w:t>
      </w:r>
    </w:p>
    <w:bookmarkEnd w:id="194"/>
    <w:bookmarkStart w:id="195" w:name="ref-wickham2016"/>
    <w:p>
      <w:pPr>
        <w:pStyle w:val="Bibliography"/>
      </w:pPr>
      <w:r>
        <w:t xml:space="preserve">Wickham, H. 2016. ggplot2: Elegant graphics for data analysis. Springer-Verlag, New York NY U.S.A.</w:t>
      </w:r>
    </w:p>
    <w:bookmarkEnd w:id="195"/>
    <w:bookmarkStart w:id="197"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96">
        <w:r>
          <w:rPr>
            <w:rStyle w:val="InternetLink"/>
          </w:rPr>
          <w:t xml:space="preserve">10.2134/jeq2006.0422</w:t>
        </w:r>
      </w:hyperlink>
      <w:r>
        <w:t xml:space="preserve">.</w:t>
      </w:r>
    </w:p>
    <w:bookmarkEnd w:id="197"/>
    <w:bookmarkStart w:id="199"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98">
        <w:r>
          <w:rPr>
            <w:rStyle w:val="InternetLink"/>
          </w:rPr>
          <w:t xml:space="preserve">10.1016/j.ecoleng.2018.10.020</w:t>
        </w:r>
      </w:hyperlink>
      <w:r>
        <w:t xml:space="preserve">.</w:t>
      </w:r>
    </w:p>
    <w:bookmarkEnd w:id="199"/>
    <w:bookmarkEnd w:id="200"/>
    <w:bookmarkEnd w:id="201"/>
    <w:bookmarkStart w:id="226"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205" w:name="suppfig-workflow-plot"/>
          <w:p>
            <w:pPr>
              <w:pStyle w:val="Compact"/>
              <w:jc w:val="center"/>
            </w:pPr>
            <w:r>
              <w:drawing>
                <wp:inline>
                  <wp:extent cx="5943600" cy="11726871"/>
                  <wp:effectExtent b="0" l="0" r="0" t="0"/>
                  <wp:docPr descr="" title="" id="203" name="Picture"/>
                  <a:graphic>
                    <a:graphicData uri="http://schemas.openxmlformats.org/drawingml/2006/picture">
                      <pic:pic>
                        <pic:nvPicPr>
                          <pic:cNvPr descr="Workflow.png" id="204" name="Picture"/>
                          <pic:cNvPicPr>
                            <a:picLocks noChangeArrowheads="1" noChangeAspect="1"/>
                          </pic:cNvPicPr>
                        </pic:nvPicPr>
                        <pic:blipFill>
                          <a:blip r:embed="rId202"/>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205"/>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plant-plot"/>
          <w:p>
            <w:pPr>
              <w:pStyle w:val="Compact"/>
              <w:jc w:val="center"/>
            </w:pPr>
            <w:r>
              <w:drawing>
                <wp:inline>
                  <wp:extent cx="5943600" cy="4953000"/>
                  <wp:effectExtent b="0" l="0" r="0" t="0"/>
                  <wp:docPr descr="" title="" id="207" name="Picture"/>
                  <a:graphic>
                    <a:graphicData uri="http://schemas.openxmlformats.org/drawingml/2006/picture">
                      <pic:pic>
                        <pic:nvPicPr>
                          <pic:cNvPr descr="plant_composition.png" id="208" name="Picture"/>
                          <pic:cNvPicPr>
                            <a:picLocks noChangeArrowheads="1" noChangeAspect="1"/>
                          </pic:cNvPicPr>
                        </pic:nvPicPr>
                        <pic:blipFill>
                          <a:blip r:embed="rId206"/>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209"/>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weather-plot"/>
          <w:p>
            <w:pPr>
              <w:pStyle w:val="Compact"/>
              <w:jc w:val="center"/>
            </w:pPr>
            <w:r>
              <w:drawing>
                <wp:inline>
                  <wp:extent cx="5943600" cy="4245428"/>
                  <wp:effectExtent b="0" l="0" r="0" t="0"/>
                  <wp:docPr descr="" title="" id="211" name="Picture"/>
                  <a:graphic>
                    <a:graphicData uri="http://schemas.openxmlformats.org/drawingml/2006/picture">
                      <pic:pic>
                        <pic:nvPicPr>
                          <pic:cNvPr descr="supp-weather-plot-1.png" id="212" name="Picture"/>
                          <pic:cNvPicPr>
                            <a:picLocks noChangeArrowheads="1" noChangeAspect="1"/>
                          </pic:cNvPicPr>
                        </pic:nvPicPr>
                        <pic:blipFill>
                          <a:blip r:embed="rId21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213"/>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suppfig-bd-plot"/>
          <w:p>
            <w:pPr>
              <w:pStyle w:val="Compact"/>
              <w:jc w:val="center"/>
            </w:pPr>
            <w:r>
              <w:drawing>
                <wp:inline>
                  <wp:extent cx="5943600" cy="4245428"/>
                  <wp:effectExtent b="0" l="0" r="0" t="0"/>
                  <wp:docPr descr="" title="" id="215" name="Picture"/>
                  <a:graphic>
                    <a:graphicData uri="http://schemas.openxmlformats.org/drawingml/2006/picture">
                      <pic:pic>
                        <pic:nvPicPr>
                          <pic:cNvPr descr="supp-weights-bd-1.png" id="216" name="Picture"/>
                          <pic:cNvPicPr>
                            <a:picLocks noChangeArrowheads="1" noChangeAspect="1"/>
                          </pic:cNvPicPr>
                        </pic:nvPicPr>
                        <pic:blipFill>
                          <a:blip r:embed="rId21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17"/>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1" w:name="suppfig-pairs-plot"/>
          <w:p>
            <w:pPr>
              <w:pStyle w:val="Compact"/>
              <w:jc w:val="center"/>
            </w:pPr>
            <w:r>
              <w:drawing>
                <wp:inline>
                  <wp:extent cx="5943600" cy="5943600"/>
                  <wp:effectExtent b="0" l="0" r="0" t="0"/>
                  <wp:docPr descr="" title="" id="219" name="Picture"/>
                  <a:graphic>
                    <a:graphicData uri="http://schemas.openxmlformats.org/drawingml/2006/picture">
                      <pic:pic>
                        <pic:nvPicPr>
                          <pic:cNvPr descr="pair_plot.png" id="220" name="Picture"/>
                          <pic:cNvPicPr>
                            <a:picLocks noChangeArrowheads="1" noChangeAspect="1"/>
                          </pic:cNvPicPr>
                        </pic:nvPicPr>
                        <pic:blipFill>
                          <a:blip r:embed="rId21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21"/>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5" w:name="suppfig-years-plot"/>
          <w:p>
            <w:pPr>
              <w:pStyle w:val="Compact"/>
              <w:jc w:val="center"/>
            </w:pPr>
            <w:r>
              <w:drawing>
                <wp:inline>
                  <wp:extent cx="5943600" cy="3979999"/>
                  <wp:effectExtent b="0" l="0" r="0" t="0"/>
                  <wp:docPr descr="" title="" id="223" name="Picture"/>
                  <a:graphic>
                    <a:graphicData uri="http://schemas.openxmlformats.org/drawingml/2006/picture">
                      <pic:pic>
                        <pic:nvPicPr>
                          <pic:cNvPr descr="P_conc_year.png" id="224" name="Picture"/>
                          <pic:cNvPicPr>
                            <a:picLocks noChangeArrowheads="1" noChangeAspect="1"/>
                          </pic:cNvPicPr>
                        </pic:nvPicPr>
                        <pic:blipFill>
                          <a:blip r:embed="rId222"/>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25"/>
        </w:tc>
      </w:tr>
    </w:tbl>
    <w:bookmarkEnd w:id="226"/>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2" Target="media/rId222.png" /><Relationship Type="http://schemas.openxmlformats.org/officeDocument/2006/relationships/image" Id="rId202" Target="media/rId202.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18" Target="media/rId218.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hyperlink" Id="rId169" Target="http://www.R-project.org" TargetMode="External" /><Relationship Type="http://schemas.openxmlformats.org/officeDocument/2006/relationships/hyperlink" Id="rId175" Target="http://www.rstudio.org/" TargetMode="External" /><Relationship Type="http://schemas.openxmlformats.org/officeDocument/2006/relationships/hyperlink" Id="rId188"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9"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2"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8"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3" Target="https://doi.org/10.1016/j.jenvman.2023.117646" TargetMode="External" /><Relationship Type="http://schemas.openxmlformats.org/officeDocument/2006/relationships/hyperlink" Id="rId161" Target="https://doi.org/10.1016/j.jenvman.2024.122710" TargetMode="External" /><Relationship Type="http://schemas.openxmlformats.org/officeDocument/2006/relationships/hyperlink" Id="rId177"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3"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4"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5"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1"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6" Target="https://doi.org/10.2134/jeq2006.0422" TargetMode="External" /><Relationship Type="http://schemas.openxmlformats.org/officeDocument/2006/relationships/hyperlink" Id="rId173"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6"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1"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7" Target="https://www.manitoba.ca/agriculture/soil/soil-survey/pubs/fss02s00943.pdf" TargetMode="External" /><Relationship Type="http://schemas.openxmlformats.org/officeDocument/2006/relationships/hyperlink" Id="rId151"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9" Target="http://www.R-project.org" TargetMode="External" /><Relationship Type="http://schemas.openxmlformats.org/officeDocument/2006/relationships/hyperlink" Id="rId175" Target="http://www.rstudio.org/" TargetMode="External" /><Relationship Type="http://schemas.openxmlformats.org/officeDocument/2006/relationships/hyperlink" Id="rId188"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9"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2"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8"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3" Target="https://doi.org/10.1016/j.jenvman.2023.117646" TargetMode="External" /><Relationship Type="http://schemas.openxmlformats.org/officeDocument/2006/relationships/hyperlink" Id="rId161" Target="https://doi.org/10.1016/j.jenvman.2024.122710" TargetMode="External" /><Relationship Type="http://schemas.openxmlformats.org/officeDocument/2006/relationships/hyperlink" Id="rId177"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3"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4"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5"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1"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6" Target="https://doi.org/10.2134/jeq2006.0422" TargetMode="External" /><Relationship Type="http://schemas.openxmlformats.org/officeDocument/2006/relationships/hyperlink" Id="rId173"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6"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1"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7" Target="https://www.manitoba.ca/agriculture/soil/soil-survey/pubs/fss02s00943.pdf" TargetMode="External" /><Relationship Type="http://schemas.openxmlformats.org/officeDocument/2006/relationships/hyperlink" Id="rId151"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Water-Extractable Phosphorus Sources</dc:title>
  <dc:creator>Alexander J Koiter; Tamaragh Y Malone</dc:creator>
  <cp:keywords>Phosphorus, Grazing, Riparian</cp:keywords>
  <dcterms:created xsi:type="dcterms:W3CDTF">2025-01-18T20:10:56Z</dcterms:created>
  <dcterms:modified xsi:type="dcterms:W3CDTF">2025-01-18T20:10:56Z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m-2, ~44%); however, the biomass (i.e., standing vegetation) was a considerable proportion of the total (26.3 mg m-2, ~25%) WEP pool. The litter and organic layer had median WEP areal densities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modified">
    <vt:lpwstr>2025-01-18</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