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8.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36.png" ContentType="image/png"/>
  <Override PartName="/word/media/rId240.png" ContentType="image/png"/>
  <Override PartName="/word/media/rId2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2024-04-02</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are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jc w:val="left"/>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not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jc w:val="left"/>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jc w:val="left"/>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t>
      </w:r>
      <w:r>
        <w:t xml:space="preserve">which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jc w:val="left"/>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jc w:val="left"/>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fingerprinting properties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4" w:name="references"/>
    <w:p>
      <w:pPr>
        <w:pStyle w:val="Heading2"/>
      </w:pPr>
      <w:r>
        <w:t xml:space="preserve">References</w:t>
      </w:r>
    </w:p>
    <w:bookmarkStart w:id="213"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 https://doi.org/</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w:t>
      </w:r>
      <w:r>
        <w:t xml:space="preserve"> </w:t>
      </w:r>
      <w:hyperlink r:id="rId99">
        <w:r>
          <w:rPr>
            <w:rStyle w:val="InternetLink"/>
          </w:rPr>
          <w:t xml:space="preserve">A deconvolutional Bayesian mixing model approach for river basin sediment source apportionment</w:t>
        </w:r>
      </w:hyperlink>
      <w:r>
        <w:t xml:space="preserve">. Scientific Reports 8:13073</w:t>
      </w:r>
    </w:p>
    <w:bookmarkEnd w:id="100"/>
    <w:bookmarkStart w:id="102" w:name="ref-blake2012"/>
    <w:p>
      <w:pPr>
        <w:pStyle w:val="Bibliography"/>
      </w:pPr>
      <w:r>
        <w:t xml:space="preserve">Blake WH, Ficken KJ, Taylor P, et al (2012) Tracing crop-specific sediment sources in agricultural catchments. Geomorphology 140:322–329. https://doi.org/</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 https://doi.org/</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 https://doi.org/</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 https://doi.org/</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 https://doi.org/</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 https://doi.org/</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 https://doi.org/</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 https://doi.org/</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 https://doi.org/</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w:t>
      </w:r>
      <w:r>
        <w:t xml:space="preserve"> </w:t>
      </w:r>
      <w:hyperlink r:id="rId135">
        <w:r>
          <w:rPr>
            <w:rStyle w:val="InternetLink"/>
          </w:rPr>
          <w:t xml:space="preserve">Differences between the source contribution of bed material and suspended sediments in a mountainous agricultural catchment of western iran</w:t>
        </w:r>
      </w:hyperlink>
      <w:r>
        <w:t xml:space="preserve">. Catena 116:105113</w:t>
      </w:r>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 https://doi.org/</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 https://doi.org/</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 https://doi.org/</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 https://doi.org/</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 https://doi.org/</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w:t>
      </w:r>
      <w:r>
        <w:t xml:space="preserve"> </w:t>
      </w:r>
      <w:hyperlink r:id="rId151">
        <w:r>
          <w:rPr>
            <w:rStyle w:val="InternetLink"/>
          </w:rPr>
          <w:t xml:space="preserve">A comparison of geological and statistical approaches to element selection for sediment fingerprinting</w:t>
        </w:r>
      </w:hyperlink>
      <w:r>
        <w:t xml:space="preserve">. Journal of Soils and Sediments 15:2117–2131</w:t>
      </w:r>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 https://doi.org/</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 https://doi.org/</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 https://doi.org/</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w:t>
      </w:r>
      <w:r>
        <w:t xml:space="preserve"> </w:t>
      </w:r>
      <w:hyperlink r:id="rId176">
        <w:r>
          <w:rPr>
            <w:rStyle w:val="InternetLink"/>
          </w:rPr>
          <w:t xml:space="preserve">The impact of catchment source group classification on the accuracy of sediment fingerprinting outputs</w:t>
        </w:r>
      </w:hyperlink>
      <w:r>
        <w:t xml:space="preserve">. Journal of Environmental Management 194:16–26</w:t>
      </w:r>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 https://doi.org/</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w:t>
      </w:r>
      <w:r>
        <w:t xml:space="preserve"> </w:t>
      </w:r>
      <w:hyperlink r:id="rId186">
        <w:r>
          <w:rPr>
            <w:rStyle w:val="InternetLink"/>
          </w:rPr>
          <w:t xml:space="preserve">Sediment fingerprinting in agricultural catchments: A critical re-examination of source discrimination and data corrections</w:t>
        </w:r>
      </w:hyperlink>
      <w:r>
        <w:t xml:space="preserve">. Geomorphology 204:177–191</w:t>
      </w:r>
    </w:p>
    <w:bookmarkEnd w:id="187"/>
    <w:bookmarkStart w:id="189" w:name="ref-stock2018"/>
    <w:p>
      <w:pPr>
        <w:pStyle w:val="Bibliography"/>
      </w:pPr>
      <w:r>
        <w:t xml:space="preserve">Stock BC, Jackson AL, Ward EJ, et al (2018) Analyzing mixing systems using a new generation of bayesian tracer mixing models. PeerJ 6c:e5096. https://doi.org/</w:t>
      </w:r>
      <w:hyperlink r:id="rId188">
        <w:r>
          <w:rPr>
            <w:rStyle w:val="InternetLink"/>
          </w:rPr>
          <w:t xml:space="preserve">https://doi.org/10.7717/peerj.5096</w:t>
        </w:r>
      </w:hyperlink>
    </w:p>
    <w:bookmarkEnd w:id="189"/>
    <w:bookmarkStart w:id="191" w:name="ref-stock2016"/>
    <w:p>
      <w:pPr>
        <w:pStyle w:val="Bibliography"/>
      </w:pPr>
      <w:r>
        <w:t xml:space="preserve">Stock BC, Semmens BX (2016a)</w:t>
      </w:r>
      <w:r>
        <w:t xml:space="preserve"> </w:t>
      </w:r>
      <w:hyperlink r:id="rId190">
        <w:r>
          <w:rPr>
            <w:rStyle w:val="InternetLink"/>
          </w:rPr>
          <w:t xml:space="preserve">Unifying error structures in commonly used biotracer mixing models</w:t>
        </w:r>
      </w:hyperlink>
      <w:r>
        <w:t xml:space="preserve">. Ecology 97:2562–2569</w:t>
      </w:r>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0"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p>
    <w:bookmarkEnd w:id="200"/>
    <w:bookmarkStart w:id="202" w:name="ref-vörösmarty2010"/>
    <w:p>
      <w:pPr>
        <w:pStyle w:val="Bibliography"/>
      </w:pPr>
      <w:r>
        <w:t xml:space="preserve">Vörösmarty CJ, McIntyre PB, Gessner MO, et al (2010) Global threats to human water security and river biodiversity. Nature 467:555561. https://doi.org/</w:t>
      </w:r>
      <w:hyperlink r:id="rId201">
        <w:r>
          <w:rPr>
            <w:rStyle w:val="InternetLink"/>
          </w:rPr>
          <w:t xml:space="preserve">https://doi.org/10.1038/nature09440</w:t>
        </w:r>
      </w:hyperlink>
    </w:p>
    <w:bookmarkEnd w:id="202"/>
    <w:bookmarkStart w:id="204"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3">
        <w:r>
          <w:rPr>
            <w:rStyle w:val="InternetLink"/>
          </w:rPr>
          <w:t xml:space="preserve">https://doi.org/10.1016/j.jenvrad.2004.03.019</w:t>
        </w:r>
      </w:hyperlink>
    </w:p>
    <w:bookmarkEnd w:id="204"/>
    <w:bookmarkStart w:id="206" w:name="ref-walling2008"/>
    <w:p>
      <w:pPr>
        <w:pStyle w:val="Bibliography"/>
      </w:pPr>
      <w:r>
        <w:t xml:space="preserve">Walling DE, Collins AL (2008) The catchment sediment budget as a management tool. Environmental Science and Policy 11:136–143.</w:t>
      </w:r>
      <w:r>
        <w:t xml:space="preserve"> </w:t>
      </w:r>
      <w:hyperlink r:id="rId205">
        <w:r>
          <w:rPr>
            <w:rStyle w:val="InternetLink"/>
          </w:rPr>
          <w:t xml:space="preserve">https://doi.org/10.1016/j.envsci.2007.10.004</w:t>
        </w:r>
      </w:hyperlink>
    </w:p>
    <w:bookmarkEnd w:id="206"/>
    <w:bookmarkStart w:id="208"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7">
        <w:r>
          <w:rPr>
            <w:rStyle w:val="InternetLink"/>
          </w:rPr>
          <w:t xml:space="preserve">https://doi.org/10.1021/es100053v</w:t>
        </w:r>
      </w:hyperlink>
    </w:p>
    <w:bookmarkEnd w:id="208"/>
    <w:bookmarkStart w:id="209" w:name="ref-weihs2005"/>
    <w:p>
      <w:pPr>
        <w:pStyle w:val="Bibliography"/>
      </w:pPr>
      <w:r>
        <w:t xml:space="preserve">Weihs C, Ligges U, Luebke K, Raabe N (2005) klaR analyzing german business cycles. In: Baier D, Decker R, Schmidt-Thieme L (eds). Springer, Berlin, Germany, p 335343</w:t>
      </w:r>
    </w:p>
    <w:bookmarkEnd w:id="209"/>
    <w:bookmarkStart w:id="210" w:name="ref-wickham2016"/>
    <w:p>
      <w:pPr>
        <w:pStyle w:val="Bibliography"/>
      </w:pPr>
      <w:r>
        <w:t xml:space="preserve">Wickham H (2016) ggplot2: Elegant graphics for data analysis. Springer-Verlag, New York NY U.S.A</w:t>
      </w:r>
    </w:p>
    <w:bookmarkEnd w:id="210"/>
    <w:bookmarkStart w:id="212"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 https://doi.org/</w:t>
      </w:r>
      <w:hyperlink r:id="rId211">
        <w:r>
          <w:rPr>
            <w:rStyle w:val="InternetLink"/>
          </w:rPr>
          <w:t xml:space="preserve">https://doi.org/10.1016/j.geomorph.2009.04.001</w:t>
        </w:r>
      </w:hyperlink>
    </w:p>
    <w:bookmarkEnd w:id="212"/>
    <w:bookmarkEnd w:id="213"/>
    <w:bookmarkEnd w:id="214"/>
    <w:bookmarkStart w:id="252"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5">
        <w:r>
          <w:rPr>
            <w:rStyle w:val="InternetLink"/>
            <w:vertAlign w:val="subscript"/>
          </w:rPr>
          <w:t xml:space="preserve">Article Notebook</w:t>
        </w:r>
      </w:hyperlink>
    </w:p>
    <w:tbl>
      <w:tblPr>
        <w:tblStyle w:val="Table"/>
        <w:tblW w:type="pct" w:w="5000"/>
        <w:jc w:val="left"/>
        <w:tblLayout w:type="fixed"/>
        <w:tblLook w:firstRow="0" w:lastRow="0" w:firstColumn="0" w:lastColumn="0" w:noHBand="0" w:noVBand="0" w:val="0000"/>
      </w:tblPr>
      <w:tblGrid>
        <w:gridCol w:w="7920"/>
      </w:tblGrid>
      <w:tr>
        <w:tc>
          <w:tcPr/>
          <w:bookmarkStart w:id="219" w:name="suppplot-supfig1"/>
          <w:p>
            <w:pPr>
              <w:jc w:val="center"/>
            </w:pPr>
            <w:r>
              <w:drawing>
                <wp:inline>
                  <wp:extent cx="4620126" cy="3696101"/>
                  <wp:effectExtent b="0" l="0" r="0" t="0"/>
                  <wp:docPr descr="" title="" id="217" name="Picture"/>
                  <a:graphic>
                    <a:graphicData uri="http://schemas.openxmlformats.org/drawingml/2006/picture">
                      <pic:pic>
                        <pic:nvPicPr>
                          <pic:cNvPr descr="index_files/figure-docx/unnamed-chunk-2-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1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3" w:name="suppplot-supfig2"/>
          <w:p>
            <w:pPr>
              <w:jc w:val="center"/>
            </w:pPr>
            <w:r>
              <w:drawing>
                <wp:inline>
                  <wp:extent cx="4620126" cy="3696101"/>
                  <wp:effectExtent b="0" l="0" r="0" t="0"/>
                  <wp:docPr descr="" title="" id="221" name="Picture"/>
                  <a:graphic>
                    <a:graphicData uri="http://schemas.openxmlformats.org/drawingml/2006/picture">
                      <pic:pic>
                        <pic:nvPicPr>
                          <pic:cNvPr descr="index_files/figure-docx/unnamed-chunk-3-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7" w:name="suppplot-supfig3"/>
          <w:p>
            <w:pPr>
              <w:jc w:val="center"/>
            </w:pPr>
            <w:r>
              <w:drawing>
                <wp:inline>
                  <wp:extent cx="4620126" cy="3696101"/>
                  <wp:effectExtent b="0" l="0" r="0" t="0"/>
                  <wp:docPr descr="" title="" id="225" name="Picture"/>
                  <a:graphic>
                    <a:graphicData uri="http://schemas.openxmlformats.org/drawingml/2006/picture">
                      <pic:pic>
                        <pic:nvPicPr>
                          <pic:cNvPr descr="index_files/figure-docx/unnamed-chunk-4-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1" w:name="suppplot-supfig4"/>
          <w:p>
            <w:pPr>
              <w:jc w:val="center"/>
            </w:pPr>
            <w:r>
              <w:drawing>
                <wp:inline>
                  <wp:extent cx="4620126" cy="3696101"/>
                  <wp:effectExtent b="0" l="0" r="0" t="0"/>
                  <wp:docPr descr="" title="" id="229" name="Picture"/>
                  <a:graphic>
                    <a:graphicData uri="http://schemas.openxmlformats.org/drawingml/2006/picture">
                      <pic:pic>
                        <pic:nvPicPr>
                          <pic:cNvPr descr="index_files/figure-docx/unnamed-chunk-5-1.png" id="23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1"/>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5" w:name="suppplot-supfig5"/>
          <w:p>
            <w:pPr>
              <w:jc w:val="center"/>
            </w:pPr>
            <w:r>
              <w:drawing>
                <wp:inline>
                  <wp:extent cx="4620126" cy="3696101"/>
                  <wp:effectExtent b="0" l="0" r="0" t="0"/>
                  <wp:docPr descr="" title="" id="233" name="Picture"/>
                  <a:graphic>
                    <a:graphicData uri="http://schemas.openxmlformats.org/drawingml/2006/picture">
                      <pic:pic>
                        <pic:nvPicPr>
                          <pic:cNvPr descr="index_files/figure-docx/unnamed-chunk-6-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9" w:name="suppplot-supfig6"/>
          <w:p>
            <w:pPr>
              <w:jc w:val="center"/>
            </w:pPr>
            <w:r>
              <w:drawing>
                <wp:inline>
                  <wp:extent cx="4620126" cy="3696101"/>
                  <wp:effectExtent b="0" l="0" r="0" t="0"/>
                  <wp:docPr descr="" title="" id="237" name="Picture"/>
                  <a:graphic>
                    <a:graphicData uri="http://schemas.openxmlformats.org/drawingml/2006/picture">
                      <pic:pic>
                        <pic:nvPicPr>
                          <pic:cNvPr descr="index_files/figure-docx/unnamed-chunk-7-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3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3" w:name="suppplot-supfig7"/>
          <w:p>
            <w:pPr>
              <w:jc w:val="center"/>
            </w:pPr>
            <w:r>
              <w:drawing>
                <wp:inline>
                  <wp:extent cx="4620126" cy="3696101"/>
                  <wp:effectExtent b="0" l="0" r="0" t="0"/>
                  <wp:docPr descr="" title="" id="241" name="Picture"/>
                  <a:graphic>
                    <a:graphicData uri="http://schemas.openxmlformats.org/drawingml/2006/picture">
                      <pic:pic>
                        <pic:nvPicPr>
                          <pic:cNvPr descr="index_files/figure-docx/unnamed-chunk-8-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7" w:name="suppplot-supfig8"/>
          <w:p>
            <w:pPr>
              <w:jc w:val="center"/>
            </w:pPr>
            <w:r>
              <w:drawing>
                <wp:inline>
                  <wp:extent cx="4620126" cy="3696101"/>
                  <wp:effectExtent b="0" l="0" r="0" t="0"/>
                  <wp:docPr descr="" title="" id="245" name="Picture"/>
                  <a:graphic>
                    <a:graphicData uri="http://schemas.openxmlformats.org/drawingml/2006/picture">
                      <pic:pic>
                        <pic:nvPicPr>
                          <pic:cNvPr descr="index_files/figure-docx/unnamed-chunk-9-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1" w:name="suppplot-supfig9"/>
          <w:p>
            <w:pPr>
              <w:jc w:val="center"/>
            </w:pPr>
            <w:r>
              <w:drawing>
                <wp:inline>
                  <wp:extent cx="4620126" cy="3696101"/>
                  <wp:effectExtent b="0" l="0" r="0" t="0"/>
                  <wp:docPr descr="" title="" id="249" name="Picture"/>
                  <a:graphic>
                    <a:graphicData uri="http://schemas.openxmlformats.org/drawingml/2006/picture">
                      <pic:pic>
                        <pic:nvPicPr>
                          <pic:cNvPr descr="index_files/figure-docx/unnamed-chunk-10-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1"/>
        </w:tc>
      </w:tr>
    </w:tbl>
    <w:bookmarkEnd w:id="252"/>
    <w:bookmarkStart w:id="260" w:name="supplemental-tables"/>
    <w:p>
      <w:pPr>
        <w:pStyle w:val="Heading2"/>
      </w:pPr>
      <w:r>
        <w:t xml:space="preserve">Supplemental tables</w:t>
      </w:r>
    </w:p>
    <w:tbl>
      <w:tblPr>
        <w:tblStyle w:val="Table"/>
        <w:tblW w:type="pct" w:w="5000"/>
        <w:jc w:val="left"/>
        <w:tblLayout w:type="fixed"/>
        <w:tblLook w:firstRow="0" w:lastRow="0" w:firstColumn="0" w:lastColumn="0" w:noHBand="0" w:noVBand="0" w:val="0000"/>
      </w:tblPr>
      <w:tblGrid>
        <w:gridCol w:w="7920"/>
      </w:tblGrid>
      <w:tr>
        <w:tc>
          <w:tcPr/>
          <w:bookmarkStart w:id="253"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4" w:name="supptab-model-eq"/>
          <w:p>
            <w:pPr>
              <w:jc w:val="center"/>
            </w:pPr>
            <w:pPr>
              <w:jc w:val="start"/>
              <w:spacing w:before="200"/>
              <w:pStyle w:val="ImageCaption"/>
            </w:pPr>
            <w:r>
              <w:t xml:space="preserve">Table S2: Model evaluation metric and criteria</w:t>
            </w:r>
          </w:p>
          <w:tbl>
            <w:tblPr>
              <w:tblStyle w:val="Table"/>
              <w:tblW w:type="pct" w:w="5000"/>
              <w:jc w:val="left"/>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5"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6"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6"/>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7"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7"/>
          <w:p/>
        </w:tc>
      </w:tr>
    </w:tbl>
    <w:p>
      <w:pPr>
        <w:pStyle w:val="TextBody"/>
      </w:pPr>
      <w:r>
        <w:t xml:space="preserve"> </w:t>
      </w:r>
    </w:p>
    <w:bookmarkStart w:id="258" w:name="supptab-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jc w:val="left"/>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jc w:val="left"/>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jc w:val="left"/>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8"/>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9"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9"/>
        </w:tc>
      </w:tr>
    </w:tbl>
    <w:bookmarkEnd w:id="260"/>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footnotePr>
    <w:numFmt w:val="decimal"/>
    <w:footnote w:id="0"/>
    <w:footnote w:id="1"/>
  </w:footnotePr>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8" Target="media/rId248.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_rels/footnotes.xml.rels><?xml version="1.0" encoding="UTF-8"?><Relationships xmlns="http://schemas.openxmlformats.org/package/2006/relationships"><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2024-04-02T20:09:02Z</dcterms:created>
  <dcterms:modified xsi:type="dcterms:W3CDTF">2024-04-02T20:09:02Z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2024-04-02</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