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9.png" ContentType="image/png"/>
  <Override PartName="/word/media/rId52.png" ContentType="image/png"/>
  <Override PartName="/word/media/rId21.png" ContentType="image/png"/>
  <Override PartName="/word/media/rId46.png" ContentType="image/png"/>
  <Override PartName="/word/media/rId3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Soil distribution and snowmelt-driven export of polymer fertilizer coatings in a cold-climate agro-ecosystem</w:t>
      </w:r>
    </w:p>
    <w:p>
      <w:pPr>
        <w:pStyle w:val="Author"/>
      </w:pPr>
      <w:r>
        <w:t xml:space="preserve">Alexander J Koiter</w:t>
      </w:r>
    </w:p>
    <w:p>
      <w:pPr>
        <w:pStyle w:val="Author"/>
      </w:pPr>
      <w:r>
        <w:t xml:space="preserve">Aaron Glenn</w:t>
      </w:r>
    </w:p>
    <w:p>
      <w:pPr>
        <w:pStyle w:val="Author"/>
      </w:pPr>
      <w:r>
        <w:t xml:space="preserve">Cameron Beaupre</w:t>
      </w:r>
    </w:p>
    <w:p>
      <w:pPr>
        <w:pStyle w:val="Author"/>
      </w:pPr>
      <w:r>
        <w:t xml:space="preserve">Henry Wilson</w:t>
      </w:r>
    </w:p>
    <w:p>
      <w:pPr>
        <w:pStyle w:val="AbstractTitle"/>
      </w:pPr>
      <w:r>
        <w:t xml:space="preserve">Abstract</w:t>
      </w:r>
    </w:p>
    <w:p>
      <w:pPr>
        <w:pStyle w:val="Abstract"/>
      </w:pPr>
      <w:r>
        <w:t xml:space="preserve">Polymer-coated slow-release fertilizers are a deliberate and quantifiable input of microplastics to agricultural soils, yet their fate in cold, snowmelt-dominated agro-ecosystems remains poorly characterized This pilot study investigated the in-field distribution and snowmelt export of polymer fertilizer coatings applied to two small agricultural watersheds in south-central Manitoba, Canada. Surface soils (0-5 cm) were sampled along hillslope transects at multiple dates following a single application, and spring snowmelt runoff was collected at the edge-of-field outlet of two small watersheds. Results showed that hillslope position and time since application significantly affected coating abundance and areal density, with lower slope positions accumulating more coatings than upper positions, consistent with downslope transport. Coatings persisted in surface soils over ~18 months with modest losses, and comparable abundances across 0-5 and 5-10 cm depth intervals indicating vertical mixing within the plow layer. During snowmelt, small amounts of coatings were exported with runoff from both watersheds. These findings demonstrate that agricultural soils can serve as a multi-year source of microplastics to downstream ecosystems and highlight the need for sampling protocols that account for spatial and temporal variability, as well as improved edge-of-field monitoring in cold regions to determine potential long-term impacts.</w:t>
      </w:r>
    </w:p>
    <w:bookmarkStart w:id="20" w:name="introduction"/>
    <w:p>
      <w:pPr>
        <w:pStyle w:val="Heading2"/>
      </w:pPr>
      <w:r>
        <w:t xml:space="preserve">1 Introduction</w:t>
      </w:r>
    </w:p>
    <w:p>
      <w:pPr>
        <w:pStyle w:val="FirstParagraph"/>
      </w:pPr>
      <w:r>
        <w:t xml:space="preserve">Plastics are extensively used in all aspects of life, including residential, commercial, industrial, agricultural and institutional sectors. Through improper disposal, accidental and incidental releases, and intentional placement, plastics have become a widespread pollutant found in every ecosystem. This has resulted in global concern surrounding the effects of plastic pollution on ecosystem and human health</w:t>
      </w:r>
      <w:r>
        <w:t xml:space="preserve"> </w:t>
      </w:r>
      <w:r>
        <w:t xml:space="preserve">(</w:t>
      </w:r>
      <w:hyperlink w:anchor="ref-zhang2022">
        <w:r>
          <w:rPr>
            <w:rStyle w:val="InternetLink"/>
          </w:rPr>
          <w:t xml:space="preserve">Zhang et al., 2022</w:t>
        </w:r>
      </w:hyperlink>
      <w:r>
        <w:t xml:space="preserve">)</w:t>
      </w:r>
      <w:r>
        <w:t xml:space="preserve">. Of particular concern, are micro-plastics (MPs) (&lt;5mm) due to their movement and health impacts within the food chain and their rapid dispersion beyond their initial point of release. Despite the ubiquitous distribution of MP pollution across all ecosystem types, the focus has primarily been on marine and freshwater ecosystems</w:t>
      </w:r>
      <w:r>
        <w:t xml:space="preserve"> </w:t>
      </w:r>
      <w:r>
        <w:t xml:space="preserve">(</w:t>
      </w:r>
      <w:hyperlink w:anchor="ref-anderson2017">
        <w:r>
          <w:rPr>
            <w:rStyle w:val="InternetLink"/>
          </w:rPr>
          <w:t xml:space="preserve">Anderson et al., 2017</w:t>
        </w:r>
      </w:hyperlink>
      <w:r>
        <w:t xml:space="preserve">;</w:t>
      </w:r>
      <w:r>
        <w:t xml:space="preserve"> </w:t>
      </w:r>
      <w:hyperlink w:anchor="ref-lenaker2021">
        <w:r>
          <w:rPr>
            <w:rStyle w:val="InternetLink"/>
          </w:rPr>
          <w:t xml:space="preserve">Lenaker et al., 2021</w:t>
        </w:r>
      </w:hyperlink>
      <w:r>
        <w:t xml:space="preserve">)</w:t>
      </w:r>
      <w:r>
        <w:t xml:space="preserve"> </w:t>
      </w:r>
      <w:r>
        <w:t xml:space="preserve">and with an emphasis on urban and industrial wastewater sources. A 2021 survey of the plastic pollution literature found that only 4% of publications specifically investigated MPs in soils</w:t>
      </w:r>
      <w:r>
        <w:t xml:space="preserve"> </w:t>
      </w:r>
      <w:r>
        <w:t xml:space="preserve">(</w:t>
      </w:r>
      <w:hyperlink w:anchor="ref-weber2021">
        <w:r>
          <w:rPr>
            <w:rStyle w:val="InternetLink"/>
          </w:rPr>
          <w:t xml:space="preserve">Weber et al., 2021</w:t>
        </w:r>
      </w:hyperlink>
      <w:r>
        <w:t xml:space="preserve">)</w:t>
      </w:r>
      <w:r>
        <w:t xml:space="preserve">. Agriculture and soil have received relatively less attention despite the prevalent use of plastics, including horticultural mulch, twine, bale wrap, product bags and containers, and polymer-coated slow-release fertilizers</w:t>
      </w:r>
      <w:r>
        <w:t xml:space="preserve"> </w:t>
      </w:r>
      <w:r>
        <w:t xml:space="preserve">(</w:t>
      </w:r>
      <w:hyperlink w:anchor="ref-rillig2017">
        <w:r>
          <w:rPr>
            <w:rStyle w:val="InternetLink"/>
          </w:rPr>
          <w:t xml:space="preserve">Rillig et al., 2017</w:t>
        </w:r>
      </w:hyperlink>
      <w:r>
        <w:t xml:space="preserve">)</w:t>
      </w:r>
      <w:r>
        <w:t xml:space="preserve">.</w:t>
      </w:r>
    </w:p>
    <w:p>
      <w:pPr>
        <w:pStyle w:val="TextBody"/>
      </w:pPr>
      <w:r>
        <w:t xml:space="preserve">There is currently little information on the concentration, distribution, or types of plastic in agricultural soil, the effect they have on soil and plant health and the extent as to which agro-ecosystems may act as a source of MPs to downstream ecosystems</w:t>
      </w:r>
      <w:r>
        <w:t xml:space="preserve"> </w:t>
      </w:r>
      <w:r>
        <w:t xml:space="preserve">(</w:t>
      </w:r>
      <w:hyperlink w:anchor="ref-chinyo2026">
        <w:r>
          <w:rPr>
            <w:rStyle w:val="InternetLink"/>
          </w:rPr>
          <w:t xml:space="preserve">Chinyo et al., 2026</w:t>
        </w:r>
      </w:hyperlink>
      <w:r>
        <w:t xml:space="preserve">)</w:t>
      </w:r>
      <w:r>
        <w:t xml:space="preserve">. Even within agriculture and soil science disciplines, the focus has largely been on assessing the risks associated with applying municipal biosolids as a soil amendment which have been shown to have higher concentrations of MPs</w:t>
      </w:r>
      <w:r>
        <w:t xml:space="preserve"> </w:t>
      </w:r>
      <w:r>
        <w:t xml:space="preserve">(</w:t>
      </w:r>
      <w:hyperlink w:anchor="ref-crossman2020">
        <w:r>
          <w:rPr>
            <w:rStyle w:val="InternetLink"/>
          </w:rPr>
          <w:t xml:space="preserve">Crossman et al., 2020</w:t>
        </w:r>
      </w:hyperlink>
      <w:r>
        <w:t xml:space="preserve">)</w:t>
      </w:r>
      <w:r>
        <w:t xml:space="preserve">. In terms of deliberate applications to agricultural soil, polymer-coated slow-release fertilizers represent a large input of MPs. While these slow-release fertilizers improve nitrogen-use efficiency, the low rates of plastic degradation coupled with repeated applications lead to accumulation within the soil</w:t>
      </w:r>
      <w:r>
        <w:t xml:space="preserve"> </w:t>
      </w:r>
      <w:r>
        <w:t xml:space="preserve">(</w:t>
      </w:r>
      <w:hyperlink w:anchor="ref-isakov2025">
        <w:r>
          <w:rPr>
            <w:rStyle w:val="InternetLink"/>
          </w:rPr>
          <w:t xml:space="preserve">Isakov et al., 2025</w:t>
        </w:r>
      </w:hyperlink>
      <w:r>
        <w:t xml:space="preserve">)</w:t>
      </w:r>
      <w:r>
        <w:t xml:space="preserve">. There is a considerable gap in our understanding of the nature of MPs in soils both in terms of the direct impact on the agro-ecosystem health and as a source of MPs to downstream ecosystems.</w:t>
      </w:r>
    </w:p>
    <w:p>
      <w:pPr>
        <w:pStyle w:val="TextBody"/>
      </w:pPr>
      <w:r>
        <w:t xml:space="preserve">Soil erosion, including tillage and surface water runoff actively redistribute MPs across agricultural landscapes</w:t>
      </w:r>
      <w:r>
        <w:t xml:space="preserve"> </w:t>
      </w:r>
      <w:r>
        <w:t xml:space="preserve">(</w:t>
      </w:r>
      <w:hyperlink w:anchor="ref-rehm2024">
        <w:r>
          <w:rPr>
            <w:rStyle w:val="InternetLink"/>
          </w:rPr>
          <w:t xml:space="preserve">Rehm and Fiener, 2024</w:t>
        </w:r>
      </w:hyperlink>
      <w:r>
        <w:t xml:space="preserve">;</w:t>
      </w:r>
      <w:r>
        <w:t xml:space="preserve"> </w:t>
      </w:r>
      <w:hyperlink w:anchor="ref-wang2024">
        <w:r>
          <w:rPr>
            <w:rStyle w:val="InternetLink"/>
          </w:rPr>
          <w:t xml:space="preserve">Wang et al., 2024</w:t>
        </w:r>
      </w:hyperlink>
      <w:r>
        <w:t xml:space="preserve">)</w:t>
      </w:r>
      <w:r>
        <w:t xml:space="preserve">. Due to their low density, these buoyant particles are easily transported beyond field boundaries into adjacent environments making agricultural soils a likely source of MPs</w:t>
      </w:r>
      <w:r>
        <w:t xml:space="preserve"> </w:t>
      </w:r>
      <w:r>
        <w:t xml:space="preserve">(</w:t>
      </w:r>
      <w:hyperlink w:anchor="ref-leonard2024">
        <w:r>
          <w:rPr>
            <w:rStyle w:val="InternetLink"/>
          </w:rPr>
          <w:t xml:space="preserve">Leonard et al., 2024</w:t>
        </w:r>
      </w:hyperlink>
      <w:r>
        <w:t xml:space="preserve">)</w:t>
      </w:r>
      <w:r>
        <w:t xml:space="preserve">. Given the lack of basic research on agricultural soil MPs, specifically in cold snowmelt dominated agricultural systems, this is a high-priority research area</w:t>
      </w:r>
      <w:r>
        <w:t xml:space="preserve"> </w:t>
      </w:r>
      <w:r>
        <w:t xml:space="preserve">(</w:t>
      </w:r>
      <w:hyperlink w:anchor="X58f871d41ef90e7d5d6faf67b668dadba215eb4">
        <w:r>
          <w:rPr>
            <w:rStyle w:val="InternetLink"/>
          </w:rPr>
          <w:t xml:space="preserve">Environment and Climate Change Canada and Health Canada, 2020</w:t>
        </w:r>
      </w:hyperlink>
      <w:r>
        <w:t xml:space="preserve">)</w:t>
      </w:r>
      <w:r>
        <w:t xml:space="preserve">. The primary purpose of this pilot project was to investigate the fate of polymer coatings from slow-release fertilizers applied to agro-ecosystems in Manitoba, Canada. Because these coatings are applied in known quantities, locations, and timings, they are an ideal model plastic input for investigating the fate of agricultural MPs. The objectives of this study were to: 1) characterize the lateral and vertical movement of polymer coatings within surface soils; and 2) quantify the potential for export of polymer coatings from cropland in surface runoff during spring snowmelt.</w:t>
      </w:r>
    </w:p>
    <w:bookmarkEnd w:id="20"/>
    <w:bookmarkStart w:id="36" w:name="methods"/>
    <w:p>
      <w:pPr>
        <w:pStyle w:val="Heading2"/>
      </w:pPr>
      <w:r>
        <w:t xml:space="preserve">2 Methods</w:t>
      </w:r>
    </w:p>
    <w:bookmarkStart w:id="31" w:name="site-description"/>
    <w:p>
      <w:pPr>
        <w:pStyle w:val="Heading3"/>
      </w:pPr>
      <w:r>
        <w:t xml:space="preserve">2.1 Site description</w:t>
      </w:r>
    </w:p>
    <w:p>
      <w:pPr>
        <w:pStyle w:val="FirstParagraph"/>
      </w:pPr>
      <w:r>
        <w:t xml:space="preserve">The study site is located near the edge of the Manitoba Escarpment in the South Tobacco Creek Watershed (STCW), near the town of Miami, Manitoba, Canada (49.3711°N, 98.2439°W; 445 masl) (</w:t>
      </w:r>
      <w:hyperlink w:anchor="fig-mapr">
        <w:r>
          <w:rPr>
            <w:rStyle w:val="InternetLink"/>
          </w:rPr>
          <w:t xml:space="preserve">Figure 1</w:t>
        </w:r>
      </w:hyperlink>
      <w:r>
        <w:t xml:space="preserve">). The mean annual temperature is ~4 °C, and the mean annual precipitation is 527 mm, of which approximately 15% occurs as snow (</w:t>
      </w:r>
      <w:r>
        <w:t xml:space="preserve">Environment and Climate Change Canada (</w:t>
      </w:r>
      <w:hyperlink w:anchor="X314a104b7afaf0862b1b73f26445508a1e6fc28">
        <w:r>
          <w:rPr>
            <w:rStyle w:val="InternetLink"/>
          </w:rPr>
          <w:t xml:space="preserve">2026</w:t>
        </w:r>
      </w:hyperlink>
      <w:r>
        <w:t xml:space="preserve">)</w:t>
      </w:r>
      <w:r>
        <w:t xml:space="preserve">; Morden MB, climate ID 5021849, 1991–2020 normals;</w:t>
      </w:r>
      <w:r>
        <w:t xml:space="preserve"> </w:t>
      </w:r>
      <w:hyperlink w:anchor="suppfig-climate-normals">
        <w:r>
          <w:rPr>
            <w:rStyle w:val="InternetLink"/>
          </w:rPr>
          <w:t xml:space="preserve">Figure S1</w:t>
        </w:r>
      </w:hyperlink>
      <w:r>
        <w:t xml:space="preserve">). The topography is hummocky to undulating, with slope gradients of approximately 5%. Soils are classified as Orthic Dark Grey Chernozems, predominantly of the Dezwood Series. The Dezwood Series developed on moderately to strongly calcareous, deep, uniform, loamy mixed shale, limestone, and granite till deposits. These soils are often slightly eroded and slightly stony, with medium available water-holding capacity, medium organic matter content, and medium to high natural fertility</w:t>
      </w:r>
      <w:r>
        <w:t xml:space="preserve"> </w:t>
      </w:r>
      <w:r>
        <w:t xml:space="preserve">(</w:t>
      </w:r>
      <w:hyperlink w:anchor="ref-michalyna1988">
        <w:r>
          <w:rPr>
            <w:rStyle w:val="InternetLink"/>
          </w:rPr>
          <w:t xml:space="preserve">Michalyna et al., 1988</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fig-mapr"/>
          <w:p>
            <w:pPr>
              <w:pStyle w:val="Compact"/>
              <w:jc w:val="center"/>
            </w:pPr>
            <w:r>
              <w:drawing>
                <wp:inline>
                  <wp:extent cx="5943600" cy="3145043"/>
                  <wp:effectExtent b="0" l="0" r="0" t="0"/>
                  <wp:docPr descr="" title="" id="22" name="Picture"/>
                  <a:graphic>
                    <a:graphicData uri="http://schemas.openxmlformats.org/drawingml/2006/picture">
                      <pic:pic>
                        <pic:nvPicPr>
                          <pic:cNvPr descr="index_files/figure-docx/notebooks-maps-fig-mapr-output-2.png" id="23" name="Picture"/>
                          <pic:cNvPicPr>
                            <a:picLocks noChangeArrowheads="1" noChangeAspect="1"/>
                          </pic:cNvPicPr>
                        </pic:nvPicPr>
                        <pic:blipFill>
                          <a:blip r:embed="rId21"/>
                          <a:stretch>
                            <a:fillRect/>
                          </a:stretch>
                        </pic:blipFill>
                        <pic:spPr bwMode="auto">
                          <a:xfrm>
                            <a:off x="0" y="0"/>
                            <a:ext cx="5943600" cy="314504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Showing a) the location of the study site in southern Manitoba with an inset map of Canada; and b) the locations of the four transects and three slope positions sampled in the East and West watersheds. Red squares indicate locations of V-notched weirs</w:t>
            </w:r>
          </w:p>
          <w:bookmarkEnd w:id="24"/>
        </w:tc>
      </w:tr>
    </w:tbl>
    <w:p>
      <w:pPr>
        <w:pStyle w:val="TextBody"/>
      </w:pPr>
      <w:r>
        <w:rPr>
          <w:vertAlign w:val="subscript"/>
        </w:rPr>
        <w:t xml:space="preserve">Source:</w:t>
      </w:r>
      <w:r>
        <w:rPr>
          <w:vertAlign w:val="subscript"/>
        </w:rPr>
        <w:t xml:space="preserve"> </w:t>
      </w:r>
      <w:hyperlink r:id="rId25">
        <w:r>
          <w:rPr>
            <w:rStyle w:val="InternetLink"/>
            <w:vertAlign w:val="subscript"/>
          </w:rPr>
          <w:t xml:space="preserve">01 Map of study area</w:t>
        </w:r>
      </w:hyperlink>
    </w:p>
    <w:p>
      <w:pPr>
        <w:pStyle w:val="TextBody"/>
      </w:pPr>
      <w:r>
        <w:t xml:space="preserve">The STCW has a long history of being part of a national program aimed at assessing the economic and water quality impacts of different agricultural practices across Canada</w:t>
      </w:r>
      <w:r>
        <w:t xml:space="preserve"> </w:t>
      </w:r>
      <w:r>
        <w:t xml:space="preserve">(</w:t>
      </w:r>
      <w:hyperlink w:anchor="ref-agricultureandagri-foodcanada2011">
        <w:r>
          <w:rPr>
            <w:rStyle w:val="InternetLink"/>
          </w:rPr>
          <w:t xml:space="preserve">Agriculture and Agri-Food Canada, 2008</w:t>
        </w:r>
      </w:hyperlink>
      <w:r>
        <w:t xml:space="preserve">)</w:t>
      </w:r>
      <w:r>
        <w:t xml:space="preserve">. Within the STCW the research site comprises two small paired watersheds that drain to edge-of-field weirs: the west watershed (5.15 ha) and the east watershed (4.16 ha). Historically, these watersheds were used to compare runoff and nutrient loading from zero-tillage and conventionally tilled fields</w:t>
      </w:r>
      <w:r>
        <w:t xml:space="preserve"> </w:t>
      </w:r>
      <w:r>
        <w:t xml:space="preserve">(</w:t>
      </w:r>
      <w:hyperlink w:anchor="ref-tiessen2010">
        <w:r>
          <w:rPr>
            <w:rStyle w:val="InternetLink"/>
          </w:rPr>
          <w:t xml:space="preserve">Tiessen et al., 2010</w:t>
        </w:r>
      </w:hyperlink>
      <w:r>
        <w:t xml:space="preserve">)</w:t>
      </w:r>
      <w:r>
        <w:t xml:space="preserve">. Both watersheds are now managed under the same tillage practices. Polymer-coated urea (Environmental Smart Nitrogen (ESN);</w:t>
      </w:r>
      <w:r>
        <w:t xml:space="preserve"> </w:t>
      </w:r>
      <w:r>
        <w:t xml:space="preserve">Nutrien Ltd. (</w:t>
      </w:r>
      <w:hyperlink w:anchor="ref-nutrien_esn_datasheet_2022">
        <w:r>
          <w:rPr>
            <w:rStyle w:val="InternetLink"/>
          </w:rPr>
          <w:t xml:space="preserve">2022</w:t>
        </w:r>
      </w:hyperlink>
      <w:r>
        <w:t xml:space="preserve">)</w:t>
      </w:r>
      <w:r>
        <w:t xml:space="preserve">) was broadcast applied at a rate of 110 kg ha</w:t>
      </w:r>
      <w:r>
        <w:rPr>
          <w:vertAlign w:val="superscript"/>
        </w:rPr>
        <w:t xml:space="preserve">-1</w:t>
      </w:r>
      <w:r>
        <w:t xml:space="preserve"> </w:t>
      </w:r>
      <w:r>
        <w:t xml:space="preserve">on 2022-05-24 using a spin spreader and incorporated into the surface soil with the seeding of canola on 2022-05-25 using an air hoe drill. The drill, equipped with shovels, provided soil disturbance comparable to a cultivator pass, and packer wheels ensured close soil-to-ESN contact. Following canola harvest, the field was tilled to a depth of 10 to 15 cm using a field cultivator on 2022-10-29. A conventional fertilizer blend (not polymer coated) was applied in the spring of 2023 and incorporated into the soil with a single pass of the field cultivator prior to the seeding of spring wheat using the air hoe drill on 2023-05-11 (</w:t>
      </w:r>
      <w:hyperlink w:anchor="fig-weather-climate">
        <w:r>
          <w:rPr>
            <w:rStyle w:val="InternetLink"/>
          </w:rPr>
          <w:t xml:space="preserve">Figure 2</w:t>
        </w:r>
      </w:hyperlink>
      <w:r>
        <w:t xml:space="preserve">). ESN’s polymer coating is primarily composed of castor oil and polymethylene polyphenylene isocyanate</w:t>
      </w:r>
      <w:r>
        <w:t xml:space="preserve"> </w:t>
      </w:r>
      <w:r>
        <w:t xml:space="preserve">(</w:t>
      </w:r>
      <w:hyperlink w:anchor="ref-nutrien_esn_2026">
        <w:r>
          <w:rPr>
            <w:rStyle w:val="InternetLink"/>
          </w:rPr>
          <w:t xml:space="preserve">Nutrien Ltd., 2026</w:t>
        </w:r>
      </w:hyperlink>
      <w:r>
        <w:t xml:space="preserve">)</w:t>
      </w:r>
      <w:r>
        <w:t xml:space="preserve">. This polymer coating is designed to release nitrogen in response to soil temperatures to more closely match the demand of the crop reducing the potential losses through denitrification, volatilization, and leaching.</w:t>
      </w:r>
    </w:p>
    <w:tbl>
      <w:tblPr>
        <w:tblStyle w:val="Table"/>
        <w:tblW w:type="pct" w:w="5000"/>
        <w:tblLayout w:type="fixed"/>
        <w:tblLook w:firstRow="0" w:lastRow="0" w:firstColumn="0" w:lastColumn="0" w:noHBand="0" w:noVBand="0" w:val="0000"/>
      </w:tblPr>
      <w:tblGrid>
        <w:gridCol w:w="7920"/>
      </w:tblGrid>
      <w:tr>
        <w:tc>
          <w:tcPr/>
          <w:bookmarkStart w:id="29" w:name="fig-weather-climate"/>
          <w:p>
            <w:pPr>
              <w:pStyle w:val="Compact"/>
              <w:jc w:val="center"/>
            </w:pPr>
            <w:r>
              <w:drawing>
                <wp:inline>
                  <wp:extent cx="5943600" cy="4245428"/>
                  <wp:effectExtent b="0" l="0" r="0" t="0"/>
                  <wp:docPr descr="" title="" id="27" name="Picture"/>
                  <a:graphic>
                    <a:graphicData uri="http://schemas.openxmlformats.org/drawingml/2006/picture">
                      <pic:pic>
                        <pic:nvPicPr>
                          <pic:cNvPr descr="index_files/figure-docx/notebooks-weather_climate-fig-weather-climate-output-2.png" id="28" name="Picture"/>
                          <pic:cNvPicPr>
                            <a:picLocks noChangeArrowheads="1" noChangeAspect="1"/>
                          </pic:cNvPicPr>
                        </pic:nvPicPr>
                        <pic:blipFill>
                          <a:blip r:embed="rId26"/>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Weather conditions for the 2022 and 2023 water years (Oct 1 - Sept 30) for Deerwood, MB (Station ID 29886), located approximately 8 km from the field site. Vertical lines indicate the timing of (1) application of Environmental Smart Nitrogen (ESN) (polymer-coated slow-release urea); (2) seeding and tillage field operations; and (3) collection of soil and runoff samples. Red and blue points indicate average daily temperatures above and below 0 degrees Celsius, respectively. The blue line indicates cumulative precipitation over the hydrologic year.</w:t>
            </w:r>
          </w:p>
          <w:bookmarkEnd w:id="29"/>
        </w:tc>
      </w:tr>
    </w:tbl>
    <w:p>
      <w:pPr>
        <w:pStyle w:val="TextBody"/>
      </w:pPr>
      <w:r>
        <w:rPr>
          <w:vertAlign w:val="subscript"/>
        </w:rPr>
        <w:t xml:space="preserve">Source:</w:t>
      </w:r>
      <w:r>
        <w:rPr>
          <w:vertAlign w:val="subscript"/>
        </w:rPr>
        <w:t xml:space="preserve"> </w:t>
      </w:r>
      <w:hyperlink r:id="rId30">
        <w:r>
          <w:rPr>
            <w:rStyle w:val="InternetLink"/>
            <w:vertAlign w:val="subscript"/>
          </w:rPr>
          <w:t xml:space="preserve">02 Climate and weather</w:t>
        </w:r>
      </w:hyperlink>
    </w:p>
    <w:bookmarkEnd w:id="31"/>
    <w:bookmarkStart w:id="32" w:name="soil-sampling-and-analysis"/>
    <w:p>
      <w:pPr>
        <w:pStyle w:val="Heading3"/>
      </w:pPr>
      <w:r>
        <w:t xml:space="preserve">2.2 Soil sampling and analysis</w:t>
      </w:r>
    </w:p>
    <w:p>
      <w:pPr>
        <w:pStyle w:val="FirstParagraph"/>
      </w:pPr>
      <w:r>
        <w:t xml:space="preserve">Soil sampling was conducted at locations established in previous research</w:t>
      </w:r>
      <w:r>
        <w:t xml:space="preserve"> </w:t>
      </w:r>
      <w:r>
        <w:t xml:space="preserve">(</w:t>
      </w:r>
      <w:hyperlink w:anchor="ref-tiessen2010">
        <w:r>
          <w:rPr>
            <w:rStyle w:val="InternetLink"/>
          </w:rPr>
          <w:t xml:space="preserve">Tiessen et al., 2010</w:t>
        </w:r>
      </w:hyperlink>
      <w:r>
        <w:t xml:space="preserve">)</w:t>
      </w:r>
      <w:r>
        <w:t xml:space="preserve"> </w:t>
      </w:r>
      <w:r>
        <w:t xml:space="preserve">along four transects in each of the watersheds, with each transect spanning three hillslope positions: upper, mid, and lower slope (</w:t>
      </w:r>
      <w:hyperlink w:anchor="fig-mapr">
        <w:r>
          <w:rPr>
            <w:rStyle w:val="InternetLink"/>
          </w:rPr>
          <w:t xml:space="preserve">Figure 1</w:t>
        </w:r>
      </w:hyperlink>
      <w:r>
        <w:t xml:space="preserve">), giving 24 sampling locations in total. Samples were collected on three dates: 21 October 2022, 11 May 2023, and 19 September 2023 (</w:t>
      </w:r>
      <w:hyperlink w:anchor="fig-weather-climate">
        <w:r>
          <w:rPr>
            <w:rStyle w:val="InternetLink"/>
          </w:rPr>
          <w:t xml:space="preserve">Figure 2</w:t>
        </w:r>
      </w:hyperlink>
      <w:r>
        <w:t xml:space="preserve">). Surface soil samples were excavated with a spade from a 25 cm × 25 cm square to a depth of 5 cm, yielding a sample volume of 3125 cm³. On 19 September 2023, an additional sample was collected at each location from the 5–10 cm depth interval. On this date, two additional surface riparian samples were also collected from the grassed area between the edge of the cultivated field and the v-notch weir.</w:t>
      </w:r>
    </w:p>
    <w:p>
      <w:pPr>
        <w:pStyle w:val="TextBody"/>
      </w:pPr>
      <w:r>
        <w:t xml:space="preserve">Soil samples were disaggregated by hand into smaller aggregates and air-dried. Each sample was further manually disaggregated and sieved sequentially through 2-mm and 1.18-mm meshes. Polymer coatings were retrieved from the sieves using tweezers. The extracted coatings were cleaned by magnetic stirring in distilled water for 10 minutes at 500 rpm, then filtered and dried at 30 °C. The cleaned and dried polymer coatings were counted and collectively weighed using a balance with 0.1 mg resolution.</w:t>
      </w:r>
    </w:p>
    <w:bookmarkEnd w:id="32"/>
    <w:bookmarkStart w:id="34" w:name="runoff-and-water-sampling"/>
    <w:p>
      <w:pPr>
        <w:pStyle w:val="Heading3"/>
      </w:pPr>
      <w:r>
        <w:t xml:space="preserve">2.3 Runoff and water sampling</w:t>
      </w:r>
    </w:p>
    <w:p>
      <w:pPr>
        <w:pStyle w:val="FirstParagraph"/>
      </w:pPr>
      <w:r>
        <w:t xml:space="preserve">Sharp crested 90° V-notch weirs were present at the edge-of-field outlets of two small watersheds draining the study field. Measurement of flow at these sites has been ongoing for over 2 decades, primarily in support of research to characterized factors controlling nutrient transport, with methods initially detailed in Tiessen et al. (2010). For the present study period, water depth at the weirs was recorded at 5-min intervals using a pressure transducer (Onset HOBO Water Level Data Logger). The water depth were then used to calculate flow, based on a standard V-notched weir flow equation</w:t>
      </w:r>
      <w:r>
        <w:t xml:space="preserve"> </w:t>
      </w:r>
      <w:r>
        <w:t xml:space="preserve">(</w:t>
      </w:r>
      <w:hyperlink w:anchor="ref-astm_d5242_92">
        <w:r>
          <w:rPr>
            <w:rStyle w:val="InternetLink"/>
          </w:rPr>
          <w:t xml:space="preserve">ASTM International, 1992</w:t>
        </w:r>
      </w:hyperlink>
      <w:r>
        <w:t xml:space="preserve">)</w:t>
      </w:r>
      <w:r>
        <w:t xml:space="preserve">. Throughout the runoff event, staff gauges read manually during in person visits and from time-lapse photography were used to calibrate the logger-collected water depth data to depth from base of the V-notch weir. During regularly scheduled site visits for maintenance, collection of polymer coatings exported by surface runoff occurred on 2023-04-13, and 2023-04-14. Polymer coatings were collected from the runoff using a simple filtration system consisting of 1-mm screening set across the upstream side of the v notch. These screens were deployed for a maximum duration of two hours and switched twice a day for a total of four measurement periods at each weir over the spring runoff event. Polymer coatings were extracted from the screens using tweezers. The polymer coatings were dried at 30° C, counted and weighed. A cumulative volume of water exported over each time period of sampling for polymer coatings was calculated. An estimate of volume-weighted mean concentration was calculated for each watershed by dividing the total number of polymer coatings collected during all sampling intervals by the total volume runoff measured during those intervals (coatings m⁻³). The total number of polymer coatings exported over the course of snowmelt was extrapolated by multiplying the total accumulated volume of water by the volume-weighted mean concentration of polymer coatings (</w:t>
      </w:r>
      <w:hyperlink w:anchor="eq-poly">
        <w:r>
          <w:rPr>
            <w:rStyle w:val="InternetLink"/>
          </w:rPr>
          <w:t xml:space="preserve">Equation 1</w:t>
        </w:r>
      </w:hyperlink>
      <w:r>
        <w:t xml:space="preserve">). Polymer coating concentration was assumed to be independent of discharge.</w:t>
      </w:r>
    </w:p>
    <w:p>
      <w:pPr>
        <w:pStyle w:val="TextBody"/>
      </w:pPr>
      <w:bookmarkStart w:id="33" w:name="eq-poly"/>
      <m:oMathPara>
        <m:oMathParaPr>
          <m:jc m:val="center"/>
        </m:oMathParaPr>
        <m:oMath>
          <m:r>
            <m:t>P</m:t>
          </m:r>
          <m:r>
            <m:t>C</m:t>
          </m:r>
          <m:r>
            <m:rPr>
              <m:sty m:val="p"/>
            </m:rPr>
            <m:t>=</m:t>
          </m:r>
          <m:r>
            <m:t>V</m:t>
          </m:r>
          <m:r>
            <m:rPr>
              <m:sty m:val="p"/>
            </m:rPr>
            <m:t>×</m:t>
          </m:r>
          <m:f>
            <m:fPr>
              <m:type m:val="bar"/>
            </m:fPr>
            <m:num>
              <m:nary>
                <m:naryPr>
                  <m:chr m:val="∑"/>
                  <m:limLoc m:val="undOvr"/>
                  <m:subHide m:val="off"/>
                  <m:supHide m:val="off"/>
                </m:naryPr>
                <m:sub>
                  <m:r>
                    <m:t>i</m:t>
                  </m:r>
                  <m:r>
                    <m:rPr>
                      <m:sty m:val="p"/>
                    </m:rPr>
                    <m:t>=</m:t>
                  </m:r>
                  <m:r>
                    <m:t>1</m:t>
                  </m:r>
                </m:sub>
                <m:sup>
                  <m:r>
                    <m:t>n</m:t>
                  </m:r>
                </m:sup>
                <m:e>
                  <m:r>
                    <m:t>P</m:t>
                  </m:r>
                </m:e>
              </m:nary>
              <m:sSub>
                <m:e>
                  <m:r>
                    <m:t>C</m:t>
                  </m:r>
                </m:e>
                <m:sub>
                  <m:r>
                    <m:t>i</m:t>
                  </m:r>
                </m:sub>
              </m:sSub>
            </m:num>
            <m:den>
              <m:nary>
                <m:naryPr>
                  <m:chr m:val="∑"/>
                  <m:limLoc m:val="undOvr"/>
                  <m:subHide m:val="off"/>
                  <m:supHide m:val="off"/>
                </m:naryPr>
                <m:sub>
                  <m:r>
                    <m:t>i</m:t>
                  </m:r>
                  <m:r>
                    <m:rPr>
                      <m:sty m:val="p"/>
                    </m:rPr>
                    <m:t>=</m:t>
                  </m:r>
                  <m:r>
                    <m:t>1</m:t>
                  </m:r>
                </m:sub>
                <m:sup>
                  <m:r>
                    <m:t>n</m:t>
                  </m:r>
                </m:sup>
                <m:e>
                  <m:sSub>
                    <m:e>
                      <m:r>
                        <m:t>V</m:t>
                      </m:r>
                    </m:e>
                    <m:sub>
                      <m:r>
                        <m:t>i</m:t>
                      </m:r>
                    </m:sub>
                  </m:sSub>
                </m:e>
              </m:nary>
            </m:den>
          </m:f>
          <m:r>
            <m:t>  </m:t>
          </m:r>
          <m:d>
            <m:dPr>
              <m:begChr m:val="("/>
              <m:endChr m:val=")"/>
              <m:sepChr m:val=""/>
              <m:grow/>
            </m:dPr>
            <m:e>
              <m:r>
                <m:t>1</m:t>
              </m:r>
            </m:e>
          </m:d>
        </m:oMath>
      </m:oMathPara>
      <w:bookmarkEnd w:id="33"/>
    </w:p>
    <w:p>
      <w:pPr>
        <w:pStyle w:val="FirstParagraph"/>
      </w:pPr>
      <w:r>
        <w:t xml:space="preserve">where</w:t>
      </w:r>
      <w:r>
        <w:t xml:space="preserve"> </w:t>
      </w:r>
      <m:oMath>
        <m:r>
          <m:t>P</m:t>
        </m:r>
        <m:r>
          <m:t>C</m:t>
        </m:r>
      </m:oMath>
      <w:r>
        <w:t xml:space="preserve"> </w:t>
      </w:r>
      <w:r>
        <w:t xml:space="preserve">is the total estimated number of polymer coatings over the monitoring period,</w:t>
      </w:r>
      <w:r>
        <w:t xml:space="preserve"> </w:t>
      </w:r>
      <m:oMath>
        <m:r>
          <m:t>V</m:t>
        </m:r>
      </m:oMath>
      <w:r>
        <w:t xml:space="preserve"> </w:t>
      </w:r>
      <w:r>
        <w:t xml:space="preserve">is the total accumulated volume of water over the monitoring period (m</w:t>
      </w:r>
      <w:r>
        <w:rPr>
          <w:vertAlign w:val="superscript"/>
        </w:rPr>
        <w:t xml:space="preserve">3</w:t>
      </w:r>
      <w:r>
        <w:t xml:space="preserve">),</w:t>
      </w:r>
      <w:r>
        <w:t xml:space="preserve"> </w:t>
      </w:r>
      <m:oMath>
        <m:r>
          <m:t>P</m:t>
        </m:r>
        <m:sSub>
          <m:e>
            <m:r>
              <m:t>C</m:t>
            </m:r>
          </m:e>
          <m:sub>
            <m:r>
              <m:t>i</m:t>
            </m:r>
          </m:sub>
        </m:sSub>
      </m:oMath>
      <w:r>
        <w:t xml:space="preserve"> </w:t>
      </w:r>
      <w:r>
        <w:t xml:space="preserve">is the number of polymer coatings counted during measurement period</w:t>
      </w:r>
      <w:r>
        <w:t xml:space="preserve"> </w:t>
      </w:r>
      <m:oMath>
        <m:r>
          <m:t>i</m:t>
        </m:r>
      </m:oMath>
      <w:r>
        <w:t xml:space="preserve">,</w:t>
      </w:r>
      <w:r>
        <w:t xml:space="preserve"> </w:t>
      </w:r>
      <m:oMath>
        <m:sSub>
          <m:e>
            <m:r>
              <m:t>V</m:t>
            </m:r>
          </m:e>
          <m:sub>
            <m:r>
              <m:t>i</m:t>
            </m:r>
          </m:sub>
        </m:sSub>
      </m:oMath>
      <w:r>
        <w:t xml:space="preserve"> </w:t>
      </w:r>
      <w:r>
        <w:t xml:space="preserve">is the volume of water that passed during measurement period</w:t>
      </w:r>
      <w:r>
        <w:t xml:space="preserve"> </w:t>
      </w:r>
      <m:oMath>
        <m:r>
          <m:t>i</m:t>
        </m:r>
      </m:oMath>
      <w:r>
        <w:t xml:space="preserve"> </w:t>
      </w:r>
      <w:r>
        <w:t xml:space="preserve">(m</w:t>
      </w:r>
      <w:r>
        <w:rPr>
          <w:vertAlign w:val="superscript"/>
        </w:rPr>
        <w:t xml:space="preserve">3</w:t>
      </w:r>
      <w:r>
        <w:t xml:space="preserve">), and</w:t>
      </w:r>
      <w:r>
        <w:t xml:space="preserve"> </w:t>
      </w:r>
      <m:oMath>
        <m:r>
          <m:t>n</m:t>
        </m:r>
      </m:oMath>
      <w:r>
        <w:t xml:space="preserve"> </w:t>
      </w:r>
      <w:r>
        <w:t xml:space="preserve">is the number of measurement periods.</w:t>
      </w:r>
    </w:p>
    <w:bookmarkEnd w:id="34"/>
    <w:bookmarkStart w:id="35" w:name="statistical-analysis"/>
    <w:p>
      <w:pPr>
        <w:pStyle w:val="Heading3"/>
      </w:pPr>
      <w:r>
        <w:t xml:space="preserve">2.4 Statistical analysis</w:t>
      </w:r>
    </w:p>
    <w:p>
      <w:pPr>
        <w:pStyle w:val="FirstParagraph"/>
      </w:pPr>
      <w:r>
        <w:t xml:space="preserve">All statistical analysis, plotting, and mapping were undertaken using the R Statistical Software (v4.5.3);</w:t>
      </w:r>
      <w:r>
        <w:t xml:space="preserve"> </w:t>
      </w:r>
      <w:r>
        <w:t xml:space="preserve">R Core Team (</w:t>
      </w:r>
      <w:hyperlink w:anchor="ref-rcoreteam2026">
        <w:r>
          <w:rPr>
            <w:rStyle w:val="InternetLink"/>
          </w:rPr>
          <w:t xml:space="preserve">2026</w:t>
        </w:r>
      </w:hyperlink>
      <w:r>
        <w:t xml:space="preserve">)</w:t>
      </w:r>
      <w:r>
        <w:t xml:space="preserve">), through the RStudio Integrated Development Environment (v2026.05.1;</w:t>
      </w:r>
      <w:r>
        <w:t xml:space="preserve"> </w:t>
      </w:r>
      <w:r>
        <w:t xml:space="preserve">(</w:t>
      </w:r>
      <w:hyperlink w:anchor="ref-rstudio2026">
        <w:r>
          <w:rPr>
            <w:rStyle w:val="InternetLink"/>
          </w:rPr>
          <w:t xml:space="preserve">RStudio, 2026</w:t>
        </w:r>
      </w:hyperlink>
      <w:r>
        <w:t xml:space="preserve">)</w:t>
      </w:r>
      <w:r>
        <w:t xml:space="preserve"> </w:t>
      </w:r>
      <w:r>
        <w:t xml:space="preserve">). All plots and maps were created using the R package</w:t>
      </w:r>
      <w:r>
        <w:t xml:space="preserve"> </w:t>
      </w:r>
      <w:r>
        <w:rPr>
          <w:rStyle w:val="VerbatimChar"/>
        </w:rPr>
        <w:t xml:space="preserve">ggplot2</w:t>
      </w:r>
      <w:r>
        <w:t xml:space="preserve"> </w:t>
      </w:r>
      <w:r>
        <w:t xml:space="preserve">(v4.0.3;</w:t>
      </w:r>
      <w:r>
        <w:t xml:space="preserve"> </w:t>
      </w:r>
      <w:r>
        <w:t xml:space="preserve">Wickham (</w:t>
      </w:r>
      <w:hyperlink w:anchor="ref-wickham2016">
        <w:r>
          <w:rPr>
            <w:rStyle w:val="InternetLink"/>
          </w:rPr>
          <w:t xml:space="preserve">2016</w:t>
        </w:r>
      </w:hyperlink>
      <w:r>
        <w:t xml:space="preserve">)</w:t>
      </w:r>
      <w:r>
        <w:t xml:space="preserve">). Country and regional maps were created using data from the</w:t>
      </w:r>
      <w:r>
        <w:t xml:space="preserve"> </w:t>
      </w:r>
      <w:r>
        <w:rPr>
          <w:rStyle w:val="VerbatimChar"/>
        </w:rPr>
        <w:t xml:space="preserve">rnaturalearth</w:t>
      </w:r>
      <w:r>
        <w:t xml:space="preserve"> </w:t>
      </w:r>
      <w:r>
        <w:t xml:space="preserve">package</w:t>
      </w:r>
      <w:r>
        <w:t xml:space="preserve"> </w:t>
      </w:r>
      <w:r>
        <w:t xml:space="preserve">(</w:t>
      </w:r>
      <w:hyperlink w:anchor="ref-massicotte2023">
        <w:r>
          <w:rPr>
            <w:rStyle w:val="InternetLink"/>
          </w:rPr>
          <w:t xml:space="preserve">Massicotte and South, 2023</w:t>
        </w:r>
      </w:hyperlink>
      <w:r>
        <w:t xml:space="preserve">)</w:t>
      </w:r>
      <w:r>
        <w:t xml:space="preserve"> </w:t>
      </w:r>
      <w:r>
        <w:t xml:space="preserve">and other maps using ESRI imagery and the</w:t>
      </w:r>
      <w:r>
        <w:t xml:space="preserve"> </w:t>
      </w:r>
      <w:r>
        <w:rPr>
          <w:rStyle w:val="VerbatimChar"/>
        </w:rPr>
        <w:t xml:space="preserve">OpenStreetMap</w:t>
      </w:r>
      <w:r>
        <w:t xml:space="preserve"> </w:t>
      </w:r>
      <w:r>
        <w:t xml:space="preserve">package</w:t>
      </w:r>
      <w:r>
        <w:t xml:space="preserve"> </w:t>
      </w:r>
      <w:r>
        <w:t xml:space="preserve">(</w:t>
      </w:r>
      <w:hyperlink w:anchor="ref-fellows2023">
        <w:r>
          <w:rPr>
            <w:rStyle w:val="InternetLink"/>
          </w:rPr>
          <w:t xml:space="preserve">Fellows and JMapViewer library by Jan Peter Stotz, 2023</w:t>
        </w:r>
      </w:hyperlink>
      <w:r>
        <w:t xml:space="preserve">)</w:t>
      </w:r>
      <w:r>
        <w:t xml:space="preserve">. Weather data and climate normal data was retrieved from Environment and Climate Change Canada</w:t>
      </w:r>
      <w:r>
        <w:t xml:space="preserve"> </w:t>
      </w:r>
      <w:r>
        <w:t xml:space="preserve">(</w:t>
      </w:r>
      <w:hyperlink w:anchor="X314a104b7afaf0862b1b73f26445508a1e6fc28">
        <w:r>
          <w:rPr>
            <w:rStyle w:val="InternetLink"/>
          </w:rPr>
          <w:t xml:space="preserve">2026</w:t>
        </w:r>
      </w:hyperlink>
      <w:r>
        <w:t xml:space="preserve">)</w:t>
      </w:r>
      <w:r>
        <w:t xml:space="preserve"> </w:t>
      </w:r>
      <w:r>
        <w:t xml:space="preserve">using</w:t>
      </w:r>
      <w:r>
        <w:t xml:space="preserve"> </w:t>
      </w:r>
      <w:r>
        <w:rPr>
          <w:rStyle w:val="VerbatimChar"/>
        </w:rPr>
        <w:t xml:space="preserve">weathercan</w:t>
      </w:r>
      <w:r>
        <w:t xml:space="preserve"> </w:t>
      </w:r>
      <w:r>
        <w:t xml:space="preserve">package (v1.0.0;</w:t>
      </w:r>
      <w:r>
        <w:t xml:space="preserve"> </w:t>
      </w:r>
      <w:r>
        <w:t xml:space="preserve">E. LaZerte and Albers (</w:t>
      </w:r>
      <w:hyperlink w:anchor="ref-e.lazerte2018">
        <w:r>
          <w:rPr>
            <w:rStyle w:val="InternetLink"/>
          </w:rPr>
          <w:t xml:space="preserve">2018</w:t>
        </w:r>
      </w:hyperlink>
      <w:r>
        <w:t xml:space="preserve">)</w:t>
      </w:r>
      <w:r>
        <w:t xml:space="preserve">). Two Linear Mixed Models (R package</w:t>
      </w:r>
      <w:r>
        <w:t xml:space="preserve"> </w:t>
      </w:r>
      <w:r>
        <w:rPr>
          <w:rStyle w:val="VerbatimChar"/>
        </w:rPr>
        <w:t xml:space="preserve">glmmTMB</w:t>
      </w:r>
      <w:r>
        <w:t xml:space="preserve"> </w:t>
      </w:r>
      <w:r>
        <w:t xml:space="preserve">v1.1.14;</w:t>
      </w:r>
      <w:r>
        <w:t xml:space="preserve"> </w:t>
      </w:r>
      <w:r>
        <w:t xml:space="preserve">Brooks et al. (</w:t>
      </w:r>
      <w:hyperlink w:anchor="ref-brooks2017">
        <w:r>
          <w:rPr>
            <w:rStyle w:val="InternetLink"/>
          </w:rPr>
          <w:t xml:space="preserve">2017</w:t>
        </w:r>
      </w:hyperlink>
      <w:r>
        <w:t xml:space="preserve">)</w:t>
      </w:r>
      <w:r>
        <w:t xml:space="preserve">) were used to investigate the effect of hillslope position and sampling date (including interaction) on the abundance (number of coatings) and areal density (mass of polymer per unit area). Sample location was included as a random factor to control for the repeated measures over time. When a main effect was significant, post-hoc pairwise comparisons with a Benjamini-Hochberg p-value adjustment was used (</w:t>
      </w:r>
      <w:r>
        <w:rPr>
          <w:rStyle w:val="VerbatimChar"/>
        </w:rPr>
        <w:t xml:space="preserve">emmeans</w:t>
      </w:r>
      <w:r>
        <w:t xml:space="preserve"> </w:t>
      </w:r>
      <w:r>
        <w:t xml:space="preserve">v2.0.3;</w:t>
      </w:r>
      <w:r>
        <w:t xml:space="preserve"> </w:t>
      </w:r>
      <w:r>
        <w:t xml:space="preserve">Lenth (</w:t>
      </w:r>
      <w:hyperlink w:anchor="ref-lenth2024">
        <w:r>
          <w:rPr>
            <w:rStyle w:val="InternetLink"/>
          </w:rPr>
          <w:t xml:space="preserve">2024</w:t>
        </w:r>
      </w:hyperlink>
      <w:r>
        <w:t xml:space="preserve">)</w:t>
      </w:r>
      <w:r>
        <w:t xml:space="preserve"> </w:t>
      </w:r>
      <w:r>
        <w:t xml:space="preserve">). Model assumptions were assessed using DHARMa residual plots (</w:t>
      </w:r>
      <w:r>
        <w:rPr>
          <w:rStyle w:val="VerbatimChar"/>
        </w:rPr>
        <w:t xml:space="preserve">DHARMa</w:t>
      </w:r>
      <w:r>
        <w:t xml:space="preserve"> </w:t>
      </w:r>
      <w:r>
        <w:t xml:space="preserve">v0.5.0;</w:t>
      </w:r>
      <w:r>
        <w:t xml:space="preserve"> </w:t>
      </w:r>
      <w:r>
        <w:t xml:space="preserve">Hartig (</w:t>
      </w:r>
      <w:hyperlink w:anchor="ref-hartig2022">
        <w:r>
          <w:rPr>
            <w:rStyle w:val="InternetLink"/>
          </w:rPr>
          <w:t xml:space="preserve">2022</w:t>
        </w:r>
      </w:hyperlink>
      <w:r>
        <w:t xml:space="preserve">)</w:t>
      </w:r>
      <w:r>
        <w:t xml:space="preserve">), main effects were tested for collinearity (</w:t>
      </w:r>
      <w:r>
        <w:rPr>
          <w:rStyle w:val="VerbatimChar"/>
        </w:rPr>
        <w:t xml:space="preserve">performance</w:t>
      </w:r>
      <w:r>
        <w:t xml:space="preserve"> </w:t>
      </w:r>
      <w:r>
        <w:t xml:space="preserve">v0.17.0;</w:t>
      </w:r>
      <w:r>
        <w:t xml:space="preserve"> </w:t>
      </w:r>
      <w:r>
        <w:t xml:space="preserve">Lüdecke et al. (</w:t>
      </w:r>
      <w:hyperlink w:anchor="ref-ludecke2021">
        <w:r>
          <w:rPr>
            <w:rStyle w:val="InternetLink"/>
          </w:rPr>
          <w:t xml:space="preserve">2021</w:t>
        </w:r>
      </w:hyperlink>
      <w:r>
        <w:t xml:space="preserve">)</w:t>
      </w:r>
      <w:r>
        <w:t xml:space="preserve">), and results were presented as type III ANOVA (</w:t>
      </w:r>
      <w:r>
        <w:rPr>
          <w:rStyle w:val="VerbatimChar"/>
        </w:rPr>
        <w:t xml:space="preserve">car</w:t>
      </w:r>
      <w:r>
        <w:t xml:space="preserve"> </w:t>
      </w:r>
      <w:r>
        <w:t xml:space="preserve">v3.1.3;</w:t>
      </w:r>
      <w:r>
        <w:t xml:space="preserve"> </w:t>
      </w:r>
      <w:r>
        <w:t xml:space="preserve">Fox and Weisberg (</w:t>
      </w:r>
      <w:hyperlink w:anchor="ref-fox2019">
        <w:r>
          <w:rPr>
            <w:rStyle w:val="InternetLink"/>
          </w:rPr>
          <w:t xml:space="preserve">2019</w:t>
        </w:r>
      </w:hyperlink>
      <w:r>
        <w:t xml:space="preserve">)</w:t>
      </w:r>
      <w:r>
        <w:t xml:space="preserve">).</w:t>
      </w:r>
    </w:p>
    <w:bookmarkEnd w:id="35"/>
    <w:bookmarkEnd w:id="36"/>
    <w:bookmarkStart w:id="60" w:name="results-and-discussion"/>
    <w:p>
      <w:pPr>
        <w:pStyle w:val="Heading2"/>
      </w:pPr>
      <w:r>
        <w:t xml:space="preserve">3 Results and Discussion</w:t>
      </w:r>
    </w:p>
    <w:bookmarkStart w:id="51" w:name="in-field-abundance-and-distribution"/>
    <w:p>
      <w:pPr>
        <w:pStyle w:val="Heading3"/>
      </w:pPr>
      <w:r>
        <w:t xml:space="preserve">3.1 In-field abundance and distribution</w:t>
      </w:r>
    </w:p>
    <w:p>
      <w:pPr>
        <w:pStyle w:val="FirstParagraph"/>
      </w:pPr>
      <w:r>
        <w:t xml:space="preserve">In the statistical model investigating polymer abundance, the estimated variance for the random factor of sampling location was effectively zero, and this factor was removed from the model. No significant interaction between sampling date and hillslope position was detected for the abundance or density of polymer coatings in the 0-5 cm layer and this term was removed from the model. Both slope position and sampling date had a significant effect (p &lt; 0.05) on the abundance and density of polymer coatings (</w:t>
      </w:r>
      <w:hyperlink w:anchor="fig-poly-surface">
        <w:r>
          <w:rPr>
            <w:rStyle w:val="InternetLink"/>
          </w:rPr>
          <w:t xml:space="preserve">Figure 3</w:t>
        </w:r>
      </w:hyperlink>
      <w:r>
        <w:t xml:space="preserve">). Post-hoc pairwise comparisons showed that lower slope positions had significantly higher abundance, exceeding the upper positions by 112 coatings m⁻² and the mid positions by 94 coatings m⁻² (</w:t>
      </w:r>
      <w:hyperlink w:anchor="fig-poly-surface">
        <w:r>
          <w:rPr>
            <w:rStyle w:val="InternetLink"/>
          </w:rPr>
          <w:t xml:space="preserve">Figure 3</w:t>
        </w:r>
      </w:hyperlink>
      <w:r>
        <w:t xml:space="preserve"> </w:t>
      </w:r>
      <w:r>
        <w:t xml:space="preserve">and</w:t>
      </w:r>
      <w:r>
        <w:t xml:space="preserve"> </w:t>
      </w:r>
      <w:hyperlink w:anchor="tbl-abundance-posthoc">
        <w:r>
          <w:rPr>
            <w:rStyle w:val="InternetLink"/>
          </w:rPr>
          <w:t xml:space="preserve">Table 1</w:t>
        </w:r>
      </w:hyperlink>
      <w:r>
        <w:t xml:space="preserve">). Density followed a similar pattern, with the lower slope exceeding the upper positions by 0.12 g m⁻² and the mid positions by 0.09 g m⁻² (</w:t>
      </w:r>
      <w:hyperlink w:anchor="fig-poly-surface">
        <w:r>
          <w:rPr>
            <w:rStyle w:val="InternetLink"/>
          </w:rPr>
          <w:t xml:space="preserve">Figure 3</w:t>
        </w:r>
      </w:hyperlink>
      <w:r>
        <w:t xml:space="preserve"> </w:t>
      </w:r>
      <w:r>
        <w:t xml:space="preserve">and</w:t>
      </w:r>
      <w:r>
        <w:t xml:space="preserve"> </w:t>
      </w:r>
      <w:hyperlink w:anchor="tbl-density-posthoc">
        <w:r>
          <w:rPr>
            <w:rStyle w:val="InternetLink"/>
          </w:rPr>
          <w:t xml:space="preserve">Table 2</w:t>
        </w:r>
      </w:hyperlink>
      <w:r>
        <w:t xml:space="preserve">). There were some coatings observed in the riparian area surface soil, despite receiving no direct application (</w:t>
      </w:r>
      <w:hyperlink w:anchor="fig-poly-surface">
        <w:r>
          <w:rPr>
            <w:rStyle w:val="InternetLink"/>
          </w:rPr>
          <w:t xml:space="preserve">Figure 3</w:t>
        </w:r>
      </w:hyperlink>
      <w:r>
        <w:t xml:space="preserve">).</w:t>
      </w:r>
    </w:p>
    <w:p>
      <w:pPr>
        <w:pStyle w:val="TextBody"/>
      </w:pPr>
      <w:r>
        <w:t xml:space="preserve">The downslope increase in polymer quantities could relate to movement via overland flow, as the buoyant nature of the coatings makes them easy to transport</w:t>
      </w:r>
      <w:r>
        <w:t xml:space="preserve"> </w:t>
      </w:r>
      <w:r>
        <w:t xml:space="preserve">(</w:t>
      </w:r>
      <w:hyperlink w:anchor="ref-rehm2021">
        <w:r>
          <w:rPr>
            <w:rStyle w:val="InternetLink"/>
          </w:rPr>
          <w:t xml:space="preserve">Rehm et al., 2021</w:t>
        </w:r>
      </w:hyperlink>
      <w:r>
        <w:t xml:space="preserve">;</w:t>
      </w:r>
      <w:r>
        <w:t xml:space="preserve"> </w:t>
      </w:r>
      <w:hyperlink w:anchor="ref-severe2025">
        <w:r>
          <w:rPr>
            <w:rStyle w:val="InternetLink"/>
          </w:rPr>
          <w:t xml:space="preserve">Severe et al., 2025</w:t>
        </w:r>
      </w:hyperlink>
      <w:r>
        <w:t xml:space="preserve">)</w:t>
      </w:r>
      <w:r>
        <w:t xml:space="preserve">. Similarly, tillage erosion may also move coatings downslope with the soil</w:t>
      </w:r>
      <w:r>
        <w:t xml:space="preserve"> </w:t>
      </w:r>
      <w:r>
        <w:t xml:space="preserve">(</w:t>
      </w:r>
      <w:hyperlink w:anchor="ref-maqbool2024">
        <w:r>
          <w:rPr>
            <w:rStyle w:val="InternetLink"/>
          </w:rPr>
          <w:t xml:space="preserve">Maqbool et al., 2024</w:t>
        </w:r>
      </w:hyperlink>
      <w:r>
        <w:t xml:space="preserve">)</w:t>
      </w:r>
      <w:r>
        <w:t xml:space="preserve">. The overall reduction in polymer in surface soils over time may result from loss beyond the field boundary through overland flow. However, vertical movement below 5 cm likely accounts for much of this observed loss in surface MPs over time, as field operations including seeding and tillage mix the plow layer, resulting in downward movement despite surface application. No coatings were observed below 5 cm within the riparian area, supporting the conclusion that tillage is the primary driver of vertical coating distribution. This is supported by data showing similar polymer abundance and areal densities in both the 0-5 and 5-10 cm sampling depths (</w:t>
      </w:r>
      <w:hyperlink w:anchor="fig-depth">
        <w:r>
          <w:rPr>
            <w:rStyle w:val="InternetLink"/>
          </w:rPr>
          <w:t xml:space="preserve">Figure 4</w:t>
        </w:r>
      </w:hyperlink>
      <w:r>
        <w:t xml:space="preserve">). Lastly, the reduction in polymer density may also be attributed to decomposition of the polymer over time. The relatively small loss is consistent with coating persistence in the soil environment and repeat applications of polymer coated fertilizers are likely to lead to accumulation of coatings.</w:t>
      </w:r>
    </w:p>
    <w:tbl>
      <w:tblPr>
        <w:tblStyle w:val="Table"/>
        <w:tblW w:type="pct" w:w="5000"/>
        <w:tblLayout w:type="fixed"/>
        <w:tblLook w:firstRow="0" w:lastRow="0" w:firstColumn="0" w:lastColumn="0" w:noHBand="0" w:noVBand="0" w:val="0000"/>
      </w:tblPr>
      <w:tblGrid>
        <w:gridCol w:w="7920"/>
      </w:tblGrid>
      <w:tr>
        <w:tc>
          <w:tcPr/>
          <w:bookmarkStart w:id="40" w:name="fig-poly-surface"/>
          <w:p>
            <w:pPr>
              <w:pStyle w:val="Compact"/>
              <w:jc w:val="center"/>
            </w:pPr>
            <w:r>
              <w:drawing>
                <wp:inline>
                  <wp:extent cx="5943600" cy="4245428"/>
                  <wp:effectExtent b="0" l="0" r="0" t="0"/>
                  <wp:docPr descr="" title="" id="38" name="Picture"/>
                  <a:graphic>
                    <a:graphicData uri="http://schemas.openxmlformats.org/drawingml/2006/picture">
                      <pic:pic>
                        <pic:nvPicPr>
                          <pic:cNvPr descr="index_files/figure-docx/notebooks-soil_sampling-fig-poly-surface-output-1.png" id="39" name="Picture"/>
                          <pic:cNvPicPr>
                            <a:picLocks noChangeArrowheads="1" noChangeAspect="1"/>
                          </pic:cNvPicPr>
                        </pic:nvPicPr>
                        <pic:blipFill>
                          <a:blip r:embed="rId37"/>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Surface (0-5 cm) polymer areal density (a and b) and abundance (c and d) by elevation and date. Points show raw observations; Points outlined in black and error bars show model predictions with 95% CIs from a model fitted to square-root transformed data, back-transformed to the original scale. Within each plot significant differences (p&lt;0.05) between slope position or sampling dates are denoted with different letters. Because the riparian area had fewer sampling locations and was only sampled on 2023-09-19 it was excluded from the statistical analysis</w:t>
            </w:r>
          </w:p>
          <w:bookmarkEnd w:id="40"/>
        </w:tc>
      </w:tr>
    </w:tbl>
    <w:p>
      <w:pPr>
        <w:pStyle w:val="TextBody"/>
      </w:pPr>
      <w:r>
        <w:rPr>
          <w:vertAlign w:val="subscript"/>
        </w:rPr>
        <w:t xml:space="preserve">Source:</w:t>
      </w:r>
      <w:r>
        <w:rPr>
          <w:vertAlign w:val="subscript"/>
        </w:rPr>
        <w:t xml:space="preserve"> </w:t>
      </w:r>
      <w:hyperlink r:id="rId41">
        <w:r>
          <w:rPr>
            <w:rStyle w:val="InternetLink"/>
            <w:vertAlign w:val="subscript"/>
          </w:rPr>
          <w:t xml:space="preserve">03 Soil sampling</w:t>
        </w:r>
      </w:hyperlink>
    </w:p>
    <w:tbl>
      <w:tblPr>
        <w:tblStyle w:val="Table"/>
        <w:tblW w:type="pct" w:w="5000"/>
        <w:tblLayout w:type="fixed"/>
        <w:tblLook w:firstRow="0" w:lastRow="0" w:firstColumn="0" w:lastColumn="0" w:noHBand="0" w:noVBand="0" w:val="0000"/>
      </w:tblPr>
      <w:tblGrid>
        <w:gridCol w:w="7920"/>
      </w:tblGrid>
      <w:tr>
        <w:tc>
          <w:tcPr/>
          <w:bookmarkStart w:id="42" w:name="tbl-abundance-posthoc"/>
          <w:p>
            <w:pPr>
              <w:jc w:val="center"/>
            </w:pPr>
            <w:pPr>
              <w:jc w:val="start"/>
              <w:spacing w:before="200"/>
              <w:pStyle w:val="ImageCaption"/>
            </w:pPr>
            <w:r>
              <w:t xml:space="preserve">Table 1: Results of the post-hoc pairwise comparisons with a Benjamini-Hochberg p value adjustment for differences in the abundance of polymer coatings (</w:t>
            </w:r>
            <m:oMath>
              <m:r>
                <m:t>c</m:t>
              </m:r>
              <m:r>
                <m:t>o</m:t>
              </m:r>
              <m:r>
                <m:t>a</m:t>
              </m:r>
              <m:r>
                <m:t>t</m:t>
              </m:r>
              <m:r>
                <m:t>i</m:t>
              </m:r>
              <m:r>
                <m:t>n</m:t>
              </m:r>
              <m:r>
                <m:t>g</m:t>
              </m:r>
              <m:r>
                <m:t>s</m:t>
              </m:r>
              <m:r>
                <m:t> </m:t>
              </m:r>
              <m:sSup>
                <m:e>
                  <m:r>
                    <m:t>m</m:t>
                  </m:r>
                </m:e>
                <m:sup>
                  <m:r>
                    <m:rPr>
                      <m:sty m:val="p"/>
                    </m:rPr>
                    <m:t>−</m:t>
                  </m:r>
                  <m:r>
                    <m:t>2</m:t>
                  </m:r>
                </m:sup>
              </m:sSup>
            </m:oMath>
            <w:r>
              <w:t xml:space="preserve">) between the three slope positions and sampling dates. Data were square-root transformed prior to analysis and back-transformed to the original scale for reporting.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w:r>
                    <w:t xml:space="preserve">Contrast</w:t>
                  </w:r>
                </w:p>
              </w:tc>
              <w:tc>
                <w:tcPr/>
                <w:p>
                  <w:pPr>
                    <w:pStyle w:val="Compact"/>
                    <w:jc w:val="center"/>
                    <w:jc w:val="center"/>
                  </w:pPr>
                  <w:r>
                    <w:t xml:space="preserve">Estimate</w:t>
                  </w:r>
                </w:p>
              </w:tc>
              <w:tc>
                <w:tcPr/>
                <w:p>
                  <w:pPr>
                    <w:pStyle w:val="Compact"/>
                    <w:jc w:val="center"/>
                    <w:jc w:val="center"/>
                  </w:pPr>
                  <w:r>
                    <w:t xml:space="preserve">SE</w:t>
                  </w:r>
                </w:p>
              </w:tc>
              <w:tc>
                <w:tcPr/>
                <w:p>
                  <w:pPr>
                    <w:pStyle w:val="Compact"/>
                    <w:jc w:val="center"/>
                    <w:jc w:val="center"/>
                  </w:pPr>
                  <w:r>
                    <w:t xml:space="preserve">df</w:t>
                  </w:r>
                </w:p>
              </w:tc>
              <w:tc>
                <w:tcPr/>
                <w:p>
                  <w:pPr>
                    <w:pStyle w:val="Compact"/>
                    <w:jc w:val="center"/>
                    <w:jc w:val="center"/>
                  </w:pPr>
                  <w:r>
                    <w:t xml:space="preserve">t ratio</w:t>
                  </w:r>
                </w:p>
              </w:tc>
              <w:tc>
                <w:tcPr/>
                <w:p>
                  <w:pPr>
                    <w:pStyle w:val="Compact"/>
                    <w:jc w:val="center"/>
                    <w:jc w:val="center"/>
                  </w:pPr>
                  <w:r>
                    <w:t xml:space="preserve">p value</w:t>
                  </w:r>
                </w:p>
              </w:tc>
            </w:tr>
            <w:tr>
              <w:tc>
                <w:tcPr>
                  <w:gridSpan w:val="6"/>
                </w:tcPr>
                <w:p>
                  <w:pPr>
                    <w:pStyle w:val="Compact"/>
                    <w:jc w:val="center"/>
                    <w:jc w:val="center"/>
                  </w:pPr>
                  <w:r>
                    <w:t xml:space="preserve">Slope Position</w:t>
                  </w:r>
                </w:p>
              </w:tc>
            </w:tr>
            <w:tr>
              <w:tc>
                <w:tcPr/>
                <w:p>
                  <w:pPr>
                    <w:pStyle w:val="Compact"/>
                    <w:jc w:val="center"/>
                    <w:jc w:val="center"/>
                  </w:pPr>
                  <w:r>
                    <w:t xml:space="preserve">Upper - Middle</w:t>
                  </w:r>
                </w:p>
              </w:tc>
              <w:tc>
                <w:tcPr/>
                <w:p>
                  <w:pPr>
                    <w:pStyle w:val="Compact"/>
                    <w:jc w:val="center"/>
                    <w:jc w:val="center"/>
                  </w:pPr>
                  <w:r>
                    <w:t xml:space="preserve">−18.06</w:t>
                  </w:r>
                </w:p>
              </w:tc>
              <w:tc>
                <w:tcPr/>
                <w:p>
                  <w:pPr>
                    <w:pStyle w:val="Compact"/>
                    <w:jc w:val="center"/>
                    <w:jc w:val="center"/>
                  </w:pPr>
                  <w:r>
                    <w:t xml:space="preserve">37.07</w:t>
                  </w:r>
                </w:p>
              </w:tc>
              <w:tc>
                <w:tcPr/>
                <w:p>
                  <w:pPr>
                    <w:pStyle w:val="Compact"/>
                    <w:jc w:val="center"/>
                    <w:jc w:val="center"/>
                  </w:pPr>
                  <w:r>
                    <w:t xml:space="preserve">66</w:t>
                  </w:r>
                </w:p>
              </w:tc>
              <w:tc>
                <w:tcPr/>
                <w:p>
                  <w:pPr>
                    <w:pStyle w:val="Compact"/>
                    <w:jc w:val="center"/>
                    <w:jc w:val="center"/>
                  </w:pPr>
                  <w:r>
                    <w:t xml:space="preserve">−0.49</w:t>
                  </w:r>
                </w:p>
              </w:tc>
              <w:tc>
                <w:tcPr/>
                <w:p>
                  <w:pPr>
                    <w:pStyle w:val="Compact"/>
                    <w:jc w:val="center"/>
                    <w:jc w:val="center"/>
                  </w:pPr>
                  <w:r>
                    <w:t xml:space="preserve">0.628</w:t>
                  </w:r>
                </w:p>
              </w:tc>
            </w:tr>
            <w:tr>
              <w:tc>
                <w:tcPr/>
                <w:p>
                  <w:pPr>
                    <w:pStyle w:val="Compact"/>
                    <w:jc w:val="center"/>
                    <w:jc w:val="center"/>
                  </w:pPr>
                  <w:r>
                    <w:t xml:space="preserve">Upper - Lower</w:t>
                  </w:r>
                </w:p>
              </w:tc>
              <w:tc>
                <w:tcPr/>
                <w:p>
                  <w:pPr>
                    <w:pStyle w:val="Compact"/>
                    <w:jc w:val="center"/>
                    <w:jc w:val="center"/>
                  </w:pPr>
                  <w:r>
                    <w:t xml:space="preserve">−112.16</w:t>
                  </w:r>
                </w:p>
              </w:tc>
              <w:tc>
                <w:tcPr/>
                <w:p>
                  <w:pPr>
                    <w:pStyle w:val="Compact"/>
                    <w:jc w:val="center"/>
                    <w:jc w:val="center"/>
                  </w:pPr>
                  <w:r>
                    <w:t xml:space="preserve">40.57</w:t>
                  </w:r>
                </w:p>
              </w:tc>
              <w:tc>
                <w:tcPr/>
                <w:p>
                  <w:pPr>
                    <w:pStyle w:val="Compact"/>
                    <w:jc w:val="center"/>
                    <w:jc w:val="center"/>
                  </w:pPr>
                  <w:r>
                    <w:t xml:space="preserve">66</w:t>
                  </w:r>
                </w:p>
              </w:tc>
              <w:tc>
                <w:tcPr/>
                <w:p>
                  <w:pPr>
                    <w:pStyle w:val="Compact"/>
                    <w:jc w:val="center"/>
                    <w:jc w:val="center"/>
                  </w:pPr>
                  <w:r>
                    <w:t xml:space="preserve">−2.76</w:t>
                  </w:r>
                </w:p>
              </w:tc>
              <w:tc>
                <w:tcPr/>
                <w:p>
                  <w:pPr>
                    <w:pStyle w:val="Compact"/>
                    <w:jc w:val="center"/>
                    <w:jc w:val="center"/>
                  </w:pPr>
                  <w:r>
                    <w:t xml:space="preserve">0.022</w:t>
                  </w:r>
                </w:p>
              </w:tc>
            </w:tr>
            <w:tr>
              <w:tc>
                <w:tcPr/>
                <w:p>
                  <w:pPr>
                    <w:pStyle w:val="Compact"/>
                    <w:jc w:val="center"/>
                    <w:jc w:val="center"/>
                  </w:pPr>
                  <w:r>
                    <w:t xml:space="preserve">Middle - Lower</w:t>
                  </w:r>
                </w:p>
              </w:tc>
              <w:tc>
                <w:tcPr/>
                <w:p>
                  <w:pPr>
                    <w:pStyle w:val="Compact"/>
                    <w:jc w:val="center"/>
                    <w:jc w:val="center"/>
                  </w:pPr>
                  <w:r>
                    <w:t xml:space="preserve">−94.10</w:t>
                  </w:r>
                </w:p>
              </w:tc>
              <w:tc>
                <w:tcPr/>
                <w:p>
                  <w:pPr>
                    <w:pStyle w:val="Compact"/>
                    <w:jc w:val="center"/>
                    <w:jc w:val="center"/>
                  </w:pPr>
                  <w:r>
                    <w:t xml:space="preserve">41.20</w:t>
                  </w:r>
                </w:p>
              </w:tc>
              <w:tc>
                <w:tcPr/>
                <w:p>
                  <w:pPr>
                    <w:pStyle w:val="Compact"/>
                    <w:jc w:val="center"/>
                    <w:jc w:val="center"/>
                  </w:pPr>
                  <w:r>
                    <w:t xml:space="preserve">66</w:t>
                  </w:r>
                </w:p>
              </w:tc>
              <w:tc>
                <w:tcPr/>
                <w:p>
                  <w:pPr>
                    <w:pStyle w:val="Compact"/>
                    <w:jc w:val="center"/>
                    <w:jc w:val="center"/>
                  </w:pPr>
                  <w:r>
                    <w:t xml:space="preserve">−2.28</w:t>
                  </w:r>
                </w:p>
              </w:tc>
              <w:tc>
                <w:tcPr/>
                <w:p>
                  <w:pPr>
                    <w:pStyle w:val="Compact"/>
                    <w:jc w:val="center"/>
                    <w:jc w:val="center"/>
                  </w:pPr>
                  <w:r>
                    <w:t xml:space="preserve">0.038</w:t>
                  </w:r>
                </w:p>
              </w:tc>
            </w:tr>
            <w:tr>
              <w:tc>
                <w:tcPr>
                  <w:gridSpan w:val="6"/>
                </w:tcPr>
                <w:p>
                  <w:pPr>
                    <w:pStyle w:val="Compact"/>
                    <w:jc w:val="center"/>
                    <w:jc w:val="center"/>
                  </w:pPr>
                  <w:r>
                    <w:t xml:space="preserve">Sampling Date</w:t>
                  </w:r>
                </w:p>
              </w:tc>
            </w:tr>
            <w:tr>
              <w:tc>
                <w:tcPr/>
                <w:p>
                  <w:pPr>
                    <w:pStyle w:val="Compact"/>
                    <w:jc w:val="center"/>
                    <w:jc w:val="center"/>
                  </w:pPr>
                  <w:r>
                    <w:t xml:space="preserve">2022-10-21 - 2023-05-11</w:t>
                  </w:r>
                </w:p>
              </w:tc>
              <w:tc>
                <w:tcPr/>
                <w:p>
                  <w:pPr>
                    <w:pStyle w:val="Compact"/>
                    <w:jc w:val="center"/>
                    <w:jc w:val="center"/>
                  </w:pPr>
                  <w:r>
                    <w:t xml:space="preserve">51.48</w:t>
                  </w:r>
                </w:p>
              </w:tc>
              <w:tc>
                <w:tcPr/>
                <w:p>
                  <w:pPr>
                    <w:pStyle w:val="Compact"/>
                    <w:jc w:val="center"/>
                    <w:jc w:val="center"/>
                  </w:pPr>
                  <w:r>
                    <w:t xml:space="preserve">45.17</w:t>
                  </w:r>
                </w:p>
              </w:tc>
              <w:tc>
                <w:tcPr/>
                <w:p>
                  <w:pPr>
                    <w:pStyle w:val="Compact"/>
                    <w:jc w:val="center"/>
                    <w:jc w:val="center"/>
                  </w:pPr>
                  <w:r>
                    <w:t xml:space="preserve">66</w:t>
                  </w:r>
                </w:p>
              </w:tc>
              <w:tc>
                <w:tcPr/>
                <w:p>
                  <w:pPr>
                    <w:pStyle w:val="Compact"/>
                    <w:jc w:val="center"/>
                    <w:jc w:val="center"/>
                  </w:pPr>
                  <w:r>
                    <w:t xml:space="preserve">1.14</w:t>
                  </w:r>
                </w:p>
              </w:tc>
              <w:tc>
                <w:tcPr/>
                <w:p>
                  <w:pPr>
                    <w:pStyle w:val="Compact"/>
                    <w:jc w:val="center"/>
                    <w:jc w:val="center"/>
                  </w:pPr>
                  <w:r>
                    <w:t xml:space="preserve">0.259</w:t>
                  </w:r>
                </w:p>
              </w:tc>
            </w:tr>
            <w:tr>
              <w:tc>
                <w:tcPr/>
                <w:p>
                  <w:pPr>
                    <w:pStyle w:val="Compact"/>
                    <w:jc w:val="center"/>
                    <w:jc w:val="center"/>
                  </w:pPr>
                  <w:r>
                    <w:t xml:space="preserve">2022-10-21 - 2023-09-19</w:t>
                  </w:r>
                </w:p>
              </w:tc>
              <w:tc>
                <w:tcPr/>
                <w:p>
                  <w:pPr>
                    <w:pStyle w:val="Compact"/>
                    <w:jc w:val="center"/>
                    <w:jc w:val="center"/>
                  </w:pPr>
                  <w:r>
                    <w:t xml:space="preserve">241.72</w:t>
                  </w:r>
                </w:p>
              </w:tc>
              <w:tc>
                <w:tcPr/>
                <w:p>
                  <w:pPr>
                    <w:pStyle w:val="Compact"/>
                    <w:jc w:val="center"/>
                    <w:jc w:val="center"/>
                  </w:pPr>
                  <w:r>
                    <w:t xml:space="preserve">38.63</w:t>
                  </w:r>
                </w:p>
              </w:tc>
              <w:tc>
                <w:tcPr/>
                <w:p>
                  <w:pPr>
                    <w:pStyle w:val="Compact"/>
                    <w:jc w:val="center"/>
                    <w:jc w:val="center"/>
                  </w:pPr>
                  <w:r>
                    <w:t xml:space="preserve">66</w:t>
                  </w:r>
                </w:p>
              </w:tc>
              <w:tc>
                <w:tcPr/>
                <w:p>
                  <w:pPr>
                    <w:pStyle w:val="Compact"/>
                    <w:jc w:val="center"/>
                    <w:jc w:val="center"/>
                  </w:pPr>
                  <w:r>
                    <w:t xml:space="preserve">6.26</w:t>
                  </w:r>
                </w:p>
              </w:tc>
              <w:tc>
                <w:tcPr/>
                <w:p>
                  <w:pPr>
                    <w:pStyle w:val="Compact"/>
                    <w:jc w:val="center"/>
                    <w:jc w:val="center"/>
                  </w:pPr>
                  <w:r>
                    <w:t xml:space="preserve">&lt;0.001</w:t>
                  </w:r>
                </w:p>
              </w:tc>
            </w:tr>
            <w:tr>
              <w:tc>
                <w:tcPr/>
                <w:p>
                  <w:pPr>
                    <w:pStyle w:val="Compact"/>
                    <w:jc w:val="center"/>
                    <w:jc w:val="center"/>
                  </w:pPr>
                  <w:r>
                    <w:t xml:space="preserve">2023-05-11 - 2023-09-19</w:t>
                  </w:r>
                </w:p>
              </w:tc>
              <w:tc>
                <w:tcPr/>
                <w:p>
                  <w:pPr>
                    <w:pStyle w:val="Compact"/>
                    <w:jc w:val="center"/>
                    <w:jc w:val="center"/>
                  </w:pPr>
                  <w:r>
                    <w:t xml:space="preserve">190.24</w:t>
                  </w:r>
                </w:p>
              </w:tc>
              <w:tc>
                <w:tcPr/>
                <w:p>
                  <w:pPr>
                    <w:pStyle w:val="Compact"/>
                    <w:jc w:val="center"/>
                    <w:jc w:val="center"/>
                  </w:pPr>
                  <w:r>
                    <w:t xml:space="preserve">36.66</w:t>
                  </w:r>
                </w:p>
              </w:tc>
              <w:tc>
                <w:tcPr/>
                <w:p>
                  <w:pPr>
                    <w:pStyle w:val="Compact"/>
                    <w:jc w:val="center"/>
                    <w:jc w:val="center"/>
                  </w:pPr>
                  <w:r>
                    <w:t xml:space="preserve">66</w:t>
                  </w:r>
                </w:p>
              </w:tc>
              <w:tc>
                <w:tcPr/>
                <w:p>
                  <w:pPr>
                    <w:pStyle w:val="Compact"/>
                    <w:jc w:val="center"/>
                    <w:jc w:val="center"/>
                  </w:pPr>
                  <w:r>
                    <w:t xml:space="preserve">5.19</w:t>
                  </w:r>
                </w:p>
              </w:tc>
              <w:tc>
                <w:tcPr/>
                <w:p>
                  <w:pPr>
                    <w:pStyle w:val="Compact"/>
                    <w:jc w:val="center"/>
                    <w:jc w:val="center"/>
                  </w:pPr>
                  <w:r>
                    <w:t xml:space="preserve">&lt;0.001</w:t>
                  </w:r>
                </w:p>
              </w:tc>
            </w:tr>
          </w:tbl>
          <w:bookmarkEnd w:id="42"/>
          <w:p/>
        </w:tc>
      </w:tr>
    </w:tbl>
    <w:p>
      <w:pPr>
        <w:pStyle w:val="TextBody"/>
      </w:pPr>
      <w:r>
        <w:rPr>
          <w:vertAlign w:val="subscript"/>
        </w:rPr>
        <w:t xml:space="preserve">Source:</w:t>
      </w:r>
      <w:r>
        <w:rPr>
          <w:vertAlign w:val="subscript"/>
        </w:rPr>
        <w:t xml:space="preserve"> </w:t>
      </w:r>
      <w:hyperlink r:id="rId43">
        <w:r>
          <w:rPr>
            <w:rStyle w:val="InternetLink"/>
            <w:vertAlign w:val="subscript"/>
          </w:rPr>
          <w:t xml:space="preserve">03 Soil sampling</w:t>
        </w:r>
      </w:hyperlink>
    </w:p>
    <w:tbl>
      <w:tblPr>
        <w:tblStyle w:val="Table"/>
        <w:tblW w:type="pct" w:w="5000"/>
        <w:tblLayout w:type="fixed"/>
        <w:tblLook w:firstRow="0" w:lastRow="0" w:firstColumn="0" w:lastColumn="0" w:noHBand="0" w:noVBand="0" w:val="0000"/>
      </w:tblPr>
      <w:tblGrid>
        <w:gridCol w:w="7920"/>
      </w:tblGrid>
      <w:tr>
        <w:tc>
          <w:tcPr/>
          <w:bookmarkStart w:id="44" w:name="tbl-density-posthoc"/>
          <w:p>
            <w:pPr>
              <w:jc w:val="center"/>
            </w:pPr>
            <w:pPr>
              <w:jc w:val="start"/>
              <w:spacing w:before="200"/>
              <w:pStyle w:val="ImageCaption"/>
            </w:pPr>
            <w:r>
              <w:t xml:space="preserve">Table 2: Results of the post-hoc pairwise comparisons with a Benjamini-Hochberg p value adjustment for differences in the mass of polymer coatings (</w:t>
            </w:r>
            <m:oMath>
              <m:r>
                <m:t>g</m:t>
              </m:r>
              <m:r>
                <m:t> </m:t>
              </m:r>
              <m:sSup>
                <m:e>
                  <m:r>
                    <m:t>m</m:t>
                  </m:r>
                </m:e>
                <m:sup>
                  <m:r>
                    <m:rPr>
                      <m:sty m:val="p"/>
                    </m:rPr>
                    <m:t>−</m:t>
                  </m:r>
                  <m:r>
                    <m:t>2</m:t>
                  </m:r>
                </m:sup>
              </m:sSup>
            </m:oMath>
            <w:r>
              <w:t xml:space="preserve">) between the three slope positions and sampling dates. Data were square-root transformed prior to analysis and back-transformed to the original scale for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jc w:val="center"/>
                  </w:pPr>
                  <w:r>
                    <w:t xml:space="preserve">Contrast</w:t>
                  </w:r>
                </w:p>
              </w:tc>
              <w:tc>
                <w:tcPr/>
                <w:p>
                  <w:pPr>
                    <w:pStyle w:val="Compact"/>
                    <w:jc w:val="center"/>
                    <w:jc w:val="center"/>
                  </w:pPr>
                  <w:r>
                    <w:t xml:space="preserve">Estimate</w:t>
                  </w:r>
                </w:p>
              </w:tc>
              <w:tc>
                <w:tcPr/>
                <w:p>
                  <w:pPr>
                    <w:pStyle w:val="Compact"/>
                    <w:jc w:val="center"/>
                    <w:jc w:val="center"/>
                  </w:pPr>
                  <w:r>
                    <w:t xml:space="preserve">SE</w:t>
                  </w:r>
                </w:p>
              </w:tc>
              <w:tc>
                <w:tcPr/>
                <w:p>
                  <w:pPr>
                    <w:pStyle w:val="Compact"/>
                    <w:jc w:val="center"/>
                    <w:jc w:val="center"/>
                  </w:pPr>
                  <w:r>
                    <w:t xml:space="preserve">z ratio</w:t>
                  </w:r>
                </w:p>
              </w:tc>
              <w:tc>
                <w:tcPr/>
                <w:p>
                  <w:pPr>
                    <w:pStyle w:val="Compact"/>
                    <w:jc w:val="center"/>
                    <w:jc w:val="center"/>
                  </w:pPr>
                  <w:r>
                    <w:t xml:space="preserve">p value</w:t>
                  </w:r>
                </w:p>
              </w:tc>
            </w:tr>
            <w:tr>
              <w:tc>
                <w:tcPr>
                  <w:gridSpan w:val="5"/>
                </w:tcPr>
                <w:p>
                  <w:pPr>
                    <w:pStyle w:val="Compact"/>
                    <w:jc w:val="center"/>
                    <w:jc w:val="center"/>
                  </w:pPr>
                  <w:r>
                    <w:t xml:space="preserve">Slope Position</w:t>
                  </w:r>
                </w:p>
              </w:tc>
            </w:tr>
            <w:tr>
              <w:tc>
                <w:tcPr/>
                <w:p>
                  <w:pPr>
                    <w:pStyle w:val="Compact"/>
                    <w:jc w:val="center"/>
                    <w:jc w:val="center"/>
                  </w:pPr>
                  <w:r>
                    <w:t xml:space="preserve">Upper - Middle</w:t>
                  </w:r>
                </w:p>
              </w:tc>
              <w:tc>
                <w:tcPr/>
                <w:p>
                  <w:pPr>
                    <w:pStyle w:val="Compact"/>
                    <w:jc w:val="center"/>
                    <w:jc w:val="center"/>
                  </w:pPr>
                  <w:r>
                    <w:t xml:space="preserve">−0.03</w:t>
                  </w:r>
                </w:p>
              </w:tc>
              <w:tc>
                <w:tcPr/>
                <w:p>
                  <w:pPr>
                    <w:pStyle w:val="Compact"/>
                    <w:jc w:val="center"/>
                    <w:jc w:val="center"/>
                  </w:pPr>
                  <w:r>
                    <w:t xml:space="preserve">0.04</w:t>
                  </w:r>
                </w:p>
              </w:tc>
              <w:tc>
                <w:tcPr/>
                <w:p>
                  <w:pPr>
                    <w:pStyle w:val="Compact"/>
                    <w:jc w:val="center"/>
                    <w:jc w:val="center"/>
                  </w:pPr>
                  <w:r>
                    <w:t xml:space="preserve">−0.69</w:t>
                  </w:r>
                </w:p>
              </w:tc>
              <w:tc>
                <w:tcPr/>
                <w:p>
                  <w:pPr>
                    <w:pStyle w:val="Compact"/>
                    <w:jc w:val="center"/>
                    <w:jc w:val="center"/>
                  </w:pPr>
                  <w:r>
                    <w:t xml:space="preserve">0.492</w:t>
                  </w:r>
                </w:p>
              </w:tc>
            </w:tr>
            <w:tr>
              <w:tc>
                <w:tcPr/>
                <w:p>
                  <w:pPr>
                    <w:pStyle w:val="Compact"/>
                    <w:jc w:val="center"/>
                    <w:jc w:val="center"/>
                  </w:pPr>
                  <w:r>
                    <w:t xml:space="preserve">Upper - Lower</w:t>
                  </w:r>
                </w:p>
              </w:tc>
              <w:tc>
                <w:tcPr/>
                <w:p>
                  <w:pPr>
                    <w:pStyle w:val="Compact"/>
                    <w:jc w:val="center"/>
                    <w:jc w:val="center"/>
                  </w:pPr>
                  <w:r>
                    <w:t xml:space="preserve">−0.12</w:t>
                  </w:r>
                </w:p>
              </w:tc>
              <w:tc>
                <w:tcPr/>
                <w:p>
                  <w:pPr>
                    <w:pStyle w:val="Compact"/>
                    <w:jc w:val="center"/>
                    <w:jc w:val="center"/>
                  </w:pPr>
                  <w:r>
                    <w:t xml:space="preserve">0.05</w:t>
                  </w:r>
                </w:p>
              </w:tc>
              <w:tc>
                <w:tcPr/>
                <w:p>
                  <w:pPr>
                    <w:pStyle w:val="Compact"/>
                    <w:jc w:val="center"/>
                    <w:jc w:val="center"/>
                  </w:pPr>
                  <w:r>
                    <w:t xml:space="preserve">−2.59</w:t>
                  </w:r>
                </w:p>
              </w:tc>
              <w:tc>
                <w:tcPr/>
                <w:p>
                  <w:pPr>
                    <w:pStyle w:val="Compact"/>
                    <w:jc w:val="center"/>
                    <w:jc w:val="center"/>
                  </w:pPr>
                  <w:r>
                    <w:t xml:space="preserve">0.029</w:t>
                  </w:r>
                </w:p>
              </w:tc>
            </w:tr>
            <w:tr>
              <w:tc>
                <w:tcPr/>
                <w:p>
                  <w:pPr>
                    <w:pStyle w:val="Compact"/>
                    <w:jc w:val="center"/>
                    <w:jc w:val="center"/>
                  </w:pPr>
                  <w:r>
                    <w:t xml:space="preserve">Middle - Lower</w:t>
                  </w:r>
                </w:p>
              </w:tc>
              <w:tc>
                <w:tcPr/>
                <w:p>
                  <w:pPr>
                    <w:pStyle w:val="Compact"/>
                    <w:jc w:val="center"/>
                    <w:jc w:val="center"/>
                  </w:pPr>
                  <w:r>
                    <w:t xml:space="preserve">−0.09</w:t>
                  </w:r>
                </w:p>
              </w:tc>
              <w:tc>
                <w:tcPr/>
                <w:p>
                  <w:pPr>
                    <w:pStyle w:val="Compact"/>
                    <w:jc w:val="center"/>
                    <w:jc w:val="center"/>
                  </w:pPr>
                  <w:r>
                    <w:t xml:space="preserve">0.05</w:t>
                  </w:r>
                </w:p>
              </w:tc>
              <w:tc>
                <w:tcPr/>
                <w:p>
                  <w:pPr>
                    <w:pStyle w:val="Compact"/>
                    <w:jc w:val="center"/>
                    <w:jc w:val="center"/>
                  </w:pPr>
                  <w:r>
                    <w:t xml:space="preserve">−1.91</w:t>
                  </w:r>
                </w:p>
              </w:tc>
              <w:tc>
                <w:tcPr/>
                <w:p>
                  <w:pPr>
                    <w:pStyle w:val="Compact"/>
                    <w:jc w:val="center"/>
                    <w:jc w:val="center"/>
                  </w:pPr>
                  <w:r>
                    <w:t xml:space="preserve">0.083</w:t>
                  </w:r>
                </w:p>
              </w:tc>
            </w:tr>
            <w:tr>
              <w:tc>
                <w:tcPr>
                  <w:gridSpan w:val="5"/>
                </w:tcPr>
                <w:p>
                  <w:pPr>
                    <w:pStyle w:val="Compact"/>
                    <w:jc w:val="center"/>
                    <w:jc w:val="center"/>
                  </w:pPr>
                  <w:r>
                    <w:t xml:space="preserve">Sampling Date</w:t>
                  </w:r>
                </w:p>
              </w:tc>
            </w:tr>
            <w:tr>
              <w:tc>
                <w:tcPr/>
                <w:p>
                  <w:pPr>
                    <w:pStyle w:val="Compact"/>
                    <w:jc w:val="center"/>
                    <w:jc w:val="center"/>
                  </w:pPr>
                  <w:r>
                    <w:t xml:space="preserve">2022-10-21 - 2023-05-11</w:t>
                  </w:r>
                </w:p>
              </w:tc>
              <w:tc>
                <w:tcPr/>
                <w:p>
                  <w:pPr>
                    <w:pStyle w:val="Compact"/>
                    <w:jc w:val="center"/>
                    <w:jc w:val="center"/>
                  </w:pPr>
                  <w:r>
                    <w:t xml:space="preserve">0.08</w:t>
                  </w:r>
                </w:p>
              </w:tc>
              <w:tc>
                <w:tcPr/>
                <w:p>
                  <w:pPr>
                    <w:pStyle w:val="Compact"/>
                    <w:jc w:val="center"/>
                    <w:jc w:val="center"/>
                  </w:pPr>
                  <w:r>
                    <w:t xml:space="preserve">0.04</w:t>
                  </w:r>
                </w:p>
              </w:tc>
              <w:tc>
                <w:tcPr/>
                <w:p>
                  <w:pPr>
                    <w:pStyle w:val="Compact"/>
                    <w:jc w:val="center"/>
                    <w:jc w:val="center"/>
                  </w:pPr>
                  <w:r>
                    <w:t xml:space="preserve">1.86</w:t>
                  </w:r>
                </w:p>
              </w:tc>
              <w:tc>
                <w:tcPr/>
                <w:p>
                  <w:pPr>
                    <w:pStyle w:val="Compact"/>
                    <w:jc w:val="center"/>
                    <w:jc w:val="center"/>
                  </w:pPr>
                  <w:r>
                    <w:t xml:space="preserve">0.062</w:t>
                  </w:r>
                </w:p>
              </w:tc>
            </w:tr>
            <w:tr>
              <w:tc>
                <w:tcPr/>
                <w:p>
                  <w:pPr>
                    <w:pStyle w:val="Compact"/>
                    <w:jc w:val="center"/>
                    <w:jc w:val="center"/>
                  </w:pPr>
                  <w:r>
                    <w:t xml:space="preserve">2022-10-21 - 2023-09-19</w:t>
                  </w:r>
                </w:p>
              </w:tc>
              <w:tc>
                <w:tcPr/>
                <w:p>
                  <w:pPr>
                    <w:pStyle w:val="Compact"/>
                    <w:jc w:val="center"/>
                    <w:jc w:val="center"/>
                  </w:pPr>
                  <w:r>
                    <w:t xml:space="preserve">0.27</w:t>
                  </w:r>
                </w:p>
              </w:tc>
              <w:tc>
                <w:tcPr/>
                <w:p>
                  <w:pPr>
                    <w:pStyle w:val="Compact"/>
                    <w:jc w:val="center"/>
                    <w:jc w:val="center"/>
                  </w:pPr>
                  <w:r>
                    <w:t xml:space="preserve">0.04</w:t>
                  </w:r>
                </w:p>
              </w:tc>
              <w:tc>
                <w:tcPr/>
                <w:p>
                  <w:pPr>
                    <w:pStyle w:val="Compact"/>
                    <w:jc w:val="center"/>
                    <w:jc w:val="center"/>
                  </w:pPr>
                  <w:r>
                    <w:t xml:space="preserve">7.23</w:t>
                  </w:r>
                </w:p>
              </w:tc>
              <w:tc>
                <w:tcPr/>
                <w:p>
                  <w:pPr>
                    <w:pStyle w:val="Compact"/>
                    <w:jc w:val="center"/>
                    <w:jc w:val="center"/>
                  </w:pPr>
                  <w:r>
                    <w:t xml:space="preserve">&lt;0.001</w:t>
                  </w:r>
                </w:p>
              </w:tc>
            </w:tr>
            <w:tr>
              <w:tc>
                <w:tcPr/>
                <w:p>
                  <w:pPr>
                    <w:pStyle w:val="Compact"/>
                    <w:jc w:val="center"/>
                    <w:jc w:val="center"/>
                  </w:pPr>
                  <w:r>
                    <w:t xml:space="preserve">2023-05-11 - 2023-09-19</w:t>
                  </w:r>
                </w:p>
              </w:tc>
              <w:tc>
                <w:tcPr/>
                <w:p>
                  <w:pPr>
                    <w:pStyle w:val="Compact"/>
                    <w:jc w:val="center"/>
                    <w:jc w:val="center"/>
                  </w:pPr>
                  <w:r>
                    <w:t xml:space="preserve">0.19</w:t>
                  </w:r>
                </w:p>
              </w:tc>
              <w:tc>
                <w:tcPr/>
                <w:p>
                  <w:pPr>
                    <w:pStyle w:val="Compact"/>
                    <w:jc w:val="center"/>
                    <w:jc w:val="center"/>
                  </w:pPr>
                  <w:r>
                    <w:t xml:space="preserve">0.03</w:t>
                  </w:r>
                </w:p>
              </w:tc>
              <w:tc>
                <w:tcPr/>
                <w:p>
                  <w:pPr>
                    <w:pStyle w:val="Compact"/>
                    <w:jc w:val="center"/>
                    <w:jc w:val="center"/>
                  </w:pPr>
                  <w:r>
                    <w:t xml:space="preserve">5.53</w:t>
                  </w:r>
                </w:p>
              </w:tc>
              <w:tc>
                <w:tcPr/>
                <w:p>
                  <w:pPr>
                    <w:pStyle w:val="Compact"/>
                    <w:jc w:val="center"/>
                    <w:jc w:val="center"/>
                  </w:pPr>
                  <w:r>
                    <w:t xml:space="preserve">&lt;0.001</w:t>
                  </w:r>
                </w:p>
              </w:tc>
            </w:tr>
          </w:tbl>
          <w:bookmarkEnd w:id="44"/>
          <w:p/>
        </w:tc>
      </w:tr>
    </w:tbl>
    <w:p>
      <w:pPr>
        <w:pStyle w:val="TextBody"/>
      </w:pPr>
      <w:r>
        <w:rPr>
          <w:vertAlign w:val="subscript"/>
        </w:rPr>
        <w:t xml:space="preserve">Source:</w:t>
      </w:r>
      <w:r>
        <w:rPr>
          <w:vertAlign w:val="subscript"/>
        </w:rPr>
        <w:t xml:space="preserve"> </w:t>
      </w:r>
      <w:hyperlink r:id="rId45">
        <w:r>
          <w:rPr>
            <w:rStyle w:val="InternetLink"/>
            <w:vertAlign w:val="subscript"/>
          </w:rPr>
          <w:t xml:space="preserve">03 Soil sampling</w:t>
        </w:r>
      </w:hyperlink>
    </w:p>
    <w:tbl>
      <w:tblPr>
        <w:tblStyle w:val="Table"/>
        <w:tblW w:type="pct" w:w="5000"/>
        <w:tblLayout w:type="fixed"/>
        <w:tblLook w:firstRow="0" w:lastRow="0" w:firstColumn="0" w:lastColumn="0" w:noHBand="0" w:noVBand="0" w:val="0000"/>
      </w:tblPr>
      <w:tblGrid>
        <w:gridCol w:w="7920"/>
      </w:tblGrid>
      <w:tr>
        <w:tc>
          <w:tcPr/>
          <w:bookmarkStart w:id="49" w:name="fig-depth"/>
          <w:p>
            <w:pPr>
              <w:pStyle w:val="Compact"/>
              <w:jc w:val="center"/>
            </w:pPr>
            <w:r>
              <w:drawing>
                <wp:inline>
                  <wp:extent cx="5943600" cy="4245428"/>
                  <wp:effectExtent b="0" l="0" r="0" t="0"/>
                  <wp:docPr descr="" title="" id="47" name="Picture"/>
                  <a:graphic>
                    <a:graphicData uri="http://schemas.openxmlformats.org/drawingml/2006/picture">
                      <pic:pic>
                        <pic:nvPicPr>
                          <pic:cNvPr descr="index_files/figure-docx/notebooks-soil_sampling-fig-depth-output-1.png" id="48" name="Picture"/>
                          <pic:cNvPicPr>
                            <a:picLocks noChangeArrowheads="1" noChangeAspect="1"/>
                          </pic:cNvPicPr>
                        </pic:nvPicPr>
                        <pic:blipFill>
                          <a:blip r:embed="rId46"/>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Polymer density (a) and abundance (b) for two sampling depths (0-5 and 5-10 cm) and the combined (0-10 cm) by slope position. Samples were collected on 2023-09-19 and no polymer was detected below 5 cm in the riparian area.</w:t>
            </w:r>
          </w:p>
          <w:bookmarkEnd w:id="49"/>
        </w:tc>
      </w:tr>
    </w:tbl>
    <w:p>
      <w:pPr>
        <w:pStyle w:val="TextBody"/>
      </w:pPr>
      <w:r>
        <w:rPr>
          <w:vertAlign w:val="subscript"/>
        </w:rPr>
        <w:t xml:space="preserve">Source:</w:t>
      </w:r>
      <w:r>
        <w:rPr>
          <w:vertAlign w:val="subscript"/>
        </w:rPr>
        <w:t xml:space="preserve"> </w:t>
      </w:r>
      <w:hyperlink r:id="rId50">
        <w:r>
          <w:rPr>
            <w:rStyle w:val="InternetLink"/>
            <w:vertAlign w:val="subscript"/>
          </w:rPr>
          <w:t xml:space="preserve">03 Soil sampling</w:t>
        </w:r>
      </w:hyperlink>
    </w:p>
    <w:p>
      <w:pPr>
        <w:pStyle w:val="TextBody"/>
      </w:pPr>
      <w:r>
        <w:t xml:space="preserve">The distribution of MPs in soil within agro-ecosystems is dynamic in both space and time, and continued research in this area must account for both dimensions when developing research ideas and sampling strategies. Currently, few guidelines or established sampling protocols are in place</w:t>
      </w:r>
      <w:r>
        <w:t xml:space="preserve"> </w:t>
      </w:r>
      <w:r>
        <w:t xml:space="preserve">(</w:t>
      </w:r>
      <w:hyperlink w:anchor="ref-chia2024">
        <w:r>
          <w:rPr>
            <w:rStyle w:val="InternetLink"/>
          </w:rPr>
          <w:t xml:space="preserve">Chia et al., 2024</w:t>
        </w:r>
      </w:hyperlink>
      <w:r>
        <w:t xml:space="preserve">)</w:t>
      </w:r>
      <w:r>
        <w:t xml:space="preserve">. The results of this study suggest that a transect approach along the catena is likely to capture the topographically driven variability, providing detailed information with lower effort compared to a grid or random sampling approach. The results also demonstrate the importance of sampling depth. While the surface layer (0-5 cm) is important for investigating loss through surface processes, a complete inventory is needed for long-term studies. At a minimum, sampling should extend to the depth of the deepest tillage operation, but preferential flow paths and bioturbation may carry MPs deeper into the soil profile. Ideally incremental depth sampling is used to characterize the concentration of MPs with depth to provide a full inventory. In this study, the polymer coated fertilizer was broadcast applied, resulting in a relatively uniform horizontal distribution of MPs; however, where fertilizer is banded, sampling must span the full width of the bands to account for the concentrated horizontal distribution of polymer coatings.</w:t>
      </w:r>
    </w:p>
    <w:p>
      <w:pPr>
        <w:pStyle w:val="TextBody"/>
      </w:pPr>
      <w:r>
        <w:t xml:space="preserve">Beyond sampling strategy, additional work is needed to examine temporal and spatial patterns of other types and sources of agricultural MPs. Much of the literature on microplastics has focused on soils receiving biosolids, which often contain substantial amounts of plastics. On farms in Manitoba, biosolids are used as a soil amendment only in close proximity to certain wastewater treatment facilities; however, other sources of MPs are used more broadly on-farm (e.g., polymer coated fertilizers, bale wrap, twine, bags/containers). There are also external sources of plastics delivered to agricultural soils through atmospheric deposition or overland flooding</w:t>
      </w:r>
      <w:r>
        <w:t xml:space="preserve"> </w:t>
      </w:r>
      <w:r>
        <w:t xml:space="preserve">(</w:t>
      </w:r>
      <w:hyperlink w:anchor="ref-chinyo2026">
        <w:r>
          <w:rPr>
            <w:rStyle w:val="InternetLink"/>
          </w:rPr>
          <w:t xml:space="preserve">Chinyo et al., 2026</w:t>
        </w:r>
      </w:hyperlink>
      <w:r>
        <w:t xml:space="preserve">)</w:t>
      </w:r>
      <w:r>
        <w:t xml:space="preserve">. In these cases, concentrations are likely to be very low, adding further challenges to quantifying and identifying MPs</w:t>
      </w:r>
      <w:r>
        <w:t xml:space="preserve"> </w:t>
      </w:r>
      <w:r>
        <w:t xml:space="preserve">(</w:t>
      </w:r>
      <w:hyperlink w:anchor="ref-piehl2018">
        <w:r>
          <w:rPr>
            <w:rStyle w:val="InternetLink"/>
          </w:rPr>
          <w:t xml:space="preserve">Piehl et al., 2018</w:t>
        </w:r>
      </w:hyperlink>
      <w:r>
        <w:t xml:space="preserve">)</w:t>
      </w:r>
      <w:r>
        <w:t xml:space="preserve">. Nonetheless, the dynamic nature observed with the polymer coatings in this study is likely transferable to a wide range of plastic types and sizes.</w:t>
      </w:r>
    </w:p>
    <w:bookmarkEnd w:id="51"/>
    <w:bookmarkStart w:id="59" w:name="runoff-and-loss"/>
    <w:p>
      <w:pPr>
        <w:pStyle w:val="Heading3"/>
      </w:pPr>
      <w:r>
        <w:t xml:space="preserve">3.2 Runoff and loss</w:t>
      </w:r>
    </w:p>
    <w:p>
      <w:pPr>
        <w:pStyle w:val="FirstParagraph"/>
      </w:pPr>
      <w:r>
        <w:t xml:space="preserve">The long-term normal annual precipitation is 527 mm. The year of application (2022) received near-normal precipitation, while the 2023 water year was notably drier, accumulating only 250 mm. In particular, late fall and winter precipitation (October 1 to March 31) was substantially below average, totaling 50 mm in 2023 (</w:t>
      </w:r>
      <w:hyperlink w:anchor="fig-discharge">
        <w:r>
          <w:rPr>
            <w:rStyle w:val="InternetLink"/>
          </w:rPr>
          <w:t xml:space="preserve">Figure 5</w:t>
        </w:r>
      </w:hyperlink>
      <w:r>
        <w:t xml:space="preserve">) compared to the long-term average of 141 mm for this period. During the 2023 spring runoff period, the West watershed (5.15 ha) had a higher volume-weighted mean concentration of 0.071 coatings m⁻³, resulting in an estimated 171 total coatings exported despite a lower accumulated runoff volume of 2,424 m³ (</w:t>
      </w:r>
      <w:hyperlink w:anchor="tbl-runoff">
        <w:r>
          <w:rPr>
            <w:rStyle w:val="InternetLink"/>
          </w:rPr>
          <w:t xml:space="preserve">Table 3</w:t>
        </w:r>
      </w:hyperlink>
      <w:r>
        <w:t xml:space="preserve">). In contrast, the East watershed (4.16 ha) produced nearly twice the runoff (4,675 m³) but had a lower concentration of 0.027 coatings m⁻³, exporting an estimated 126 coatings (</w:t>
      </w:r>
      <w:hyperlink w:anchor="tbl-runoff">
        <w:r>
          <w:rPr>
            <w:rStyle w:val="InternetLink"/>
          </w:rPr>
          <w:t xml:space="preserve">Table 3</w:t>
        </w:r>
      </w:hyperlink>
      <w:r>
        <w:t xml:space="preserve">). Overall, concentration rather than runoff volume was the primary driver of total coatings export between the two watersheds. The manual measurements made as part of this study sampled only a small portion of the runoff event, missing the larger peaks in the hydrograph. By missing peak runoff, these measurements provided a limited overall characterization of both concentration and total coating loss, but do indicate mobility of detectable amounts of microplastics from fertilizer coatings during snowmelt. Additionally, the drier conditions in 2023 resulted in lower runoff volumes, potentially accounting for the small numbers of coatings observed. Future studies should sample across various parts of the hydrograph and across a range of spring snowmelt conditions, including wet and dry years, flashy and subdued hydrographs, and varying frequencies of freeze-thaw cycles. This broader approach would better capture the role of environmental conditions and runoff volumes on the transport and export of polymer coatings and other MPs.</w:t>
      </w:r>
    </w:p>
    <w:tbl>
      <w:tblPr>
        <w:tblStyle w:val="Table"/>
        <w:tblW w:type="pct" w:w="5000"/>
        <w:tblLayout w:type="fixed"/>
        <w:tblLook w:firstRow="0" w:lastRow="0" w:firstColumn="0" w:lastColumn="0" w:noHBand="0" w:noVBand="0" w:val="0000"/>
      </w:tblPr>
      <w:tblGrid>
        <w:gridCol w:w="7920"/>
      </w:tblGrid>
      <w:tr>
        <w:tc>
          <w:tcPr/>
          <w:bookmarkStart w:id="55" w:name="fig-discharge"/>
          <w:p>
            <w:pPr>
              <w:pStyle w:val="Compact"/>
              <w:jc w:val="center"/>
            </w:pPr>
            <w:r>
              <w:drawing>
                <wp:inline>
                  <wp:extent cx="5943600" cy="4245428"/>
                  <wp:effectExtent b="0" l="0" r="0" t="0"/>
                  <wp:docPr descr="" title="" id="53" name="Picture"/>
                  <a:graphic>
                    <a:graphicData uri="http://schemas.openxmlformats.org/drawingml/2006/picture">
                      <pic:pic>
                        <pic:nvPicPr>
                          <pic:cNvPr descr="index_files/figure-docx/notebooks-04_Discharge-fig-discharge-output-1.png" id="54" name="Picture"/>
                          <pic:cNvPicPr>
                            <a:picLocks noChangeArrowheads="1" noChangeAspect="1"/>
                          </pic:cNvPicPr>
                        </pic:nvPicPr>
                        <pic:blipFill>
                          <a:blip r:embed="rId52"/>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Discharge for the East and West watersheds during the spring snowmelt period in April 2023. Shaded regions indicate the four sampling periods for polymer coatings.</w:t>
            </w:r>
          </w:p>
          <w:bookmarkEnd w:id="55"/>
        </w:tc>
      </w:tr>
    </w:tbl>
    <w:p>
      <w:pPr>
        <w:pStyle w:val="TextBody"/>
      </w:pPr>
      <w:r>
        <w:rPr>
          <w:vertAlign w:val="subscript"/>
        </w:rPr>
        <w:t xml:space="preserve">Source:</w:t>
      </w:r>
      <w:r>
        <w:rPr>
          <w:vertAlign w:val="subscript"/>
        </w:rPr>
        <w:t xml:space="preserve"> </w:t>
      </w:r>
      <w:hyperlink r:id="rId56">
        <w:r>
          <w:rPr>
            <w:rStyle w:val="InternetLink"/>
            <w:vertAlign w:val="subscript"/>
          </w:rPr>
          <w:t xml:space="preserve">04 Discharage</w:t>
        </w:r>
      </w:hyperlink>
    </w:p>
    <w:tbl>
      <w:tblPr>
        <w:tblStyle w:val="Table"/>
        <w:tblW w:type="pct" w:w="5000"/>
        <w:tblLayout w:type="fixed"/>
        <w:tblLook w:firstRow="0" w:lastRow="0" w:firstColumn="0" w:lastColumn="0" w:noHBand="0" w:noVBand="0" w:val="0000"/>
      </w:tblPr>
      <w:tblGrid>
        <w:gridCol w:w="7920"/>
      </w:tblGrid>
      <w:tr>
        <w:tc>
          <w:tcPr/>
          <w:bookmarkStart w:id="57" w:name="tbl-runoff"/>
          <w:p>
            <w:pPr>
              <w:jc w:val="center"/>
            </w:pPr>
            <w:pPr>
              <w:jc w:val="start"/>
              <w:spacing w:before="200"/>
              <w:pStyle w:val="ImageCaption"/>
            </w:pPr>
            <w:r>
              <w:t xml:space="preserve">Table 3: Estimated total polymer coating export from West and East watersheds over the course of snowmelt in 2023, based on accumulated runoff volume and volume-weighted mean concentration.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Watershed</w:t>
                  </w:r>
                </w:p>
              </w:tc>
              <w:tc>
                <w:tcPr/>
                <w:p>
                  <w:pPr>
                    <w:pStyle w:val="Compact"/>
                    <w:jc w:val="center"/>
                  </w:pPr>
                  <w:r>
                    <w:t xml:space="preserve">Area (ha)</w:t>
                  </w:r>
                </w:p>
              </w:tc>
              <w:tc>
                <w:tcPr/>
                <w:p>
                  <w:pPr>
                    <w:pStyle w:val="Compact"/>
                    <w:jc w:val="center"/>
                  </w:pPr>
                  <w:r>
                    <w:t xml:space="preserve">Accumulated runoff (m</w:t>
                  </w:r>
                  <w:r>
                    <w:t xml:space="preserve">3</w:t>
                  </w:r>
                  <w:r>
                    <w:t xml:space="preserve">)</w:t>
                  </w:r>
                </w:p>
              </w:tc>
              <w:tc>
                <w:tcPr/>
                <w:p>
                  <w:pPr>
                    <w:pStyle w:val="Compact"/>
                    <w:jc w:val="center"/>
                  </w:pPr>
                  <w:r>
                    <w:t xml:space="preserve">Concentration (Coatings m</w:t>
                  </w:r>
                  <w:r>
                    <w:t xml:space="preserve">-3</w:t>
                  </w:r>
                  <w:r>
                    <w:t xml:space="preserve">)</w:t>
                  </w:r>
                  <w:r>
                    <w:rPr>
                      <w:vertAlign w:val="superscript"/>
                    </w:rPr>
                    <w:t xml:space="preserve">*</w:t>
                  </w:r>
                </w:p>
              </w:tc>
              <w:tc>
                <w:tcPr/>
                <w:p>
                  <w:pPr>
                    <w:pStyle w:val="Compact"/>
                    <w:jc w:val="center"/>
                  </w:pPr>
                  <w:r>
                    <w:t xml:space="preserve">Total coatings exported</w:t>
                  </w:r>
                </w:p>
              </w:tc>
            </w:tr>
            <w:tr>
              <w:tc>
                <w:tcPr/>
                <w:p>
                  <w:pPr>
                    <w:pStyle w:val="Compact"/>
                    <w:jc w:val="center"/>
                  </w:pPr>
                  <w:r>
                    <w:t xml:space="preserve">West</w:t>
                  </w:r>
                </w:p>
              </w:tc>
              <w:tc>
                <w:tcPr/>
                <w:p>
                  <w:pPr>
                    <w:pStyle w:val="Compact"/>
                    <w:jc w:val="center"/>
                  </w:pPr>
                  <w:r>
                    <w:t xml:space="preserve">5.15</w:t>
                  </w:r>
                </w:p>
              </w:tc>
              <w:tc>
                <w:tcPr/>
                <w:p>
                  <w:pPr>
                    <w:pStyle w:val="Compact"/>
                    <w:jc w:val="center"/>
                  </w:pPr>
                  <w:r>
                    <w:t xml:space="preserve">2,424</w:t>
                  </w:r>
                </w:p>
              </w:tc>
              <w:tc>
                <w:tcPr/>
                <w:p>
                  <w:pPr>
                    <w:pStyle w:val="Compact"/>
                    <w:jc w:val="center"/>
                  </w:pPr>
                  <w:r>
                    <w:t xml:space="preserve">0.071</w:t>
                  </w:r>
                </w:p>
              </w:tc>
              <w:tc>
                <w:tcPr/>
                <w:p>
                  <w:pPr>
                    <w:pStyle w:val="Compact"/>
                    <w:jc w:val="center"/>
                  </w:pPr>
                  <w:r>
                    <w:t xml:space="preserve">171</w:t>
                  </w:r>
                </w:p>
              </w:tc>
            </w:tr>
            <w:tr>
              <w:tc>
                <w:tcPr/>
                <w:p>
                  <w:pPr>
                    <w:pStyle w:val="Compact"/>
                    <w:jc w:val="center"/>
                  </w:pPr>
                  <w:r>
                    <w:t xml:space="preserve">East</w:t>
                  </w:r>
                </w:p>
              </w:tc>
              <w:tc>
                <w:tcPr/>
                <w:p>
                  <w:pPr>
                    <w:pStyle w:val="Compact"/>
                    <w:jc w:val="center"/>
                  </w:pPr>
                  <w:r>
                    <w:t xml:space="preserve">4.16</w:t>
                  </w:r>
                </w:p>
              </w:tc>
              <w:tc>
                <w:tcPr/>
                <w:p>
                  <w:pPr>
                    <w:pStyle w:val="Compact"/>
                    <w:jc w:val="center"/>
                  </w:pPr>
                  <w:r>
                    <w:t xml:space="preserve">4,675</w:t>
                  </w:r>
                </w:p>
              </w:tc>
              <w:tc>
                <w:tcPr/>
                <w:p>
                  <w:pPr>
                    <w:pStyle w:val="Compact"/>
                    <w:jc w:val="center"/>
                  </w:pPr>
                  <w:r>
                    <w:t xml:space="preserve">0.027</w:t>
                  </w:r>
                </w:p>
              </w:tc>
              <w:tc>
                <w:tcPr/>
                <w:p>
                  <w:pPr>
                    <w:pStyle w:val="Compact"/>
                    <w:jc w:val="center"/>
                  </w:pPr>
                  <w:r>
                    <w:t xml:space="preserve">126</w:t>
                  </w:r>
                </w:p>
              </w:tc>
            </w:tr>
            <w:tr>
              <w:tc>
                <w:tcPr>
                  <w:gridSpan w:val="5"/>
                </w:tcPr>
                <w:p>
                  <w:pPr>
                    <w:pStyle w:val="Compact"/>
                    <w:jc w:val="center"/>
                  </w:pPr>
                  <w:r>
                    <w:rPr>
                      <w:vertAlign w:val="superscript"/>
                    </w:rPr>
                    <w:t xml:space="preserve">*</w:t>
                  </w:r>
                  <w:r>
                    <w:t xml:space="preserve"> </w:t>
                  </w:r>
                  <w:r>
                    <w:t xml:space="preserve">Volume-weighted mean concentration</w:t>
                  </w:r>
                </w:p>
              </w:tc>
            </w:tr>
          </w:tbl>
          <w:bookmarkEnd w:id="57"/>
          <w:p/>
        </w:tc>
      </w:tr>
    </w:tbl>
    <w:p>
      <w:pPr>
        <w:pStyle w:val="TextBody"/>
      </w:pPr>
      <w:r>
        <w:rPr>
          <w:vertAlign w:val="subscript"/>
        </w:rPr>
        <w:t xml:space="preserve">Source:</w:t>
      </w:r>
      <w:r>
        <w:rPr>
          <w:vertAlign w:val="subscript"/>
        </w:rPr>
        <w:t xml:space="preserve"> </w:t>
      </w:r>
      <w:hyperlink r:id="rId58">
        <w:r>
          <w:rPr>
            <w:rStyle w:val="InternetLink"/>
            <w:vertAlign w:val="subscript"/>
          </w:rPr>
          <w:t xml:space="preserve">04 Discharage</w:t>
        </w:r>
      </w:hyperlink>
    </w:p>
    <w:p>
      <w:pPr>
        <w:pStyle w:val="TextBody"/>
      </w:pPr>
      <w:r>
        <w:t xml:space="preserve">Agricultural soils can serve as a long-term source of microplastics (MPs) to downstream ecosystems</w:t>
      </w:r>
      <w:r>
        <w:t xml:space="preserve"> </w:t>
      </w:r>
      <w:r>
        <w:t xml:space="preserve">(</w:t>
      </w:r>
      <w:hyperlink w:anchor="ref-rehm2021">
        <w:r>
          <w:rPr>
            <w:rStyle w:val="InternetLink"/>
          </w:rPr>
          <w:t xml:space="preserve">Rehm et al., 2021</w:t>
        </w:r>
      </w:hyperlink>
      <w:r>
        <w:t xml:space="preserve">)</w:t>
      </w:r>
      <w:r>
        <w:t xml:space="preserve">. Although concentrations in agricultural soil may be low, the extensive area of farmland means the total load can be considerable. In snowmelt-dominated regions like Manitoba, the snowmelt period is when the greatest losses are likely to occur;however, during this time, frozen soils and altered surface structure (e.g., dormant, compressed, or harvested vegetation, snow and ice cover) may change the physical conditions that control MP retention compared to the growing season. The effectiveness of riparian buffers for capturing buoyant MPs, whose retention is driven primarily by physical processes, remains a research priority for this critical period. Quantifying MPs in agricultural runoff presents methodological challenges: low concentrations necessitate filtering large volumes of runoff, and traditional automatic water samplers are likely insufficient for this purpose. While the simple screens used in this study allowed for large volumes of water to be filtered, this method has some limitations. Clogging with organic debris (e.g., crop residues) and sediment is an issue, and freezing of water on the screen during frequent freeze-thaw cycles similarly impedes flow. Further, the large mesh size used only captures larger MPs, and smaller MPs are not represented in this study. Better edge-of-field runoff sampling approaches are needed for these types of conditions to capture the full range of MP sizes. In particular, automated sampling systems are required to fully characterize all parts of the hydrograph, as manual grab sampling is unlikely to capture the rapidly changing flow conditions and associated MP concentrations throughout the runoff event. However, based on the detection of MPs near the water surface during in snowmelt in the present study, any automated systems will have to compensate for buoyancy and likely uneven vertical distribution of MPs in the water column. Lastly, this study did not investigate the role of shorter-duration, high-intensity rain events during the summer months as a potential pathway for MP export.</w:t>
      </w:r>
    </w:p>
    <w:p>
      <w:pPr>
        <w:pStyle w:val="TextBody"/>
      </w:pPr>
      <w:r>
        <w:t xml:space="preserve">Identifying the mechanisms of MP loss during snowmelt and other runoff events remains a research priority. Investigating whether MPs are co-transported with suspended solids would provide insights into whether the same factors (e.g., overland flow velocity, surface roughness) control the transport of MPs and soil particles. Small plot, soil flume-based, and rainfall simulator experiments have shown the preferential transport of MPs due to their buoyancy and shape</w:t>
      </w:r>
      <w:r>
        <w:t xml:space="preserve"> </w:t>
      </w:r>
      <w:r>
        <w:t xml:space="preserve">(</w:t>
      </w:r>
      <w:hyperlink w:anchor="ref-rehm2021">
        <w:r>
          <w:rPr>
            <w:rStyle w:val="InternetLink"/>
          </w:rPr>
          <w:t xml:space="preserve">Rehm et al., 2021</w:t>
        </w:r>
      </w:hyperlink>
      <w:r>
        <w:t xml:space="preserve">;</w:t>
      </w:r>
      <w:r>
        <w:t xml:space="preserve"> </w:t>
      </w:r>
      <w:hyperlink w:anchor="ref-severe2025">
        <w:r>
          <w:rPr>
            <w:rStyle w:val="InternetLink"/>
          </w:rPr>
          <w:t xml:space="preserve">Severe et al., 2025</w:t>
        </w:r>
      </w:hyperlink>
      <w:r>
        <w:t xml:space="preserve">)</w:t>
      </w:r>
      <w:r>
        <w:t xml:space="preserve">, suggesting that MPs likely behave differently than soil particles during runoff events. However, long-term in-field observations are needed to validate whether these patterns hold under field conditions across a range of hydrologic and climatic conditions. Field-based studies will help clarify MP transport dynamics and identify management strategies that are effective not only for MP mitigation but also for controlling erosion and nutrient loss.</w:t>
      </w:r>
    </w:p>
    <w:bookmarkEnd w:id="59"/>
    <w:bookmarkEnd w:id="60"/>
    <w:bookmarkStart w:id="61" w:name="conclusions"/>
    <w:p>
      <w:pPr>
        <w:pStyle w:val="Heading2"/>
      </w:pPr>
      <w:r>
        <w:t xml:space="preserve">4 Conclusions</w:t>
      </w:r>
    </w:p>
    <w:p>
      <w:pPr>
        <w:pStyle w:val="FirstParagraph"/>
      </w:pPr>
      <w:r>
        <w:t xml:space="preserve">Polymer coatings from slow-release fertilizers showed clear spatial and temporal dynamics, with evidence of downslope movement and export to downstream environments, demonstrating that agricultural soils can serve as a long-term source of MPs. Soil sampling and edge of field runoff designs and research questions must account for this spatial and temporal variability, and developing best practices for sampling MPs in agricultural settings should be a research priority. The findings of this study are likely applicable to other types of agricultural plastics, which may show similar transport dynamics. Edge-of-field sampling in cold climates presents particular challenges, as low concentrations require filtering large volumes of runoff and freeze-thaw conditions and debris impede water flow through sampling equipment, highlighting the need for improved sampling approaches that can reliably quantify MP export under these conditions. As plastic inputs to agricultural landscapes continue to grow, whether from on-farm use or external sources, characterizing and managing MP movement through the landscape will be essential to effectively quantify and mitigate their broader environmental impact.</w:t>
      </w:r>
    </w:p>
    <w:bookmarkEnd w:id="61"/>
    <w:bookmarkStart w:id="62" w:name="acknowledgments"/>
    <w:p>
      <w:pPr>
        <w:pStyle w:val="Heading2"/>
      </w:pPr>
      <w:r>
        <w:t xml:space="preserve">Acknowledgments</w:t>
      </w:r>
    </w:p>
    <w:p>
      <w:pPr>
        <w:pStyle w:val="FirstParagraph"/>
      </w:pPr>
      <w:r>
        <w:t xml:space="preserve">Special thanks and recognition for the field and technical support from C Jackson and the cooperating producers at the South Tobacco Creek twin watershed site.</w:t>
      </w:r>
    </w:p>
    <w:bookmarkEnd w:id="62"/>
    <w:bookmarkStart w:id="69" w:name="statements-and-declarations"/>
    <w:p>
      <w:pPr>
        <w:pStyle w:val="Heading2"/>
      </w:pPr>
      <w:r>
        <w:t xml:space="preserve">Statements and declarations</w:t>
      </w:r>
    </w:p>
    <w:bookmarkStart w:id="63" w:name="funding"/>
    <w:p>
      <w:pPr>
        <w:pStyle w:val="Heading3"/>
      </w:pPr>
      <w:r>
        <w:t xml:space="preserve">Funding</w:t>
      </w:r>
    </w:p>
    <w:p>
      <w:pPr>
        <w:pStyle w:val="FirstParagraph"/>
      </w:pPr>
      <w:r>
        <w:t xml:space="preserve">This research was supported by the Agriculture and Agri-Food Canada Living Laboratories Initiative.</w:t>
      </w:r>
    </w:p>
    <w:bookmarkEnd w:id="63"/>
    <w:bookmarkStart w:id="64" w:name="competing-interests"/>
    <w:p>
      <w:pPr>
        <w:pStyle w:val="Heading3"/>
      </w:pPr>
      <w:r>
        <w:t xml:space="preserve">Competing interests</w:t>
      </w:r>
    </w:p>
    <w:p>
      <w:pPr>
        <w:pStyle w:val="FirstParagraph"/>
      </w:pPr>
      <w:r>
        <w:t xml:space="preserve">The authors have no competing interests to declare that are relevant to the content of this article.</w:t>
      </w:r>
    </w:p>
    <w:bookmarkEnd w:id="64"/>
    <w:bookmarkStart w:id="67" w:name="data-and-code-availability"/>
    <w:p>
      <w:pPr>
        <w:pStyle w:val="Heading3"/>
      </w:pPr>
      <w:r>
        <w:t xml:space="preserve">Data and code availability</w:t>
      </w:r>
    </w:p>
    <w:p>
      <w:pPr>
        <w:pStyle w:val="FirstParagraph"/>
      </w:pPr>
      <w:r>
        <w:t xml:space="preserve">Data and source code for analysis and manuscript available on GitHub:</w:t>
      </w:r>
      <w:r>
        <w:t xml:space="preserve"> </w:t>
      </w:r>
      <w:hyperlink r:id="rId65">
        <w:r>
          <w:rPr>
            <w:rStyle w:val="InternetLink"/>
          </w:rPr>
          <w:t xml:space="preserve">https://github.com/alex-koiter/soil-plastics</w:t>
        </w:r>
      </w:hyperlink>
    </w:p>
    <w:p>
      <w:pPr>
        <w:pStyle w:val="TextBody"/>
      </w:pPr>
      <w:r>
        <w:t xml:space="preserve">Additional information, including analytical notebooks with details of the analysis and intermediate steps, is available online:</w:t>
      </w:r>
      <w:r>
        <w:t xml:space="preserve"> </w:t>
      </w:r>
      <w:hyperlink r:id="rId66">
        <w:r>
          <w:rPr>
            <w:rStyle w:val="InternetLink"/>
          </w:rPr>
          <w:t xml:space="preserve">https://alexkoiter.ca/soil-plastics/</w:t>
        </w:r>
      </w:hyperlink>
    </w:p>
    <w:bookmarkEnd w:id="67"/>
    <w:bookmarkStart w:id="68" w:name="author-contributions"/>
    <w:p>
      <w:pPr>
        <w:pStyle w:val="Heading3"/>
      </w:pPr>
      <w:r>
        <w:t xml:space="preserve">Author contributions</w:t>
      </w:r>
    </w:p>
    <w:p>
      <w:pPr>
        <w:pStyle w:val="FirstParagraph"/>
      </w:pPr>
      <w:r>
        <w:rPr>
          <w:b/>
          <w:bCs/>
        </w:rPr>
        <w:t xml:space="preserve">C Beaupre</w:t>
      </w:r>
      <w:r>
        <w:t xml:space="preserve"> </w:t>
      </w:r>
      <w:r>
        <w:t xml:space="preserve">Methodology; Investigation; Data curation; Formal analysis; Writing - Original Draft; Writing - Review &amp; Editing</w:t>
      </w:r>
    </w:p>
    <w:p>
      <w:pPr>
        <w:pStyle w:val="TextBody"/>
      </w:pPr>
      <w:r>
        <w:rPr>
          <w:b/>
          <w:bCs/>
        </w:rPr>
        <w:t xml:space="preserve">A Glenn</w:t>
      </w:r>
      <w:r>
        <w:t xml:space="preserve">: Conceptualization; Funding acquisition; Methodology; Investigation; Data curation; Formal analysis; Writing - Original Draft; Writing – review and editing; Project administration</w:t>
      </w:r>
    </w:p>
    <w:p>
      <w:pPr>
        <w:pStyle w:val="TextBody"/>
      </w:pPr>
      <w:r>
        <w:rPr>
          <w:b/>
          <w:bCs/>
        </w:rPr>
        <w:t xml:space="preserve">A Koiter</w:t>
      </w:r>
      <w:r>
        <w:t xml:space="preserve">: Conceptualization; Methodology; Investigation; Data curation; Formal analysis; Visualization; Writing - Original Draft; Writing – review and editing; Software</w:t>
      </w:r>
    </w:p>
    <w:p>
      <w:pPr>
        <w:pStyle w:val="TextBody"/>
      </w:pPr>
      <w:r>
        <w:rPr>
          <w:b/>
          <w:bCs/>
        </w:rPr>
        <w:t xml:space="preserve">H Wilson</w:t>
      </w:r>
      <w:r>
        <w:t xml:space="preserve">: Methodology; Data curation; Formal analysis; Writing - Review &amp; Editing</w:t>
      </w:r>
    </w:p>
    <w:bookmarkEnd w:id="68"/>
    <w:bookmarkEnd w:id="69"/>
    <w:bookmarkStart w:id="138" w:name="references"/>
    <w:p>
      <w:pPr>
        <w:pStyle w:val="Heading2"/>
      </w:pPr>
      <w:r>
        <w:t xml:space="preserve">References</w:t>
      </w:r>
    </w:p>
    <w:bookmarkStart w:id="137" w:name="refs"/>
    <w:bookmarkStart w:id="71" w:name="ref-agricultureandagri-foodcanada2011"/>
    <w:p>
      <w:pPr>
        <w:pStyle w:val="Bibliography"/>
      </w:pPr>
      <w:r>
        <w:t xml:space="preserve">Agriculture, Agri-Food Canada, 2008. South tobacco creek/steppler watershed fact sheet. URL</w:t>
      </w:r>
      <w:r>
        <w:t xml:space="preserve"> </w:t>
      </w:r>
      <w:hyperlink r:id="rId70">
        <w:r>
          <w:rPr>
            <w:rStyle w:val="InternetLink"/>
          </w:rPr>
          <w:t xml:space="preserve">https://publications.gc.ca/collections/collection_2022/aac-aafc/A15-10313-2008-eng.pdf</w:t>
        </w:r>
      </w:hyperlink>
    </w:p>
    <w:bookmarkEnd w:id="71"/>
    <w:bookmarkStart w:id="73" w:name="ref-anderson2017"/>
    <w:p>
      <w:pPr>
        <w:pStyle w:val="Bibliography"/>
      </w:pPr>
      <w:r>
        <w:t xml:space="preserve">Anderson, P.J., Warrack, S., Langen, V., Challis, J.K., Hanson, M.L., Rennie, M.D., 2017. Microplastic contamination in lake winnipeg, canada. Environmental Pollution 225, 223–231.</w:t>
      </w:r>
      <w:r>
        <w:t xml:space="preserve"> </w:t>
      </w:r>
      <w:hyperlink r:id="rId72">
        <w:r>
          <w:rPr>
            <w:rStyle w:val="InternetLink"/>
          </w:rPr>
          <w:t xml:space="preserve">https://doi.org/10.1016/j.envpol.2017.02.072</w:t>
        </w:r>
      </w:hyperlink>
    </w:p>
    <w:bookmarkEnd w:id="73"/>
    <w:bookmarkStart w:id="75" w:name="ref-astm_d5242_92"/>
    <w:p>
      <w:pPr>
        <w:pStyle w:val="Bibliography"/>
      </w:pPr>
      <w:r>
        <w:t xml:space="preserve">ASTM International, 1992. Standard test method for open-channel flow measurement of water with thin-plate weirs (No. ASTM D5242-92). ASTM International, West Conshohocken, PA. URL</w:t>
      </w:r>
      <w:r>
        <w:t xml:space="preserve"> </w:t>
      </w:r>
      <w:hyperlink r:id="rId74">
        <w:r>
          <w:rPr>
            <w:rStyle w:val="InternetLink"/>
          </w:rPr>
          <w:t xml:space="preserve">https://www.astm.org/d5242-92r01.html</w:t>
        </w:r>
      </w:hyperlink>
    </w:p>
    <w:bookmarkEnd w:id="75"/>
    <w:bookmarkStart w:id="77" w:name="ref-brooks2017"/>
    <w:p>
      <w:pPr>
        <w:pStyle w:val="Bibliography"/>
      </w:pPr>
      <w:r>
        <w:t xml:space="preserve">Brooks, Mollie,E., Kristensen, K., Benthem, Koen,J.,van., Magnusson, A., Berg, Casper,W., Nielsen, A., Skaug, Hans,J., Mächler, M., Bolker, Benjamin,M., 2017. glmmTMB Balances Speed and Flexibility Among Packages for Zero-inflated Generalized Linear Mixed Modeling. The R Journal 9, 378.</w:t>
      </w:r>
      <w:r>
        <w:t xml:space="preserve"> </w:t>
      </w:r>
      <w:hyperlink r:id="rId76">
        <w:r>
          <w:rPr>
            <w:rStyle w:val="InternetLink"/>
          </w:rPr>
          <w:t xml:space="preserve">https://doi.org/10.32614/RJ-2017-066</w:t>
        </w:r>
      </w:hyperlink>
    </w:p>
    <w:bookmarkEnd w:id="77"/>
    <w:bookmarkStart w:id="79" w:name="ref-chia2024"/>
    <w:p>
      <w:pPr>
        <w:pStyle w:val="Bibliography"/>
      </w:pPr>
      <w:r>
        <w:t xml:space="preserve">Chia, R.W., Lee, J.-Y., Cha, J., Rodríguez-Seijo, A., 2024. Methods of soil sampling for microplastic analysis: a review. Environmental Chemistry Letters 22, 227–238.</w:t>
      </w:r>
      <w:r>
        <w:t xml:space="preserve"> </w:t>
      </w:r>
      <w:hyperlink r:id="rId78">
        <w:r>
          <w:rPr>
            <w:rStyle w:val="InternetLink"/>
          </w:rPr>
          <w:t xml:space="preserve">https://doi.org/10.1007/s10311-023-01652-9</w:t>
        </w:r>
      </w:hyperlink>
    </w:p>
    <w:bookmarkEnd w:id="79"/>
    <w:bookmarkStart w:id="81" w:name="ref-chinyo2026"/>
    <w:p>
      <w:pPr>
        <w:pStyle w:val="Bibliography"/>
      </w:pPr>
      <w:r>
        <w:t xml:space="preserve">Chinyo, M., Bisht, K., Taku, M., Nandipamu, T.M., Akash, Singh, S., Mehrotra, R., Singh, S.N., Srivastava, H., Mazeed, A., Tewary, P., Kumar, S., 2026. Microplastics in agriculture: Hidden soil contaminants, sustainability risks and policy pathways. Journal of Agriculture and Food Research 29, 103089.</w:t>
      </w:r>
      <w:r>
        <w:t xml:space="preserve"> </w:t>
      </w:r>
      <w:hyperlink r:id="rId80">
        <w:r>
          <w:rPr>
            <w:rStyle w:val="InternetLink"/>
          </w:rPr>
          <w:t xml:space="preserve">https://doi.org/10.1016/j.jafr.2026.103089</w:t>
        </w:r>
      </w:hyperlink>
    </w:p>
    <w:bookmarkEnd w:id="81"/>
    <w:bookmarkStart w:id="83" w:name="ref-crossman2020"/>
    <w:p>
      <w:pPr>
        <w:pStyle w:val="Bibliography"/>
      </w:pPr>
      <w:r>
        <w:t xml:space="preserve">Crossman, J., Hurley, R.R., Futter, M., Nizzetto, L., 2020. Transfer and transport of microplastics from biosolids to agricultural soils and the wider environment. Science of The Total Environment 724, 138334.</w:t>
      </w:r>
      <w:r>
        <w:t xml:space="preserve"> </w:t>
      </w:r>
      <w:hyperlink r:id="rId82">
        <w:r>
          <w:rPr>
            <w:rStyle w:val="InternetLink"/>
          </w:rPr>
          <w:t xml:space="preserve">https://doi.org/10.1016/j.scitotenv.2020.138334</w:t>
        </w:r>
      </w:hyperlink>
    </w:p>
    <w:bookmarkEnd w:id="83"/>
    <w:bookmarkStart w:id="85" w:name="ref-e.lazerte2018"/>
    <w:p>
      <w:pPr>
        <w:pStyle w:val="Bibliography"/>
      </w:pPr>
      <w:r>
        <w:t xml:space="preserve">E. LaZerte, S., Albers, S., 2018. weathercan: Download and format weather data from Environment and Climate Change Canada. The Journal of Open Source Software 3, 571.</w:t>
      </w:r>
      <w:r>
        <w:t xml:space="preserve"> </w:t>
      </w:r>
      <w:hyperlink r:id="rId84">
        <w:r>
          <w:rPr>
            <w:rStyle w:val="InternetLink"/>
          </w:rPr>
          <w:t xml:space="preserve">https://doi.org/10.21105/joss.00571</w:t>
        </w:r>
      </w:hyperlink>
    </w:p>
    <w:bookmarkEnd w:id="85"/>
    <w:bookmarkStart w:id="87" w:name="X314a104b7afaf0862b1b73f26445508a1e6fc28"/>
    <w:p>
      <w:pPr>
        <w:pStyle w:val="Bibliography"/>
      </w:pPr>
      <w:r>
        <w:t xml:space="preserve">Environment and Climate Change Canada, 2026. Canadian Climate Normals. URL</w:t>
      </w:r>
      <w:r>
        <w:t xml:space="preserve"> </w:t>
      </w:r>
      <w:hyperlink r:id="rId86">
        <w:r>
          <w:rPr>
            <w:rStyle w:val="InternetLink"/>
          </w:rPr>
          <w:t xml:space="preserve">https://climate.weather.gc.ca/climate_normals/index_e.html</w:t>
        </w:r>
      </w:hyperlink>
    </w:p>
    <w:bookmarkEnd w:id="87"/>
    <w:bookmarkStart w:id="89" w:name="X58f871d41ef90e7d5d6faf67b668dadba215eb4"/>
    <w:p>
      <w:pPr>
        <w:pStyle w:val="Bibliography"/>
      </w:pPr>
      <w:r>
        <w:t xml:space="preserve">Environment and Climate Change Canada and Health Canada, 2020. Science assessment of plastic pollution. URL</w:t>
      </w:r>
      <w:r>
        <w:t xml:space="preserve"> </w:t>
      </w:r>
      <w:hyperlink r:id="rId88">
        <w:r>
          <w:rPr>
            <w:rStyle w:val="InternetLink"/>
          </w:rPr>
          <w:t xml:space="preserve">https://www.canada.ca/en/environment-climate-change/services/evaluating-existing-substances/science-assessment-plastic-pollution.html</w:t>
        </w:r>
      </w:hyperlink>
    </w:p>
    <w:bookmarkEnd w:id="89"/>
    <w:bookmarkStart w:id="91" w:name="ref-fellows2023"/>
    <w:p>
      <w:pPr>
        <w:pStyle w:val="Bibliography"/>
      </w:pPr>
      <w:r>
        <w:t xml:space="preserve">Fellows, I., JMapViewer library by Jan Peter Stotz, using the, 2023. OpenStreetMap: Access to open street map raster images.</w:t>
      </w:r>
      <w:r>
        <w:t xml:space="preserve"> </w:t>
      </w:r>
      <w:hyperlink r:id="rId90">
        <w:r>
          <w:rPr>
            <w:rStyle w:val="InternetLink"/>
          </w:rPr>
          <w:t xml:space="preserve">https://doi.org/10.32614/CRAN.package.OpenStreetMap</w:t>
        </w:r>
      </w:hyperlink>
    </w:p>
    <w:bookmarkEnd w:id="91"/>
    <w:bookmarkStart w:id="93" w:name="ref-fox2019"/>
    <w:p>
      <w:pPr>
        <w:pStyle w:val="Bibliography"/>
      </w:pPr>
      <w:r>
        <w:t xml:space="preserve">Fox, J., Weisberg, S., 2019. An</w:t>
      </w:r>
      <w:r>
        <w:t xml:space="preserve"> </w:t>
      </w:r>
      <w:r>
        <w:t xml:space="preserve">R</w:t>
      </w:r>
      <w:r>
        <w:t xml:space="preserve"> </w:t>
      </w:r>
      <w:r>
        <w:t xml:space="preserve">companion to applied regression, Third. ed. Sage, Thousand Oaks</w:t>
      </w:r>
      <w:r>
        <w:t xml:space="preserve"> </w:t>
      </w:r>
      <w:r>
        <w:t xml:space="preserve">CA</w:t>
      </w:r>
      <w:r>
        <w:t xml:space="preserve">. URL</w:t>
      </w:r>
      <w:r>
        <w:t xml:space="preserve"> </w:t>
      </w:r>
      <w:hyperlink r:id="rId92">
        <w:r>
          <w:rPr>
            <w:rStyle w:val="InternetLink"/>
          </w:rPr>
          <w:t xml:space="preserve">https://socialsciences.mcmaster.ca/jfox/Books/Companion/</w:t>
        </w:r>
      </w:hyperlink>
    </w:p>
    <w:bookmarkEnd w:id="93"/>
    <w:bookmarkStart w:id="95" w:name="ref-hartig2022"/>
    <w:p>
      <w:pPr>
        <w:pStyle w:val="Bibliography"/>
      </w:pPr>
      <w:r>
        <w:t xml:space="preserve">Hartig, F., 2022. DHARMa: Residual diagnostics for hierarchical (multi-level / mixed) regression models. URL</w:t>
      </w:r>
      <w:r>
        <w:t xml:space="preserve"> </w:t>
      </w:r>
      <w:hyperlink r:id="rId94">
        <w:r>
          <w:rPr>
            <w:rStyle w:val="InternetLink"/>
          </w:rPr>
          <w:t xml:space="preserve">https://CRAN.R-project.org/package=DHARMa</w:t>
        </w:r>
      </w:hyperlink>
    </w:p>
    <w:bookmarkEnd w:id="95"/>
    <w:bookmarkStart w:id="97" w:name="ref-isakov2025"/>
    <w:p>
      <w:pPr>
        <w:pStyle w:val="Bibliography"/>
      </w:pPr>
      <w:r>
        <w:t xml:space="preserve">Isakov, V., Vlasova, E., Forer, V., Kenny, J., Lyulin, S., 2025. Analysis of Slow-Released Fertilisers as a Source of Microplastics. Land 14, 38.</w:t>
      </w:r>
      <w:r>
        <w:t xml:space="preserve"> </w:t>
      </w:r>
      <w:hyperlink r:id="rId96">
        <w:r>
          <w:rPr>
            <w:rStyle w:val="InternetLink"/>
          </w:rPr>
          <w:t xml:space="preserve">https://doi.org/10.3390/land14010038</w:t>
        </w:r>
      </w:hyperlink>
    </w:p>
    <w:bookmarkEnd w:id="97"/>
    <w:bookmarkStart w:id="99" w:name="ref-lenaker2021"/>
    <w:p>
      <w:pPr>
        <w:pStyle w:val="Bibliography"/>
      </w:pPr>
      <w:r>
        <w:t xml:space="preserve">Lenaker, P.L., Corsi, S.R., Mason, S.A., 2021. Spatial distribution of microplastics in surficial benthic sediment of lake michigan and lake erie. Environmental Science &amp; Technology 55, 373–384.</w:t>
      </w:r>
      <w:r>
        <w:t xml:space="preserve"> </w:t>
      </w:r>
      <w:hyperlink r:id="rId98">
        <w:r>
          <w:rPr>
            <w:rStyle w:val="InternetLink"/>
          </w:rPr>
          <w:t xml:space="preserve">https://doi.org/10.1021/acs.est.0c06087</w:t>
        </w:r>
      </w:hyperlink>
    </w:p>
    <w:bookmarkEnd w:id="99"/>
    <w:bookmarkStart w:id="101" w:name="ref-lenth2024"/>
    <w:p>
      <w:pPr>
        <w:pStyle w:val="Bibliography"/>
      </w:pPr>
      <w:r>
        <w:t xml:space="preserve">Lenth, R.V., 2024. Emmeans: Estimated marginal means, aka least-squares means. URL</w:t>
      </w:r>
      <w:r>
        <w:t xml:space="preserve"> </w:t>
      </w:r>
      <w:hyperlink r:id="rId100">
        <w:r>
          <w:rPr>
            <w:rStyle w:val="InternetLink"/>
          </w:rPr>
          <w:t xml:space="preserve">https://CRAN.R-project.org/package=emmeans</w:t>
        </w:r>
      </w:hyperlink>
    </w:p>
    <w:bookmarkEnd w:id="101"/>
    <w:bookmarkStart w:id="103" w:name="ref-leonard2024"/>
    <w:p>
      <w:pPr>
        <w:pStyle w:val="Bibliography"/>
      </w:pPr>
      <w:r>
        <w:t xml:space="preserve">Leonard, J., Ravi, S., Mohanty, S.K., 2024. Preferential emission of microplastics from biosolid-applied agricultural soils: Field evidence and theoretical framework. Environmental Science &amp; Technology Letters 11, 136–142.</w:t>
      </w:r>
      <w:r>
        <w:t xml:space="preserve"> </w:t>
      </w:r>
      <w:hyperlink r:id="rId102">
        <w:r>
          <w:rPr>
            <w:rStyle w:val="InternetLink"/>
          </w:rPr>
          <w:t xml:space="preserve">https://doi.org/10.1021/acs.estlett.3c00850</w:t>
        </w:r>
      </w:hyperlink>
    </w:p>
    <w:bookmarkEnd w:id="103"/>
    <w:bookmarkStart w:id="105" w:name="ref-ludecke2021"/>
    <w:p>
      <w:pPr>
        <w:pStyle w:val="Bibliography"/>
      </w:pPr>
      <w:r>
        <w:t xml:space="preserve">Lüdecke, D., Ben-Shachar, M.S., Patil, I., Waggoner, P., Makowski, D., 2021.</w:t>
      </w:r>
      <w:r>
        <w:t xml:space="preserve"> </w:t>
      </w:r>
      <w:r>
        <w:t xml:space="preserve">performance</w:t>
      </w:r>
      <w:r>
        <w:t xml:space="preserve">: An</w:t>
      </w:r>
      <w:r>
        <w:t xml:space="preserve"> </w:t>
      </w:r>
      <w:r>
        <w:t xml:space="preserve">R</w:t>
      </w:r>
      <w:r>
        <w:t xml:space="preserve"> </w:t>
      </w:r>
      <w:r>
        <w:t xml:space="preserve">package for assessment, comparison and testing of statistical models. Journal of Open Source Software 6, 3139.</w:t>
      </w:r>
      <w:r>
        <w:t xml:space="preserve"> </w:t>
      </w:r>
      <w:hyperlink r:id="rId104">
        <w:r>
          <w:rPr>
            <w:rStyle w:val="InternetLink"/>
          </w:rPr>
          <w:t xml:space="preserve">https://doi.org/10.21105/joss.03139</w:t>
        </w:r>
      </w:hyperlink>
    </w:p>
    <w:bookmarkEnd w:id="105"/>
    <w:bookmarkStart w:id="107" w:name="ref-maqbool2024"/>
    <w:p>
      <w:pPr>
        <w:pStyle w:val="Bibliography"/>
      </w:pPr>
      <w:r>
        <w:t xml:space="preserve">Maqbool, A., Guzmán, G., Fiener, P., Wilken, F., Soriano, M.-A., Gómez, J.A., 2024. Tracing macroplastics redistribution and fragmentation by tillage translocation. Journal of Hazardous Materials 477, 135318.</w:t>
      </w:r>
      <w:r>
        <w:t xml:space="preserve"> </w:t>
      </w:r>
      <w:hyperlink r:id="rId106">
        <w:r>
          <w:rPr>
            <w:rStyle w:val="InternetLink"/>
          </w:rPr>
          <w:t xml:space="preserve">https://doi.org/10.1016/j.jhazmat.2024.135318</w:t>
        </w:r>
      </w:hyperlink>
    </w:p>
    <w:bookmarkEnd w:id="107"/>
    <w:bookmarkStart w:id="109" w:name="ref-massicotte2023"/>
    <w:p>
      <w:pPr>
        <w:pStyle w:val="Bibliography"/>
      </w:pPr>
      <w:r>
        <w:t xml:space="preserve">Massicotte, P., South, A., 2023. Rnaturalearth: World map data from natural earth.</w:t>
      </w:r>
      <w:r>
        <w:t xml:space="preserve"> </w:t>
      </w:r>
      <w:hyperlink r:id="rId108">
        <w:r>
          <w:rPr>
            <w:rStyle w:val="InternetLink"/>
          </w:rPr>
          <w:t xml:space="preserve">https://doi.org/10.32614/CRAN.package.rnaturalearth</w:t>
        </w:r>
      </w:hyperlink>
    </w:p>
    <w:bookmarkEnd w:id="109"/>
    <w:bookmarkStart w:id="110" w:name="ref-michalyna1988"/>
    <w:p>
      <w:pPr>
        <w:pStyle w:val="Bibliography"/>
      </w:pPr>
      <w:r>
        <w:t xml:space="preserve">Michalyna, W., Podolsky, G., St. Jacques, E., 1988. Soils of the rural municipalities of</w:t>
      </w:r>
      <w:r>
        <w:t xml:space="preserve"> </w:t>
      </w:r>
      <w:r>
        <w:t xml:space="preserve">Grey</w:t>
      </w:r>
      <w:r>
        <w:t xml:space="preserve">,</w:t>
      </w:r>
      <w:r>
        <w:t xml:space="preserve"> </w:t>
      </w:r>
      <w:r>
        <w:t xml:space="preserve">Dufferin</w:t>
      </w:r>
      <w:r>
        <w:t xml:space="preserve">,</w:t>
      </w:r>
      <w:r>
        <w:t xml:space="preserve"> </w:t>
      </w:r>
      <w:r>
        <w:t xml:space="preserve">Roland</w:t>
      </w:r>
      <w:r>
        <w:t xml:space="preserve">,</w:t>
      </w:r>
      <w:r>
        <w:t xml:space="preserve"> </w:t>
      </w:r>
      <w:r>
        <w:t xml:space="preserve">Thompson</w:t>
      </w:r>
      <w:r>
        <w:t xml:space="preserve"> </w:t>
      </w:r>
      <w:r>
        <w:t xml:space="preserve">and part of</w:t>
      </w:r>
      <w:r>
        <w:t xml:space="preserve"> </w:t>
      </w:r>
      <w:r>
        <w:t xml:space="preserve">Stanley</w:t>
      </w:r>
      <w:r>
        <w:t xml:space="preserve">.</w:t>
      </w:r>
    </w:p>
    <w:bookmarkEnd w:id="110"/>
    <w:bookmarkStart w:id="112" w:name="ref-nutrien_esn_2026"/>
    <w:p>
      <w:pPr>
        <w:pStyle w:val="Bibliography"/>
      </w:pPr>
      <w:r>
        <w:t xml:space="preserve">Nutrien Ltd., 2026. Safety data sheet:</w:t>
      </w:r>
      <w:r>
        <w:t xml:space="preserve"> </w:t>
      </w:r>
      <w:r>
        <w:t xml:space="preserve">ESN</w:t>
      </w:r>
      <w:r>
        <w:t xml:space="preserve">® polymer coated urea 44-0-0. URL</w:t>
      </w:r>
      <w:r>
        <w:t xml:space="preserve"> </w:t>
      </w:r>
      <w:hyperlink r:id="rId111">
        <w:r>
          <w:rPr>
            <w:rStyle w:val="InternetLink"/>
          </w:rPr>
          <w:t xml:space="preserve">https://products.nutrien.com/docs/3705</w:t>
        </w:r>
      </w:hyperlink>
    </w:p>
    <w:bookmarkEnd w:id="112"/>
    <w:bookmarkStart w:id="114" w:name="ref-nutrien_esn_datasheet_2022"/>
    <w:p>
      <w:pPr>
        <w:pStyle w:val="Bibliography"/>
      </w:pPr>
      <w:r>
        <w:t xml:space="preserve">Nutrien Ltd., 2022. Fertilizer product data sheet:</w:t>
      </w:r>
      <w:r>
        <w:t xml:space="preserve"> </w:t>
      </w:r>
      <w:r>
        <w:t xml:space="preserve">ESN</w:t>
      </w:r>
      <w:r>
        <w:t xml:space="preserve"> </w:t>
      </w:r>
      <w:r>
        <w:t xml:space="preserve">polymer coated urea 44-0-0. URL</w:t>
      </w:r>
      <w:r>
        <w:t xml:space="preserve"> </w:t>
      </w:r>
      <w:hyperlink r:id="rId113">
        <w:r>
          <w:rPr>
            <w:rStyle w:val="InternetLink"/>
          </w:rPr>
          <w:t xml:space="preserve">https://products.nutrien.com/docs/811</w:t>
        </w:r>
      </w:hyperlink>
    </w:p>
    <w:bookmarkEnd w:id="114"/>
    <w:bookmarkStart w:id="116" w:name="ref-piehl2018"/>
    <w:p>
      <w:pPr>
        <w:pStyle w:val="Bibliography"/>
      </w:pPr>
      <w:r>
        <w:t xml:space="preserve">Piehl, S., Leibner, A., Löder, M.G.J., Dris, R., Bogner, C., Laforsch, C., 2018. Identification and quantification of macro- and microplastics on an agricultural farmland. Scientific Reports 8, 17950.</w:t>
      </w:r>
      <w:r>
        <w:t xml:space="preserve"> </w:t>
      </w:r>
      <w:hyperlink r:id="rId115">
        <w:r>
          <w:rPr>
            <w:rStyle w:val="InternetLink"/>
          </w:rPr>
          <w:t xml:space="preserve">https://doi.org/10.1038/s41598-018-36172-y</w:t>
        </w:r>
      </w:hyperlink>
    </w:p>
    <w:bookmarkEnd w:id="116"/>
    <w:bookmarkStart w:id="118" w:name="ref-rcoreteam2026"/>
    <w:p>
      <w:pPr>
        <w:pStyle w:val="Bibliography"/>
      </w:pPr>
      <w:r>
        <w:t xml:space="preserve">R Core Team, 2026. R: A language and environment for statistical computing. URL</w:t>
      </w:r>
      <w:r>
        <w:t xml:space="preserve"> </w:t>
      </w:r>
      <w:hyperlink r:id="rId117">
        <w:r>
          <w:rPr>
            <w:rStyle w:val="InternetLink"/>
          </w:rPr>
          <w:t xml:space="preserve">http://www.R-project.org</w:t>
        </w:r>
      </w:hyperlink>
    </w:p>
    <w:bookmarkEnd w:id="118"/>
    <w:bookmarkStart w:id="120" w:name="ref-rehm2024"/>
    <w:p>
      <w:pPr>
        <w:pStyle w:val="Bibliography"/>
      </w:pPr>
      <w:r>
        <w:t xml:space="preserve">Rehm, R., Fiener, P., 2024. Model-based analysis of erosion-induced microplastic delivery from arable land to the stream network of a mesoscale catchment. SOIL 10, 211–230.</w:t>
      </w:r>
      <w:r>
        <w:t xml:space="preserve"> </w:t>
      </w:r>
      <w:hyperlink r:id="rId119">
        <w:r>
          <w:rPr>
            <w:rStyle w:val="InternetLink"/>
          </w:rPr>
          <w:t xml:space="preserve">https://doi.org/10.5194/soil-10-211-2024</w:t>
        </w:r>
      </w:hyperlink>
    </w:p>
    <w:bookmarkEnd w:id="120"/>
    <w:bookmarkStart w:id="122" w:name="ref-rehm2021"/>
    <w:p>
      <w:pPr>
        <w:pStyle w:val="Bibliography"/>
      </w:pPr>
      <w:r>
        <w:t xml:space="preserve">Rehm, R., Zeyer, T., Schmidt, A., Fiener, P., 2021. Soil erosion as transport pathway of microplastic from agriculture soils to aquatic ecosystems. Science of The Total Environment 795, 148774.</w:t>
      </w:r>
      <w:r>
        <w:t xml:space="preserve"> </w:t>
      </w:r>
      <w:hyperlink r:id="rId121">
        <w:r>
          <w:rPr>
            <w:rStyle w:val="InternetLink"/>
          </w:rPr>
          <w:t xml:space="preserve">https://doi.org/10.1016/j.scitotenv.2021.148774</w:t>
        </w:r>
      </w:hyperlink>
    </w:p>
    <w:bookmarkEnd w:id="122"/>
    <w:bookmarkStart w:id="124" w:name="ref-rillig2017"/>
    <w:p>
      <w:pPr>
        <w:pStyle w:val="Bibliography"/>
      </w:pPr>
      <w:r>
        <w:t xml:space="preserve">Rillig, M.C., Ingraffia, R., Souza Machado, A.A. de, 2017. Microplastic incorporation into soil in agroecosystems. Frontiers in Plant Science 8.</w:t>
      </w:r>
      <w:r>
        <w:t xml:space="preserve"> </w:t>
      </w:r>
      <w:hyperlink r:id="rId123">
        <w:r>
          <w:rPr>
            <w:rStyle w:val="InternetLink"/>
          </w:rPr>
          <w:t xml:space="preserve">https://doi.org/10.3389/fpls.2017.01805</w:t>
        </w:r>
      </w:hyperlink>
    </w:p>
    <w:bookmarkEnd w:id="124"/>
    <w:bookmarkStart w:id="126" w:name="ref-rstudio2026"/>
    <w:p>
      <w:pPr>
        <w:pStyle w:val="Bibliography"/>
      </w:pPr>
      <w:r>
        <w:t xml:space="preserve">RStudio, 2026. RStudio: Integrated development environment for r. URL</w:t>
      </w:r>
      <w:r>
        <w:t xml:space="preserve"> </w:t>
      </w:r>
      <w:hyperlink r:id="rId125">
        <w:r>
          <w:rPr>
            <w:rStyle w:val="InternetLink"/>
          </w:rPr>
          <w:t xml:space="preserve">http://www.rstudio.org/</w:t>
        </w:r>
      </w:hyperlink>
    </w:p>
    <w:bookmarkEnd w:id="126"/>
    <w:bookmarkStart w:id="128" w:name="ref-severe2025"/>
    <w:p>
      <w:pPr>
        <w:pStyle w:val="Bibliography"/>
      </w:pPr>
      <w:r>
        <w:t xml:space="preserve">Severe, E., Surridge, B.W.J., Fiener, P., Coogan, M.P., Platel, R.H., James, M.R., Quinton, J., 2025. The transport of microplastics from soil in response to surface runoff and splash erosion. Environmental Science &amp; Technology 59, 14063–14074.</w:t>
      </w:r>
      <w:r>
        <w:t xml:space="preserve"> </w:t>
      </w:r>
      <w:hyperlink r:id="rId127">
        <w:r>
          <w:rPr>
            <w:rStyle w:val="InternetLink"/>
          </w:rPr>
          <w:t xml:space="preserve">https://doi.org/10.1021/acs.est.5c04795</w:t>
        </w:r>
      </w:hyperlink>
    </w:p>
    <w:bookmarkEnd w:id="128"/>
    <w:bookmarkStart w:id="129" w:name="ref-tiessen2010"/>
    <w:p>
      <w:pPr>
        <w:pStyle w:val="Bibliography"/>
      </w:pPr>
      <w:r>
        <w:t xml:space="preserve">Tiessen, K.H.D., Elliott, J.A., Yarotski, J., Lobb, D.A., Flaten, D.N., Glozier, N.E., 2010. Conventional and conservation tillage: Influence on seasonal runoff, sediment, and nutrient losses in the canadian prairies. Journal of Environmental Quality 39, 964980.</w:t>
      </w:r>
    </w:p>
    <w:bookmarkEnd w:id="129"/>
    <w:bookmarkStart w:id="131" w:name="ref-wang2024"/>
    <w:p>
      <w:pPr>
        <w:pStyle w:val="Bibliography"/>
      </w:pPr>
      <w:r>
        <w:t xml:space="preserve">Wang, Y., Jing, S., Hou, P., Ni, R., Niu, L., Wanger, T.C., Liu, W., Liu, K., 2024. Soil erosion is a major drive for nano &amp; micro-plastics to enter riverine systems from cultivated land. Water Research 256, 121597.</w:t>
      </w:r>
      <w:r>
        <w:t xml:space="preserve"> </w:t>
      </w:r>
      <w:hyperlink r:id="rId130">
        <w:r>
          <w:rPr>
            <w:rStyle w:val="InternetLink"/>
          </w:rPr>
          <w:t xml:space="preserve">https://doi.org/10.1016/j.watres.2024.121597</w:t>
        </w:r>
      </w:hyperlink>
    </w:p>
    <w:bookmarkEnd w:id="131"/>
    <w:bookmarkStart w:id="133" w:name="ref-weber2021"/>
    <w:p>
      <w:pPr>
        <w:pStyle w:val="Bibliography"/>
      </w:pPr>
      <w:r>
        <w:t xml:space="preserve">Weber, C.J., Weihrauch, C., Opp, C., Chifflard, P., 2021. Investigating microplastic dynamics in soils: Orientation for sampling strategies and sample pre-procession. Land Degradation &amp; Development 32, 270–284.</w:t>
      </w:r>
      <w:r>
        <w:t xml:space="preserve"> </w:t>
      </w:r>
      <w:hyperlink r:id="rId132">
        <w:r>
          <w:rPr>
            <w:rStyle w:val="InternetLink"/>
          </w:rPr>
          <w:t xml:space="preserve">https://doi.org/10.1002/ldr.3676</w:t>
        </w:r>
      </w:hyperlink>
    </w:p>
    <w:bookmarkEnd w:id="133"/>
    <w:bookmarkStart w:id="134" w:name="ref-wickham2016"/>
    <w:p>
      <w:pPr>
        <w:pStyle w:val="Bibliography"/>
      </w:pPr>
      <w:r>
        <w:t xml:space="preserve">Wickham, H., 2016. ggplot2: Elegant graphics for data analysis. Springer-Verlag, New York NY U.S.A.</w:t>
      </w:r>
    </w:p>
    <w:bookmarkEnd w:id="134"/>
    <w:bookmarkStart w:id="136" w:name="ref-zhang2022"/>
    <w:p>
      <w:pPr>
        <w:pStyle w:val="Bibliography"/>
      </w:pPr>
      <w:r>
        <w:t xml:space="preserve">Zhang, J., Ren, S., Xu, W., Liang, C., Li, J., Zhang, H., Li, Y., Liu, X., Jones, D.L., Chadwick, D.R., Zhang, F., Wang, K., 2022. Effects of plastic residues and microplastics on soil ecosystems: A global meta-analysis. Journal of Hazardous Materials 435, 129065.</w:t>
      </w:r>
      <w:r>
        <w:t xml:space="preserve"> </w:t>
      </w:r>
      <w:hyperlink r:id="rId135">
        <w:r>
          <w:rPr>
            <w:rStyle w:val="InternetLink"/>
          </w:rPr>
          <w:t xml:space="preserve">https://doi.org/10.1016/j.jhazmat.2022.129065</w:t>
        </w:r>
      </w:hyperlink>
    </w:p>
    <w:bookmarkEnd w:id="136"/>
    <w:bookmarkEnd w:id="137"/>
    <w:bookmarkEnd w:id="138"/>
    <w:bookmarkStart w:id="143" w:name="supplemental-materials"/>
    <w:p>
      <w:pPr>
        <w:pStyle w:val="Heading2"/>
      </w:pPr>
      <w:r>
        <w:t xml:space="preserve">Supplemental materials</w:t>
      </w:r>
    </w:p>
    <w:tbl>
      <w:tblPr>
        <w:tblStyle w:val="Table"/>
        <w:tblW w:type="pct" w:w="5000"/>
        <w:tblLayout w:type="fixed"/>
        <w:tblLook w:firstRow="0" w:lastRow="0" w:firstColumn="0" w:lastColumn="0" w:noHBand="0" w:noVBand="0" w:val="0000"/>
      </w:tblPr>
      <w:tblGrid>
        <w:gridCol w:w="7920"/>
      </w:tblGrid>
      <w:tr>
        <w:tc>
          <w:tcPr/>
          <w:bookmarkStart w:id="142" w:name="suppfig-climate-normals"/>
          <w:p>
            <w:pPr>
              <w:pStyle w:val="Compact"/>
              <w:jc w:val="center"/>
            </w:pPr>
            <w:r>
              <w:drawing>
                <wp:inline>
                  <wp:extent cx="5943600" cy="4456441"/>
                  <wp:effectExtent b="0" l="0" r="0" t="0"/>
                  <wp:docPr descr="" title="" id="140" name="Picture"/>
                  <a:graphic>
                    <a:graphicData uri="http://schemas.openxmlformats.org/drawingml/2006/picture">
                      <pic:pic>
                        <pic:nvPicPr>
                          <pic:cNvPr descr="./Figures/Climate_normal.png" id="141" name="Picture"/>
                          <pic:cNvPicPr>
                            <a:picLocks noChangeArrowheads="1" noChangeAspect="1"/>
                          </pic:cNvPicPr>
                        </pic:nvPicPr>
                        <pic:blipFill>
                          <a:blip r:embed="rId139"/>
                          <a:stretch>
                            <a:fillRect/>
                          </a:stretch>
                        </pic:blipFill>
                        <pic:spPr bwMode="auto">
                          <a:xfrm>
                            <a:off x="0" y="0"/>
                            <a:ext cx="5943600" cy="44564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Climate Normals (1991-2020) for Morden, MB (Climate ID 5021849), located approximately 30 km from the field site.</w:t>
            </w:r>
          </w:p>
          <w:bookmarkEnd w:id="142"/>
        </w:tc>
      </w:tr>
    </w:tbl>
    <w:bookmarkEnd w:id="143"/>
    <w:sectPr>
      <w:footnotePr>
        <w:numFmt w:val="decimal"/>
      </w:footnotePr>
      <w:type w:val="nextPage"/>
      <w:pgSz w:h="15840" w:w="12240"/>
      <w:pgMar w:bottom="1440" w:footer="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rsid w:val="001e36a3"/>
    <w:pPr>
      <w:keepNext w:val="true"/>
      <w:keepLines/>
      <w:spacing w:after="0" w:before="480"/>
      <w:jc w:val="center"/>
      <w:outlineLvl w:val="0"/>
    </w:pPr>
    <w:rPr>
      <w:rFonts w:ascii="Garamond" w:cs="" w:cstheme="majorBidi" w:eastAsia="" w:eastAsiaTheme="majorEastAsia" w:hAnsi="Garamond"/>
      <w:b/>
      <w:bCs/>
      <w:color w:themeColor="text1" w:val="000000"/>
      <w:sz w:val="28"/>
      <w:szCs w:val="32"/>
    </w:rPr>
  </w:style>
  <w:style w:styleId="Heading2" w:type="paragraph">
    <w:name w:val="Heading 2"/>
    <w:basedOn w:val="Normal"/>
    <w:next w:val="TextBody"/>
    <w:uiPriority w:val="9"/>
    <w:unhideWhenUsed/>
    <w:qFormat/>
    <w:rsid w:val="00a96e27"/>
    <w:pPr>
      <w:keepNext w:val="true"/>
      <w:keepLines/>
      <w:spacing w:after="0" w:before="200"/>
      <w:outlineLvl w:val="1"/>
    </w:pPr>
    <w:rPr>
      <w:rFonts w:ascii="Garamond" w:cs="" w:cstheme="majorBidi" w:eastAsia="" w:eastAsiaTheme="majorEastAsia" w:hAnsi="Garamond"/>
      <w:b/>
      <w:bCs/>
      <w:color w:themeColor="text1" w:val="000000"/>
      <w:sz w:val="28"/>
      <w:szCs w:val="28"/>
    </w:rPr>
  </w:style>
  <w:style w:styleId="Heading3" w:type="paragraph">
    <w:name w:val="Heading 3"/>
    <w:basedOn w:val="Normal"/>
    <w:next w:val="TextBody"/>
    <w:uiPriority w:val="9"/>
    <w:unhideWhenUsed/>
    <w:qFormat/>
    <w:rsid w:val="00a96e27"/>
    <w:pPr>
      <w:keepNext w:val="true"/>
      <w:keepLines/>
      <w:spacing w:after="0" w:before="200"/>
      <w:outlineLvl w:val="2"/>
    </w:pPr>
    <w:rPr>
      <w:rFonts w:ascii="Garamond" w:cs="" w:cstheme="majorBidi" w:eastAsia="" w:eastAsiaTheme="majorEastAsia" w:hAnsi="Garamond"/>
      <w:b/>
      <w:bCs/>
      <w:color w:themeColor="text1" w:val="000000"/>
    </w:rPr>
  </w:style>
  <w:style w:styleId="Heading4" w:type="paragraph">
    <w:name w:val="Heading 4"/>
    <w:basedOn w:val="Normal"/>
    <w:next w:val="TextBody"/>
    <w:uiPriority w:val="9"/>
    <w:unhideWhenUsed/>
    <w:qFormat/>
    <w:rsid w:val="00a96e27"/>
    <w:pPr>
      <w:keepNext w:val="true"/>
      <w:keepLines/>
      <w:spacing w:after="0" w:before="200"/>
      <w:outlineLvl w:val="3"/>
    </w:pPr>
    <w:rPr>
      <w:rFonts w:ascii="Garamond" w:cs="" w:cstheme="majorBidi" w:eastAsia="" w:eastAsiaTheme="majorEastAsia" w:hAnsi="Garamond"/>
      <w:bCs/>
      <w:iCs/>
      <w:color w:themeColor="text1" w:val="000000"/>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rPr>
  </w:style>
  <w:style w:styleId="Heading6" w:type="paragraph">
    <w:name w:val="Heading 6"/>
    <w:basedOn w:val="Normal"/>
    <w:next w:val="TextBody"/>
    <w:uiPriority w:val="9"/>
    <w:unhideWhenUsed/>
    <w:qFormat/>
    <w:rsid w:val="00a96e27"/>
    <w:pPr>
      <w:keepNext w:val="true"/>
      <w:keepLines/>
      <w:spacing w:after="0" w:before="200"/>
      <w:outlineLvl w:val="5"/>
    </w:pPr>
    <w:rPr>
      <w:rFonts w:ascii="Garamond" w:cs="" w:cstheme="majorBidi" w:eastAsia="" w:eastAsiaTheme="majorEastAsia" w:hAnsi="Garamond"/>
      <w:color w:themeColor="text1" w:val="000000"/>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1"/>
    <w:qFormat/>
    <w:rPr/>
  </w:style>
  <w:style w:customStyle="1" w:styleId="VerbatimChar" w:type="character">
    <w:name w:val="Verbatim Char"/>
    <w:basedOn w:val="CaptionChar"/>
    <w:qFormat/>
    <w:rsid w:val="00a96e27"/>
    <w:rPr>
      <w:rFonts w:ascii="Consolas" w:hAnsi="Consolas"/>
      <w:sz w:val="22"/>
    </w:rPr>
  </w:style>
  <w:style w:customStyle="1" w:styleId="SectionNumber" w:type="character">
    <w:name w:val="Section Number"/>
    <w:basedOn w:val="CaptionChar"/>
    <w:qFormat/>
    <w:rPr/>
  </w:style>
  <w:style w:customStyle="1" w:styleId="FootnoteCharacters" w:type="character">
    <w:name w:val="Footnote Characters"/>
    <w:basedOn w:val="CaptionChar"/>
    <w:qFormat/>
    <w:rPr>
      <w:vertAlign w:val="superscript"/>
    </w:rPr>
  </w:style>
  <w:style w:customStyle="1"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BalloonTextChar" w:type="character">
    <w:name w:val="Balloon Text Char"/>
    <w:basedOn w:val="DefaultParagraphFont"/>
    <w:link w:val="BalloonText"/>
    <w:qFormat/>
    <w:rsid w:val="00a96e27"/>
    <w:rPr>
      <w:rFonts w:ascii="Segoe UI" w:cs="Segoe UI" w:hAnsi="Segoe UI"/>
      <w:sz w:val="18"/>
      <w:szCs w:val="18"/>
    </w:rPr>
  </w:style>
  <w:style w:customStyle="1" w:styleId="EndnoteAnchor" w:type="character">
    <w:name w:val="Endnote Anchor"/>
    <w:rPr>
      <w:vertAlign w:val="superscript"/>
    </w:rPr>
  </w:style>
  <w:style w:customStyle="1" w:styleId="EndnoteCharacters" w:type="character">
    <w:name w:val="Endnote Characters"/>
    <w:qFormat/>
    <w:rPr/>
  </w:style>
  <w:style w:customStyle="1" w:styleId="LineNumbering" w:type="character">
    <w:name w:val="Line Numbering"/>
    <w:rPr/>
  </w:style>
  <w:style w:styleId="Linenumber" w:type="character">
    <w:name w:val="line number"/>
    <w:basedOn w:val="DefaultParagraphFont"/>
    <w:qFormat/>
    <w:rsid w:val="001e36a3"/>
    <w:rPr/>
  </w:style>
  <w:style w:customStyle="1"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qFormat/>
    <w:rsid w:val="00a96e27"/>
    <w:pPr>
      <w:spacing w:after="180" w:before="180" w:line="480" w:lineRule="auto"/>
    </w:pPr>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customStyle="1" w:styleId="Index" w:type="paragraph">
    <w:name w:val="Index"/>
    <w:basedOn w:val="Normal"/>
    <w:qFormat/>
    <w:pPr>
      <w:suppressLineNumbers/>
    </w:pPr>
    <w:rPr>
      <w:rFonts w:cs="Lohit Devanagari"/>
    </w:rPr>
  </w:style>
  <w:style w:styleId="Caption1" w:type="paragraph">
    <w:name w:val="caption"/>
    <w:basedOn w:val="Normal"/>
    <w:link w:val="CaptionChar"/>
    <w:qFormat/>
    <w:pPr>
      <w:spacing w:after="120" w:before="0"/>
    </w:pPr>
    <w:rPr>
      <w:i/>
    </w:rPr>
  </w:style>
  <w:style w:customStyle="1" w:styleId="FirstParagraph" w:type="paragraph">
    <w:name w:val="First Paragraph"/>
    <w:basedOn w:val="TextBody"/>
    <w:next w:val="TextBody"/>
    <w:qFormat/>
    <w:rsid w:val="00a96e27"/>
    <w:pPr/>
    <w:rPr/>
  </w:style>
  <w:style w:customStyle="1" w:styleId="Compact" w:type="paragraph">
    <w:name w:val="Compact"/>
    <w:basedOn w:val="TextBody"/>
    <w:qFormat/>
    <w:rsid w:val="00a96e27"/>
    <w:pPr>
      <w:spacing w:after="36" w:before="36"/>
    </w:pPr>
    <w:rPr>
      <w:rFonts w:ascii="Garamond" w:hAnsi="Garamond"/>
      <w:color w:themeColor="text1" w:val="000000"/>
    </w:rPr>
  </w:style>
  <w:style w:styleId="Title" w:type="paragraph">
    <w:name w:val="Title"/>
    <w:basedOn w:val="Normal"/>
    <w:next w:val="TextBody"/>
    <w:qFormat/>
    <w:rsid w:val="001e36a3"/>
    <w:pPr>
      <w:keepNext w:val="true"/>
      <w:keepLines/>
      <w:spacing w:after="240" w:before="480"/>
      <w:jc w:val="center"/>
    </w:pPr>
    <w:rPr>
      <w:rFonts w:ascii="Calibri" w:asciiTheme="majorHAnsi" w:cs="" w:cstheme="majorBidi" w:eastAsia="" w:eastAsiaTheme="majorEastAsia" w:hAnsi="Calibri" w:hAnsiTheme="majorHAnsi"/>
      <w:b/>
      <w:bCs/>
      <w:sz w:val="28"/>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rsid w:val="00a96e27"/>
    <w:pPr>
      <w:keepNext w:val="true"/>
      <w:keepLines/>
      <w:widowControl/>
      <w:suppressAutoHyphens w:val="true"/>
      <w:bidi w:val="0"/>
      <w:spacing w:after="200" w:before="0"/>
      <w:jc w:val="center"/>
    </w:pPr>
    <w:rPr>
      <w:rFonts w:ascii="Garamond" w:cs="" w:eastAsia="Cambria" w:hAnsi="Garamond"/>
      <w:color w:themeColor="text1" w:val="000000"/>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rFonts w:ascii="Garamond" w:hAnsi="Garamond"/>
      <w:b/>
      <w:color w:val="000000"/>
      <w:szCs w:val="20"/>
    </w:rPr>
  </w:style>
  <w:style w:customStyle="1" w:styleId="Abstract" w:type="paragraph">
    <w:name w:val="Abstract"/>
    <w:basedOn w:val="Normal"/>
    <w:next w:val="TextBody"/>
    <w:qFormat/>
    <w:rsid w:val="001e36a3"/>
    <w:pPr>
      <w:keepNext w:val="true"/>
      <w:keepLines/>
      <w:spacing w:after="74" w:before="0" w:line="480" w:lineRule="auto"/>
    </w:pPr>
    <w:rPr>
      <w:rFonts w:ascii="Garamond" w:hAnsi="Garamond"/>
      <w:b w:val="false"/>
      <w:color w:themeColor="text1" w:val="000000"/>
    </w:rPr>
  </w:style>
  <w:style w:styleId="Bibliography" w:type="paragraph">
    <w:name w:val="Bibliography"/>
    <w:basedOn w:val="Normal"/>
    <w:qFormat/>
    <w:pPr/>
    <w:rPr/>
  </w:style>
  <w:style w:styleId="BlockText" w:type="paragraph">
    <w:name w:val="Block Text"/>
    <w:basedOn w:val="TextBody"/>
    <w:next w:val="TextBody"/>
    <w:uiPriority w:val="9"/>
    <w:unhideWhenUsed/>
    <w:qFormat/>
    <w:rsid w:val="00a96e27"/>
    <w:pPr>
      <w:spacing w:after="100" w:before="100"/>
      <w:ind w:hanging="0" w:left="480" w:right="480"/>
    </w:pPr>
    <w:rPr/>
  </w:style>
  <w:style w:styleId="Footnote" w:type="paragraph">
    <w:name w:val="Footnote Text"/>
    <w:basedOn w:val="Normal"/>
    <w:uiPriority w:val="9"/>
    <w:unhideWhenUsed/>
    <w:qFormat/>
    <w:rsid w:val="00a96e27"/>
    <w:pPr/>
    <w:rPr/>
  </w:style>
  <w:style w:customStyle="1" w:styleId="FootnoteBlockText" w:type="paragraph">
    <w:name w:val="Footnote Block Text"/>
    <w:uiPriority w:val="9"/>
    <w:unhideWhenUsed/>
    <w:qFormat/>
    <w:pPr>
      <w:widowControl/>
      <w:suppressAutoHyphens w:val="true"/>
      <w:bidi w:val="0"/>
      <w:spacing w:after="100" w:before="100"/>
      <w:ind w:hanging="0" w:left="480" w:right="48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DefinitionTerm" w:type="paragraph">
    <w:name w:val="Definition Term"/>
    <w:basedOn w:val="Normal"/>
    <w:next w:val="Definition"/>
    <w:qFormat/>
    <w:rsid w:val="00a96e27"/>
    <w:pPr>
      <w:keepNext w:val="true"/>
      <w:keepLines/>
      <w:spacing w:after="0" w:before="0"/>
    </w:pPr>
    <w:rPr>
      <w:b/>
    </w:rPr>
  </w:style>
  <w:style w:customStyle="1" w:styleId="Definition" w:type="paragraph">
    <w:name w:val="Definition"/>
    <w:basedOn w:val="Normal"/>
    <w:qFormat/>
    <w:rsid w:val="00a96e27"/>
    <w:pPr/>
    <w:rPr/>
  </w:style>
  <w:style w:customStyle="1" w:styleId="TableCaption" w:type="paragraph">
    <w:name w:val="Table Caption"/>
    <w:basedOn w:val="Caption1"/>
    <w:qFormat/>
    <w:rsid w:val="00a96e27"/>
    <w:pPr>
      <w:keepNext w:val="true"/>
    </w:pPr>
    <w:rPr/>
  </w:style>
  <w:style w:customStyle="1" w:styleId="ImageCaption" w:type="paragraph">
    <w:name w:val="Image Caption"/>
    <w:basedOn w:val="Caption1"/>
    <w:qFormat/>
    <w:rsid w:val="00a96e27"/>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qFormat/>
    <w:pPr/>
    <w:rPr/>
  </w:style>
  <w:style w:styleId="IndexHeading1" w:type="paragraph">
    <w:name w:val="Index Heading"/>
    <w:basedOn w:val="Heading"/>
    <w:pPr/>
    <w:rPr/>
  </w:style>
  <w:style w:styleId="ContentsHeading" w:type="paragraph">
    <w:name w:val="TOC Heading"/>
    <w:basedOn w:val="Heading1"/>
    <w:next w:val="TextBody"/>
    <w:uiPriority w:val="39"/>
    <w:unhideWhenUsed/>
    <w:qFormat/>
    <w:pPr>
      <w:spacing w:after="0" w:before="240" w:line="259" w:lineRule="auto"/>
      <w:outlineLvl w:val="9"/>
    </w:pPr>
    <w:rPr>
      <w:rFonts w:ascii="Calibri" w:asciiTheme="majorHAnsi" w:hAnsi="Calibri" w:hAnsiTheme="majorHAnsi"/>
      <w:b w:val="false"/>
      <w:bCs w:val="false"/>
      <w:color w:themeColor="accent1" w:themeShade="bf" w:val="365F91"/>
    </w:rPr>
  </w:style>
  <w:style w:styleId="BalloonText" w:type="paragraph">
    <w:name w:val="Balloon Text"/>
    <w:basedOn w:val="Normal"/>
    <w:link w:val="BalloonTextChar"/>
    <w:qFormat/>
    <w:rsid w:val="00a96e27"/>
    <w:pPr>
      <w:spacing w:after="0" w:before="0"/>
    </w:pPr>
    <w:rPr>
      <w:rFonts w:ascii="Segoe UI" w:cs="Segoe UI" w:hAnsi="Segoe UI"/>
      <w:sz w:val="18"/>
      <w:szCs w:val="18"/>
    </w:rPr>
  </w:style>
  <w:style w:customStyle="1"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9" Target="media/rId139.png" /><Relationship Type="http://schemas.openxmlformats.org/officeDocument/2006/relationships/image" Id="rId52" Target="media/rId52.png" /><Relationship Type="http://schemas.openxmlformats.org/officeDocument/2006/relationships/image" Id="rId21" Target="media/rId21.png" /><Relationship Type="http://schemas.openxmlformats.org/officeDocument/2006/relationships/image" Id="rId46" Target="media/rId46.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hyperlink" Id="rId117" Target="http://www.R-project.org" TargetMode="External" /><Relationship Type="http://schemas.openxmlformats.org/officeDocument/2006/relationships/hyperlink" Id="rId125" Target="http://www.rstudio.org/" TargetMode="External" /><Relationship Type="http://schemas.openxmlformats.org/officeDocument/2006/relationships/hyperlink" Id="rId94" Target="https://CRAN.R-project.org/package=DHARMa" TargetMode="External" /><Relationship Type="http://schemas.openxmlformats.org/officeDocument/2006/relationships/hyperlink" Id="rId100" Target="https://CRAN.R-project.org/package=emmeans" TargetMode="External" /><Relationship Type="http://schemas.openxmlformats.org/officeDocument/2006/relationships/hyperlink" Id="rId56" Target="https://alex-koiter.github.io/soil-plastics/notebooks/04_Discharge.qmd.html#cell-fig-discharge" TargetMode="External" /><Relationship Type="http://schemas.openxmlformats.org/officeDocument/2006/relationships/hyperlink" Id="rId58" Target="https://alex-koiter.github.io/soil-plastics/notebooks/04_Discharge.qmd.html#cell-tbl-runoff" TargetMode="External" /><Relationship Type="http://schemas.openxmlformats.org/officeDocument/2006/relationships/hyperlink" Id="rId25" Target="https://alex-koiter.github.io/soil-plastics/notebooks/maps.qmd.html#cell-fig-mapr" TargetMode="External" /><Relationship Type="http://schemas.openxmlformats.org/officeDocument/2006/relationships/hyperlink" Id="rId50" Target="https://alex-koiter.github.io/soil-plastics/notebooks/soil_sampling.qmd.html#cell-fig-depth" TargetMode="External" /><Relationship Type="http://schemas.openxmlformats.org/officeDocument/2006/relationships/hyperlink" Id="rId41" Target="https://alex-koiter.github.io/soil-plastics/notebooks/soil_sampling.qmd.html#cell-fig-poly-surface" TargetMode="External" /><Relationship Type="http://schemas.openxmlformats.org/officeDocument/2006/relationships/hyperlink" Id="rId43" Target="https://alex-koiter.github.io/soil-plastics/notebooks/soil_sampling.qmd.html#cell-tbl-abundance-posthoc" TargetMode="External" /><Relationship Type="http://schemas.openxmlformats.org/officeDocument/2006/relationships/hyperlink" Id="rId45" Target="https://alex-koiter.github.io/soil-plastics/notebooks/soil_sampling.qmd.html#cell-tbl-density-posthoc" TargetMode="External" /><Relationship Type="http://schemas.openxmlformats.org/officeDocument/2006/relationships/hyperlink" Id="rId30" Target="https://alex-koiter.github.io/soil-plastics/notebooks/weather_climate.qmd.html#cell-fig-weather-climate" TargetMode="External" /><Relationship Type="http://schemas.openxmlformats.org/officeDocument/2006/relationships/hyperlink" Id="rId66" Target="https://alexkoiter.ca/soil-plastics/" TargetMode="External" /><Relationship Type="http://schemas.openxmlformats.org/officeDocument/2006/relationships/hyperlink" Id="rId86" Target="https://climate.weather.gc.ca/climate_normals/index_e.html" TargetMode="External" /><Relationship Type="http://schemas.openxmlformats.org/officeDocument/2006/relationships/hyperlink" Id="rId132" Target="https://doi.org/10.1002/ldr.3676" TargetMode="External" /><Relationship Type="http://schemas.openxmlformats.org/officeDocument/2006/relationships/hyperlink" Id="rId78" Target="https://doi.org/10.1007/s10311-023-01652-9" TargetMode="External" /><Relationship Type="http://schemas.openxmlformats.org/officeDocument/2006/relationships/hyperlink" Id="rId72" Target="https://doi.org/10.1016/j.envpol.2017.02.072" TargetMode="External" /><Relationship Type="http://schemas.openxmlformats.org/officeDocument/2006/relationships/hyperlink" Id="rId80" Target="https://doi.org/10.1016/j.jafr.2026.103089" TargetMode="External" /><Relationship Type="http://schemas.openxmlformats.org/officeDocument/2006/relationships/hyperlink" Id="rId135" Target="https://doi.org/10.1016/j.jhazmat.2022.129065" TargetMode="External" /><Relationship Type="http://schemas.openxmlformats.org/officeDocument/2006/relationships/hyperlink" Id="rId106" Target="https://doi.org/10.1016/j.jhazmat.2024.135318" TargetMode="External" /><Relationship Type="http://schemas.openxmlformats.org/officeDocument/2006/relationships/hyperlink" Id="rId82" Target="https://doi.org/10.1016/j.scitotenv.2020.138334" TargetMode="External" /><Relationship Type="http://schemas.openxmlformats.org/officeDocument/2006/relationships/hyperlink" Id="rId121" Target="https://doi.org/10.1016/j.scitotenv.2021.148774" TargetMode="External" /><Relationship Type="http://schemas.openxmlformats.org/officeDocument/2006/relationships/hyperlink" Id="rId130" Target="https://doi.org/10.1016/j.watres.2024.121597" TargetMode="External" /><Relationship Type="http://schemas.openxmlformats.org/officeDocument/2006/relationships/hyperlink" Id="rId98" Target="https://doi.org/10.1021/acs.est.0c06087" TargetMode="External" /><Relationship Type="http://schemas.openxmlformats.org/officeDocument/2006/relationships/hyperlink" Id="rId127" Target="https://doi.org/10.1021/acs.est.5c04795" TargetMode="External" /><Relationship Type="http://schemas.openxmlformats.org/officeDocument/2006/relationships/hyperlink" Id="rId102" Target="https://doi.org/10.1021/acs.estlett.3c00850" TargetMode="External" /><Relationship Type="http://schemas.openxmlformats.org/officeDocument/2006/relationships/hyperlink" Id="rId115" Target="https://doi.org/10.1038/s41598-018-36172-y" TargetMode="External" /><Relationship Type="http://schemas.openxmlformats.org/officeDocument/2006/relationships/hyperlink" Id="rId84" Target="https://doi.org/10.21105/joss.00571" TargetMode="External" /><Relationship Type="http://schemas.openxmlformats.org/officeDocument/2006/relationships/hyperlink" Id="rId104" Target="https://doi.org/10.21105/joss.03139" TargetMode="External" /><Relationship Type="http://schemas.openxmlformats.org/officeDocument/2006/relationships/hyperlink" Id="rId90" Target="https://doi.org/10.32614/CRAN.package.OpenStreetMap" TargetMode="External" /><Relationship Type="http://schemas.openxmlformats.org/officeDocument/2006/relationships/hyperlink" Id="rId108" Target="https://doi.org/10.32614/CRAN.package.rnaturalearth" TargetMode="External" /><Relationship Type="http://schemas.openxmlformats.org/officeDocument/2006/relationships/hyperlink" Id="rId76" Target="https://doi.org/10.32614/RJ-2017-066" TargetMode="External" /><Relationship Type="http://schemas.openxmlformats.org/officeDocument/2006/relationships/hyperlink" Id="rId123" Target="https://doi.org/10.3389/fpls.2017.01805" TargetMode="External" /><Relationship Type="http://schemas.openxmlformats.org/officeDocument/2006/relationships/hyperlink" Id="rId96" Target="https://doi.org/10.3390/land14010038" TargetMode="External" /><Relationship Type="http://schemas.openxmlformats.org/officeDocument/2006/relationships/hyperlink" Id="rId119" Target="https://doi.org/10.5194/soil-10-211-2024" TargetMode="External" /><Relationship Type="http://schemas.openxmlformats.org/officeDocument/2006/relationships/hyperlink" Id="rId65" Target="https://github.com/alex-koiter/soil-plastics" TargetMode="External" /><Relationship Type="http://schemas.openxmlformats.org/officeDocument/2006/relationships/hyperlink" Id="rId111" Target="https://products.nutrien.com/docs/3705" TargetMode="External" /><Relationship Type="http://schemas.openxmlformats.org/officeDocument/2006/relationships/hyperlink" Id="rId113" Target="https://products.nutrien.com/docs/811" TargetMode="External" /><Relationship Type="http://schemas.openxmlformats.org/officeDocument/2006/relationships/hyperlink" Id="rId70" Target="https://publications.gc.ca/collections/collection_2022/aac-aafc/A15-10313-2008-eng.pdf" TargetMode="External" /><Relationship Type="http://schemas.openxmlformats.org/officeDocument/2006/relationships/hyperlink" Id="rId92" Target="https://socialsciences.mcmaster.ca/jfox/Books/Companion/" TargetMode="External" /><Relationship Type="http://schemas.openxmlformats.org/officeDocument/2006/relationships/hyperlink" Id="rId74" Target="https://www.astm.org/d5242-92r01.html" TargetMode="External" /><Relationship Type="http://schemas.openxmlformats.org/officeDocument/2006/relationships/hyperlink" Id="rId88" Target="https://www.canada.ca/en/environment-climate-change/services/evaluating-existing-substances/science-assessment-plastic-pollution.html" TargetMode="External" /></Relationships>
</file>

<file path=word/_rels/footnotes.xml.rels><?xml version="1.0" encoding="UTF-8"?><Relationships xmlns="http://schemas.openxmlformats.org/package/2006/relationships"><Relationship Type="http://schemas.openxmlformats.org/officeDocument/2006/relationships/hyperlink" Id="rId117" Target="http://www.R-project.org" TargetMode="External" /><Relationship Type="http://schemas.openxmlformats.org/officeDocument/2006/relationships/hyperlink" Id="rId125" Target="http://www.rstudio.org/" TargetMode="External" /><Relationship Type="http://schemas.openxmlformats.org/officeDocument/2006/relationships/hyperlink" Id="rId94" Target="https://CRAN.R-project.org/package=DHARMa" TargetMode="External" /><Relationship Type="http://schemas.openxmlformats.org/officeDocument/2006/relationships/hyperlink" Id="rId100" Target="https://CRAN.R-project.org/package=emmeans" TargetMode="External" /><Relationship Type="http://schemas.openxmlformats.org/officeDocument/2006/relationships/hyperlink" Id="rId56" Target="https://alex-koiter.github.io/soil-plastics/notebooks/04_Discharge.qmd.html#cell-fig-discharge" TargetMode="External" /><Relationship Type="http://schemas.openxmlformats.org/officeDocument/2006/relationships/hyperlink" Id="rId58" Target="https://alex-koiter.github.io/soil-plastics/notebooks/04_Discharge.qmd.html#cell-tbl-runoff" TargetMode="External" /><Relationship Type="http://schemas.openxmlformats.org/officeDocument/2006/relationships/hyperlink" Id="rId25" Target="https://alex-koiter.github.io/soil-plastics/notebooks/maps.qmd.html#cell-fig-mapr" TargetMode="External" /><Relationship Type="http://schemas.openxmlformats.org/officeDocument/2006/relationships/hyperlink" Id="rId50" Target="https://alex-koiter.github.io/soil-plastics/notebooks/soil_sampling.qmd.html#cell-fig-depth" TargetMode="External" /><Relationship Type="http://schemas.openxmlformats.org/officeDocument/2006/relationships/hyperlink" Id="rId41" Target="https://alex-koiter.github.io/soil-plastics/notebooks/soil_sampling.qmd.html#cell-fig-poly-surface" TargetMode="External" /><Relationship Type="http://schemas.openxmlformats.org/officeDocument/2006/relationships/hyperlink" Id="rId43" Target="https://alex-koiter.github.io/soil-plastics/notebooks/soil_sampling.qmd.html#cell-tbl-abundance-posthoc" TargetMode="External" /><Relationship Type="http://schemas.openxmlformats.org/officeDocument/2006/relationships/hyperlink" Id="rId45" Target="https://alex-koiter.github.io/soil-plastics/notebooks/soil_sampling.qmd.html#cell-tbl-density-posthoc" TargetMode="External" /><Relationship Type="http://schemas.openxmlformats.org/officeDocument/2006/relationships/hyperlink" Id="rId30" Target="https://alex-koiter.github.io/soil-plastics/notebooks/weather_climate.qmd.html#cell-fig-weather-climate" TargetMode="External" /><Relationship Type="http://schemas.openxmlformats.org/officeDocument/2006/relationships/hyperlink" Id="rId66" Target="https://alexkoiter.ca/soil-plastics/" TargetMode="External" /><Relationship Type="http://schemas.openxmlformats.org/officeDocument/2006/relationships/hyperlink" Id="rId86" Target="https://climate.weather.gc.ca/climate_normals/index_e.html" TargetMode="External" /><Relationship Type="http://schemas.openxmlformats.org/officeDocument/2006/relationships/hyperlink" Id="rId132" Target="https://doi.org/10.1002/ldr.3676" TargetMode="External" /><Relationship Type="http://schemas.openxmlformats.org/officeDocument/2006/relationships/hyperlink" Id="rId78" Target="https://doi.org/10.1007/s10311-023-01652-9" TargetMode="External" /><Relationship Type="http://schemas.openxmlformats.org/officeDocument/2006/relationships/hyperlink" Id="rId72" Target="https://doi.org/10.1016/j.envpol.2017.02.072" TargetMode="External" /><Relationship Type="http://schemas.openxmlformats.org/officeDocument/2006/relationships/hyperlink" Id="rId80" Target="https://doi.org/10.1016/j.jafr.2026.103089" TargetMode="External" /><Relationship Type="http://schemas.openxmlformats.org/officeDocument/2006/relationships/hyperlink" Id="rId135" Target="https://doi.org/10.1016/j.jhazmat.2022.129065" TargetMode="External" /><Relationship Type="http://schemas.openxmlformats.org/officeDocument/2006/relationships/hyperlink" Id="rId106" Target="https://doi.org/10.1016/j.jhazmat.2024.135318" TargetMode="External" /><Relationship Type="http://schemas.openxmlformats.org/officeDocument/2006/relationships/hyperlink" Id="rId82" Target="https://doi.org/10.1016/j.scitotenv.2020.138334" TargetMode="External" /><Relationship Type="http://schemas.openxmlformats.org/officeDocument/2006/relationships/hyperlink" Id="rId121" Target="https://doi.org/10.1016/j.scitotenv.2021.148774" TargetMode="External" /><Relationship Type="http://schemas.openxmlformats.org/officeDocument/2006/relationships/hyperlink" Id="rId130" Target="https://doi.org/10.1016/j.watres.2024.121597" TargetMode="External" /><Relationship Type="http://schemas.openxmlformats.org/officeDocument/2006/relationships/hyperlink" Id="rId98" Target="https://doi.org/10.1021/acs.est.0c06087" TargetMode="External" /><Relationship Type="http://schemas.openxmlformats.org/officeDocument/2006/relationships/hyperlink" Id="rId127" Target="https://doi.org/10.1021/acs.est.5c04795" TargetMode="External" /><Relationship Type="http://schemas.openxmlformats.org/officeDocument/2006/relationships/hyperlink" Id="rId102" Target="https://doi.org/10.1021/acs.estlett.3c00850" TargetMode="External" /><Relationship Type="http://schemas.openxmlformats.org/officeDocument/2006/relationships/hyperlink" Id="rId115" Target="https://doi.org/10.1038/s41598-018-36172-y" TargetMode="External" /><Relationship Type="http://schemas.openxmlformats.org/officeDocument/2006/relationships/hyperlink" Id="rId84" Target="https://doi.org/10.21105/joss.00571" TargetMode="External" /><Relationship Type="http://schemas.openxmlformats.org/officeDocument/2006/relationships/hyperlink" Id="rId104" Target="https://doi.org/10.21105/joss.03139" TargetMode="External" /><Relationship Type="http://schemas.openxmlformats.org/officeDocument/2006/relationships/hyperlink" Id="rId90" Target="https://doi.org/10.32614/CRAN.package.OpenStreetMap" TargetMode="External" /><Relationship Type="http://schemas.openxmlformats.org/officeDocument/2006/relationships/hyperlink" Id="rId108" Target="https://doi.org/10.32614/CRAN.package.rnaturalearth" TargetMode="External" /><Relationship Type="http://schemas.openxmlformats.org/officeDocument/2006/relationships/hyperlink" Id="rId76" Target="https://doi.org/10.32614/RJ-2017-066" TargetMode="External" /><Relationship Type="http://schemas.openxmlformats.org/officeDocument/2006/relationships/hyperlink" Id="rId123" Target="https://doi.org/10.3389/fpls.2017.01805" TargetMode="External" /><Relationship Type="http://schemas.openxmlformats.org/officeDocument/2006/relationships/hyperlink" Id="rId96" Target="https://doi.org/10.3390/land14010038" TargetMode="External" /><Relationship Type="http://schemas.openxmlformats.org/officeDocument/2006/relationships/hyperlink" Id="rId119" Target="https://doi.org/10.5194/soil-10-211-2024" TargetMode="External" /><Relationship Type="http://schemas.openxmlformats.org/officeDocument/2006/relationships/hyperlink" Id="rId65" Target="https://github.com/alex-koiter/soil-plastics" TargetMode="External" /><Relationship Type="http://schemas.openxmlformats.org/officeDocument/2006/relationships/hyperlink" Id="rId111" Target="https://products.nutrien.com/docs/3705" TargetMode="External" /><Relationship Type="http://schemas.openxmlformats.org/officeDocument/2006/relationships/hyperlink" Id="rId113" Target="https://products.nutrien.com/docs/811" TargetMode="External" /><Relationship Type="http://schemas.openxmlformats.org/officeDocument/2006/relationships/hyperlink" Id="rId70" Target="https://publications.gc.ca/collections/collection_2022/aac-aafc/A15-10313-2008-eng.pdf" TargetMode="External" /><Relationship Type="http://schemas.openxmlformats.org/officeDocument/2006/relationships/hyperlink" Id="rId92" Target="https://socialsciences.mcmaster.ca/jfox/Books/Companion/" TargetMode="External" /><Relationship Type="http://schemas.openxmlformats.org/officeDocument/2006/relationships/hyperlink" Id="rId74" Target="https://www.astm.org/d5242-92r01.html" TargetMode="External" /><Relationship Type="http://schemas.openxmlformats.org/officeDocument/2006/relationships/hyperlink" Id="rId88" Target="https://www.canada.ca/en/environment-climate-change/services/evaluating-existing-substances/science-assessment-plastic-pollu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2</Pages>
  <Words>55</Words>
  <Characters>293</Characters>
  <CharactersWithSpaces>382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distribution and snowmelt-driven export of polymer fertilizer coatings in a cold-climate agro-ecosystem</dc:title>
  <dc:creator>Alexander J Koiter; Aaron Glenn; Cameron Beaupre; Henry Wilson</dc:creator>
  <cp:keywords>Slow-release fertilizer, Micro-plastic, Fate and transport, Snowmelt runoff, Agro-ecosystem</cp:keywords>
  <dcterms:created xsi:type="dcterms:W3CDTF">2026-07-21T22:04:06Z</dcterms:created>
  <dcterms:modified xsi:type="dcterms:W3CDTF">2026-07-21T22:04:06Z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Polymer-coated slow-release fertilizers are a deliberate and quantifiable input of microplastics to agricultural soils, yet their fate in cold, snowmelt-dominated agro-ecosystems remains poorly characterized This pilot study investigated the in-field distribution and snowmelt export of polymer fertilizer coatings applied to two small agricultural watersheds in south-central Manitoba, Canada. Surface soils (0-5 cm) were sampled along hillslope transects at multiple dates following a single application, and spring snowmelt runoff was collected at the edge-of-field outlet of two small watersheds. Results showed that hillslope position and time since application significantly affected coating abundance and areal density, with lower slope positions accumulating more coatings than upper positions, consistent with downslope transport. Coatings persisted in surface soils over ~18 months with modest losses, and comparable abundances across 0-5 and 5-10 cm depth intervals indicating vertical mixing within the plow layer. During snowmelt, small amounts of coatings were exported with runoff from both watersheds. These findings demonstrate that agricultural soils can serve as a multi-year source of microplastics to downstream ecosystems and highlight the need for sampling protocols that account for spatial and temporal variability, as well as improved edge-of-field monitoring in cold regions to determine potential long-term impacts.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elsevier-harvard.csl</vt:lpwstr>
  </property>
  <property fmtid="{D5CDD505-2E9C-101B-9397-08002B2CF9AE}" pid="12" name="date-modified">
    <vt:lpwstr>2026-07-21</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bibliography">
    <vt:lpwstr>True</vt:lpwstr>
  </property>
  <property fmtid="{D5CDD505-2E9C-101B-9397-08002B2CF9AE}" pid="20" name="link-citations">
    <vt:lpwstr>True</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suppplot-cap-location">
    <vt:lpwstr>bottom</vt:lpwstr>
  </property>
  <property fmtid="{D5CDD505-2E9C-101B-9397-08002B2CF9AE}" pid="26" name="supptab-cap-location">
    <vt:lpwstr>top</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