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64.png" ContentType="image/png"/>
  <Override PartName="/word/media/rId55.png" ContentType="image/png"/>
  <Override PartName="/word/media/rId21.png" ContentType="image/png"/>
  <Override PartName="/word/media/rId35.png" ContentType="image/png"/>
  <Override PartName="/word/media/rId40.png" ContentType="image/png"/>
  <Override PartName="/word/media/rId45.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the</w:t>
      </w:r>
      <w:r>
        <w:t xml:space="preserve"> </w:t>
      </w:r>
      <w:r>
        <w:t xml:space="preserve">Spatial</w:t>
      </w:r>
      <w:r>
        <w:t xml:space="preserve"> </w:t>
      </w:r>
      <w:r>
        <w:t xml:space="preserve">Variability</w:t>
      </w:r>
      <w:r>
        <w:t xml:space="preserve"> </w:t>
      </w:r>
      <w:r>
        <w:t xml:space="preserve">in</w:t>
      </w:r>
      <w:r>
        <w:t xml:space="preserve"> </w:t>
      </w:r>
      <w:r>
        <w:t xml:space="preserve">Soil</w:t>
      </w:r>
      <w:r>
        <w:t xml:space="preserve"> </w:t>
      </w:r>
      <w:r>
        <w:t xml:space="preserve">Geochemical</w:t>
      </w:r>
      <w:r>
        <w:t xml:space="preserve"> </w:t>
      </w:r>
      <w:r>
        <w:t xml:space="preserve">and</w:t>
      </w:r>
      <w:r>
        <w:t xml:space="preserve"> </w:t>
      </w:r>
      <w:r>
        <w:t xml:space="preserve">Colour</w:t>
      </w:r>
      <w:r>
        <w:t xml:space="preserve"> </w:t>
      </w:r>
      <w:r>
        <w:t xml:space="preserve">Properties</w:t>
      </w:r>
      <w:r>
        <w:t xml:space="preserve"> </w:t>
      </w:r>
      <w:r>
        <w:t xml:space="preserve">Across</w:t>
      </w:r>
      <w:r>
        <w:t xml:space="preserve"> </w:t>
      </w:r>
      <w:r>
        <w:t xml:space="preserve">Two</w:t>
      </w:r>
      <w:r>
        <w:t xml:space="preserve"> </w:t>
      </w:r>
      <w:r>
        <w:t xml:space="preserve">Contrasting</w:t>
      </w:r>
      <w:r>
        <w:t xml:space="preserve"> </w:t>
      </w:r>
      <w:r>
        <w:t xml:space="preserve">Land</w:t>
      </w:r>
      <w:r>
        <w:t xml:space="preserve"> </w:t>
      </w:r>
      <w:r>
        <w:t xml:space="preserve">Uses</w:t>
      </w:r>
    </w:p>
    <w:p>
      <w:pPr>
        <w:pStyle w:val="Author"/>
      </w:pPr>
      <w:r>
        <w:t xml:space="preserve">Maria</w:t>
      </w:r>
      <w:r>
        <w:t xml:space="preserve"> </w:t>
      </w:r>
      <w:r>
        <w:t xml:space="preserve">Luna</w:t>
      </w:r>
    </w:p>
    <w:p>
      <w:pPr>
        <w:pStyle w:val="Author"/>
      </w:pPr>
      <w:r>
        <w:t xml:space="preserve">Alexander</w:t>
      </w:r>
      <w:r>
        <w:t xml:space="preserve"> </w:t>
      </w:r>
      <w:r>
        <w:t xml:space="preserve">J</w:t>
      </w:r>
      <w:r>
        <w:t xml:space="preserve"> </w:t>
      </w:r>
      <w:r>
        <w:t xml:space="preserve">Koiter</w:t>
      </w:r>
    </w:p>
    <w:p>
      <w:pPr>
        <w:pStyle w:val="Author"/>
      </w:pPr>
      <w:r>
        <w:t xml:space="preserve">Taras</w:t>
      </w:r>
      <w:r>
        <w:t xml:space="preserve"> </w:t>
      </w:r>
      <w:r>
        <w:t xml:space="preserve">E</w:t>
      </w:r>
      <w:r>
        <w:t xml:space="preserve"> </w:t>
      </w:r>
      <w:r>
        <w:t xml:space="preserve">Lychuk</w:t>
      </w:r>
    </w:p>
    <w:p>
      <w:pPr>
        <w:pStyle w:val="Author"/>
      </w:pPr>
      <w:r>
        <w:t xml:space="preserve">Arnie</w:t>
      </w:r>
      <w:r>
        <w:t xml:space="preserve"> </w:t>
      </w:r>
      <w:r>
        <w:t xml:space="preserve">Waddel</w:t>
      </w:r>
    </w:p>
    <w:p>
      <w:pPr>
        <w:pStyle w:val="Author"/>
      </w:pPr>
      <w:r>
        <w:t xml:space="preserve">Alan</w:t>
      </w:r>
      <w:r>
        <w:t xml:space="preserve"> </w:t>
      </w:r>
      <w:r>
        <w:t xml:space="preserve">Moulin</w:t>
      </w:r>
    </w:p>
    <w:p>
      <w:pPr>
        <w:pStyle w:val="AbstractTitle"/>
      </w:pPr>
      <w:r>
        <w:t xml:space="preserve">Abstract</w:t>
      </w:r>
    </w:p>
    <w:p>
      <w:pPr>
        <w:pStyle w:val="Abstract"/>
      </w:pPr>
      <w:r>
        <w:t xml:space="preserve">Quantification</w:t>
      </w:r>
      <w:r>
        <w:t xml:space="preserve"> </w:t>
      </w:r>
      <w:r>
        <w:t xml:space="preserve">and</w:t>
      </w:r>
      <w:r>
        <w:t xml:space="preserve"> </w:t>
      </w:r>
      <w:r>
        <w:t xml:space="preserve">accurate</w:t>
      </w:r>
      <w:r>
        <w:t xml:space="preserve"> </w:t>
      </w:r>
      <w:r>
        <w:t xml:space="preserve">assessment</w:t>
      </w:r>
      <w:r>
        <w:t xml:space="preserve"> </w:t>
      </w:r>
      <w:r>
        <w:t xml:space="preserve">of</w:t>
      </w:r>
      <w:r>
        <w:t xml:space="preserve"> </w:t>
      </w:r>
      <w:r>
        <w:t xml:space="preserve">the</w:t>
      </w:r>
      <w:r>
        <w:t xml:space="preserve"> </w:t>
      </w:r>
      <w:r>
        <w:t xml:space="preserve">spatial</w:t>
      </w:r>
      <w:r>
        <w:t xml:space="preserve"> </w:t>
      </w:r>
      <w:r>
        <w:t xml:space="preserve">variability</w:t>
      </w:r>
      <w:r>
        <w:t xml:space="preserve"> </w:t>
      </w:r>
      <w:r>
        <w:t xml:space="preserve">and</w:t>
      </w:r>
      <w:r>
        <w:t xml:space="preserve"> </w:t>
      </w:r>
      <w:r>
        <w:t xml:space="preserve">distribution</w:t>
      </w:r>
      <w:r>
        <w:t xml:space="preserve"> </w:t>
      </w:r>
      <w:r>
        <w:t xml:space="preserve">of</w:t>
      </w:r>
      <w:r>
        <w:t xml:space="preserve"> </w:t>
      </w:r>
      <w:r>
        <w:t xml:space="preserve">soil</w:t>
      </w:r>
      <w:r>
        <w:t xml:space="preserve"> </w:t>
      </w:r>
      <w:r>
        <w:t xml:space="preserve">physical</w:t>
      </w:r>
      <w:r>
        <w:t xml:space="preserve"> </w:t>
      </w:r>
      <w:r>
        <w:t xml:space="preserve">and</w:t>
      </w:r>
      <w:r>
        <w:t xml:space="preserve"> </w:t>
      </w:r>
      <w:r>
        <w:t xml:space="preserve">biogeochemical</w:t>
      </w:r>
      <w:r>
        <w:t xml:space="preserve"> </w:t>
      </w:r>
      <w:r>
        <w:t xml:space="preserve">properties</w:t>
      </w:r>
      <w:r>
        <w:t xml:space="preserve"> </w:t>
      </w:r>
      <w:r>
        <w:t xml:space="preserve">(fingerprints)</w:t>
      </w:r>
      <w:r>
        <w:t xml:space="preserve"> </w:t>
      </w:r>
      <w:r>
        <w:t xml:space="preserve">are</w:t>
      </w:r>
      <w:r>
        <w:t xml:space="preserve"> </w:t>
      </w:r>
      <w:r>
        <w:t xml:space="preserve">vital</w:t>
      </w:r>
      <w:r>
        <w:t xml:space="preserve"> </w:t>
      </w:r>
      <w:r>
        <w:t xml:space="preserve">components</w:t>
      </w:r>
      <w:r>
        <w:t xml:space="preserve"> </w:t>
      </w:r>
      <w:r>
        <w:t xml:space="preserve">of</w:t>
      </w:r>
      <w:r>
        <w:t xml:space="preserve"> </w:t>
      </w:r>
      <w:r>
        <w:t xml:space="preserve">agri-environmental</w:t>
      </w:r>
      <w:r>
        <w:t xml:space="preserve"> </w:t>
      </w:r>
      <w:r>
        <w:t xml:space="preserve">research</w:t>
      </w:r>
      <w:r>
        <w:t xml:space="preserve"> </w:t>
      </w:r>
      <w:r>
        <w:t xml:space="preserve">and</w:t>
      </w:r>
      <w:r>
        <w:t xml:space="preserve"> </w:t>
      </w:r>
      <w:r>
        <w:t xml:space="preserve">modeling,</w:t>
      </w:r>
      <w:r>
        <w:t xml:space="preserve"> </w:t>
      </w:r>
      <w:r>
        <w:t xml:space="preserve">including</w:t>
      </w:r>
      <w:r>
        <w:t xml:space="preserve"> </w:t>
      </w:r>
      <w:r>
        <w:t xml:space="preserve">sediment</w:t>
      </w:r>
      <w:r>
        <w:t xml:space="preserve"> </w:t>
      </w:r>
      <w:r>
        <w:t xml:space="preserve">source</w:t>
      </w:r>
      <w:r>
        <w:t xml:space="preserve"> </w:t>
      </w:r>
      <w:r>
        <w:t xml:space="preserve">fingerprinting.</w:t>
      </w:r>
      <w:r>
        <w:t xml:space="preserve"> </w:t>
      </w:r>
      <w:r>
        <w:t xml:space="preserve">Understanding</w:t>
      </w:r>
      <w:r>
        <w:t xml:space="preserve"> </w:t>
      </w:r>
      <w:r>
        <w:t xml:space="preserve">the</w:t>
      </w:r>
      <w:r>
        <w:t xml:space="preserve"> </w:t>
      </w:r>
      <w:r>
        <w:t xml:space="preserve">distribution</w:t>
      </w:r>
      <w:r>
        <w:t xml:space="preserve"> </w:t>
      </w:r>
      <w:r>
        <w:t xml:space="preserve">of</w:t>
      </w:r>
      <w:r>
        <w:t xml:space="preserve"> </w:t>
      </w:r>
      <w:r>
        <w:t xml:space="preserve">soil</w:t>
      </w:r>
      <w:r>
        <w:t xml:space="preserve"> </w:t>
      </w:r>
      <w:r>
        <w:t xml:space="preserve">properties</w:t>
      </w:r>
      <w:r>
        <w:t xml:space="preserve"> </w:t>
      </w:r>
      <w:r>
        <w:t xml:space="preserve">at</w:t>
      </w:r>
      <w:r>
        <w:t xml:space="preserve"> </w:t>
      </w:r>
      <w:r>
        <w:t xml:space="preserve">a</w:t>
      </w:r>
      <w:r>
        <w:t xml:space="preserve"> </w:t>
      </w:r>
      <w:r>
        <w:t xml:space="preserve">range</w:t>
      </w:r>
      <w:r>
        <w:t xml:space="preserve"> </w:t>
      </w:r>
      <w:r>
        <w:t xml:space="preserve">of</w:t>
      </w:r>
      <w:r>
        <w:t xml:space="preserve"> </w:t>
      </w:r>
      <w:r>
        <w:t xml:space="preserve">spatial</w:t>
      </w:r>
      <w:r>
        <w:t xml:space="preserve"> </w:t>
      </w:r>
      <w:r>
        <w:t xml:space="preserve">scales</w:t>
      </w:r>
      <w:r>
        <w:t xml:space="preserve"> </w:t>
      </w:r>
      <w:r>
        <w:t xml:space="preserve">is</w:t>
      </w:r>
      <w:r>
        <w:t xml:space="preserve"> </w:t>
      </w:r>
      <w:r>
        <w:t xml:space="preserve">crucial</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appropriate,</w:t>
      </w:r>
      <w:r>
        <w:t xml:space="preserve"> </w:t>
      </w:r>
      <w:r>
        <w:t xml:space="preserve">reliable,</w:t>
      </w:r>
      <w:r>
        <w:t xml:space="preserve"> </w:t>
      </w:r>
      <w:r>
        <w:t xml:space="preserve">and</w:t>
      </w:r>
      <w:r>
        <w:t xml:space="preserve"> </w:t>
      </w:r>
      <w:r>
        <w:t xml:space="preserve">efficient</w:t>
      </w:r>
      <w:r>
        <w:t xml:space="preserve"> </w:t>
      </w:r>
      <w:r>
        <w:t xml:space="preserve">sampling</w:t>
      </w:r>
      <w:r>
        <w:t xml:space="preserve"> </w:t>
      </w:r>
      <w:r>
        <w:t xml:space="preserve">campaigns.</w:t>
      </w:r>
      <w:r>
        <w:t xml:space="preserve"> </w:t>
      </w:r>
      <w:r>
        <w:t xml:space="preserve">This</w:t>
      </w:r>
      <w:r>
        <w:t xml:space="preserve"> </w:t>
      </w:r>
      <w:r>
        <w:t xml:space="preserve">study</w:t>
      </w:r>
      <w:r>
        <w:t xml:space="preserve"> </w:t>
      </w:r>
      <w:r>
        <w:t xml:space="preserve">was</w:t>
      </w:r>
      <w:r>
        <w:t xml:space="preserve"> </w:t>
      </w:r>
      <w:r>
        <w:t xml:space="preserve">aimed</w:t>
      </w:r>
      <w:r>
        <w:t xml:space="preserve"> </w:t>
      </w:r>
      <w:r>
        <w:t xml:space="preserve">to</w:t>
      </w:r>
      <w:r>
        <w:t xml:space="preserve"> </w:t>
      </w:r>
      <w:r>
        <w:t xml:space="preserve">investigate</w:t>
      </w:r>
      <w:r>
        <w:t xml:space="preserve"> </w:t>
      </w:r>
      <w:r>
        <w:t xml:space="preserve">the</w:t>
      </w:r>
      <w:r>
        <w:t xml:space="preserve"> </w:t>
      </w:r>
      <w:r>
        <w:t xml:space="preserve">spatial</w:t>
      </w:r>
      <w:r>
        <w:t xml:space="preserve"> </w:t>
      </w:r>
      <w:r>
        <w:t xml:space="preserve">variability</w:t>
      </w:r>
      <w:r>
        <w:t xml:space="preserve"> </w:t>
      </w:r>
      <w:r>
        <w:t xml:space="preserve">in</w:t>
      </w:r>
      <w:r>
        <w:t xml:space="preserve"> </w:t>
      </w:r>
      <w:r>
        <w:t xml:space="preserve">soil</w:t>
      </w:r>
      <w:r>
        <w:t xml:space="preserve"> </w:t>
      </w:r>
      <w:r>
        <w:t xml:space="preserve">geochemical</w:t>
      </w:r>
      <w:r>
        <w:t xml:space="preserve"> </w:t>
      </w:r>
      <w:r>
        <w:t xml:space="preserve">and</w:t>
      </w:r>
      <w:r>
        <w:t xml:space="preserve"> </w:t>
      </w:r>
      <w:r>
        <w:t xml:space="preserve">colour</w:t>
      </w:r>
      <w:r>
        <w:t xml:space="preserve"> </w:t>
      </w:r>
      <w:r>
        <w:t xml:space="preserve">(i.e.,</w:t>
      </w:r>
      <w:r>
        <w:t xml:space="preserve"> </w:t>
      </w:r>
      <w:r>
        <w:t xml:space="preserve">spectral</w:t>
      </w:r>
      <w:r>
        <w:t xml:space="preserve"> </w:t>
      </w:r>
      <w:r>
        <w:t xml:space="preserve">reflectance)</w:t>
      </w:r>
      <w:r>
        <w:t xml:space="preserve"> </w:t>
      </w:r>
      <w:r>
        <w:t xml:space="preserve">fingerprints</w:t>
      </w:r>
      <w:r>
        <w:t xml:space="preserve"> </w:t>
      </w:r>
      <w:r>
        <w:t xml:space="preserve">across</w:t>
      </w:r>
      <w:r>
        <w:t xml:space="preserve"> </w:t>
      </w:r>
      <w:r>
        <w:t xml:space="preserve">two</w:t>
      </w:r>
      <w:r>
        <w:t xml:space="preserve"> </w:t>
      </w:r>
      <w:r>
        <w:t xml:space="preserve">contrasting</w:t>
      </w:r>
      <w:r>
        <w:t xml:space="preserve"> </w:t>
      </w:r>
      <w:r>
        <w:t xml:space="preserve">land</w:t>
      </w:r>
      <w:r>
        <w:t xml:space="preserve"> </w:t>
      </w:r>
      <w:r>
        <w:t xml:space="preserve">uses.</w:t>
      </w:r>
      <w:r>
        <w:t xml:space="preserve"> </w:t>
      </w:r>
      <w:r>
        <w:t xml:space="preserve">The</w:t>
      </w:r>
      <w:r>
        <w:t xml:space="preserve"> </w:t>
      </w:r>
      <w:r>
        <w:t xml:space="preserve">main</w:t>
      </w:r>
      <w:r>
        <w:t xml:space="preserve"> </w:t>
      </w:r>
      <w:r>
        <w:t xml:space="preserve">objectives</w:t>
      </w:r>
      <w:r>
        <w:t xml:space="preserve"> </w:t>
      </w:r>
      <w:r>
        <w:t xml:space="preserve">of</w:t>
      </w:r>
      <w:r>
        <w:t xml:space="preserve"> </w:t>
      </w:r>
      <w:r>
        <w:t xml:space="preserve">this</w:t>
      </w:r>
      <w:r>
        <w:t xml:space="preserve"> </w:t>
      </w:r>
      <w:r>
        <w:t xml:space="preserve">study</w:t>
      </w:r>
      <w:r>
        <w:t xml:space="preserve"> </w:t>
      </w:r>
      <w:r>
        <w:t xml:space="preserve">are</w:t>
      </w:r>
      <w:r>
        <w:t xml:space="preserve"> </w:t>
      </w:r>
      <w:r>
        <w:t xml:space="preserve">to:</w:t>
      </w:r>
      <w:r>
        <w:t xml:space="preserve"> </w:t>
      </w:r>
      <w:r>
        <w:t xml:space="preserve">1)</w:t>
      </w:r>
      <w:r>
        <w:t xml:space="preserve"> </w:t>
      </w:r>
      <w:r>
        <w:t xml:space="preserve">quantify</w:t>
      </w:r>
      <w:r>
        <w:t xml:space="preserve"> </w:t>
      </w:r>
      <w:r>
        <w:t xml:space="preserve">the</w:t>
      </w:r>
      <w:r>
        <w:t xml:space="preserve"> </w:t>
      </w:r>
      <w:r>
        <w:t xml:space="preserve">spatial</w:t>
      </w:r>
      <w:r>
        <w:t xml:space="preserve"> </w:t>
      </w:r>
      <w:r>
        <w:t xml:space="preserve">variability</w:t>
      </w:r>
      <w:r>
        <w:t xml:space="preserve"> </w:t>
      </w:r>
      <w:r>
        <w:t xml:space="preserve">of</w:t>
      </w:r>
      <w:r>
        <w:t xml:space="preserve"> </w:t>
      </w:r>
      <w:r>
        <w:t xml:space="preserve">geochemical</w:t>
      </w:r>
      <w:r>
        <w:t xml:space="preserve"> </w:t>
      </w:r>
      <w:r>
        <w:t xml:space="preserve">and</w:t>
      </w:r>
      <w:r>
        <w:t xml:space="preserve"> </w:t>
      </w:r>
      <w:r>
        <w:t xml:space="preserve">colour</w:t>
      </w:r>
      <w:r>
        <w:t xml:space="preserve"> </w:t>
      </w:r>
      <w:r>
        <w:t xml:space="preserve">fingerprint</w:t>
      </w:r>
      <w:r>
        <w:t xml:space="preserve"> </w:t>
      </w:r>
      <w:r>
        <w:t xml:space="preserve">properties</w:t>
      </w:r>
      <w:r>
        <w:t xml:space="preserve"> </w:t>
      </w:r>
      <w:r>
        <w:t xml:space="preserve">at</w:t>
      </w:r>
      <w:r>
        <w:t xml:space="preserve"> </w:t>
      </w:r>
      <w:r>
        <w:t xml:space="preserve">a</w:t>
      </w:r>
      <w:r>
        <w:t xml:space="preserve"> </w:t>
      </w:r>
      <w:r>
        <w:t xml:space="preserve">field-scale</w:t>
      </w:r>
      <w:r>
        <w:t xml:space="preserve"> </w:t>
      </w:r>
      <w:r>
        <w:t xml:space="preserve">(~</w:t>
      </w:r>
      <w:r>
        <w:t xml:space="preserve"> </w:t>
      </w:r>
      <w:r>
        <w:t xml:space="preserve">40</w:t>
      </w:r>
      <w:r>
        <w:t xml:space="preserve"> </w:t>
      </w:r>
      <w:r>
        <w:t xml:space="preserve">ha)</w:t>
      </w:r>
      <w:r>
        <w:t xml:space="preserve"> </w:t>
      </w:r>
      <w:r>
        <w:t xml:space="preserve">across</w:t>
      </w:r>
      <w:r>
        <w:t xml:space="preserve"> </w:t>
      </w:r>
      <w:r>
        <w:t xml:space="preserve">agricultural</w:t>
      </w:r>
      <w:r>
        <w:t xml:space="preserve"> </w:t>
      </w:r>
      <w:r>
        <w:t xml:space="preserve">and</w:t>
      </w:r>
      <w:r>
        <w:t xml:space="preserve"> </w:t>
      </w:r>
      <w:r>
        <w:t xml:space="preserve">forested</w:t>
      </w:r>
      <w:r>
        <w:t xml:space="preserve"> </w:t>
      </w:r>
      <w:r>
        <w:t xml:space="preserve">sites;</w:t>
      </w:r>
      <w:r>
        <w:t xml:space="preserve"> </w:t>
      </w:r>
      <w:r>
        <w:t xml:space="preserve">2)</w:t>
      </w:r>
      <w:r>
        <w:t xml:space="preserve"> </w:t>
      </w:r>
      <w:r>
        <w:t xml:space="preserve">evaluate</w:t>
      </w:r>
      <w:r>
        <w:t xml:space="preserve"> </w:t>
      </w:r>
      <w:r>
        <w:t xml:space="preserve">the</w:t>
      </w:r>
      <w:r>
        <w:t xml:space="preserve"> </w:t>
      </w:r>
      <w:r>
        <w:t xml:space="preserve">spatial</w:t>
      </w:r>
      <w:r>
        <w:t xml:space="preserve"> </w:t>
      </w:r>
      <w:r>
        <w:t xml:space="preserve">variability</w:t>
      </w:r>
      <w:r>
        <w:t xml:space="preserve"> </w:t>
      </w:r>
      <w:r>
        <w:t xml:space="preserve">and</w:t>
      </w:r>
      <w:r>
        <w:t xml:space="preserve"> </w:t>
      </w:r>
      <w:r>
        <w:t xml:space="preserve">distribution</w:t>
      </w:r>
      <w:r>
        <w:t xml:space="preserve"> </w:t>
      </w:r>
      <w:r>
        <w:t xml:space="preserve">of</w:t>
      </w:r>
      <w:r>
        <w:t xml:space="preserve"> </w:t>
      </w:r>
      <w:r>
        <w:t xml:space="preserve">soil</w:t>
      </w:r>
      <w:r>
        <w:t xml:space="preserve"> </w:t>
      </w:r>
      <w:r>
        <w:t xml:space="preserve">fingerprint</w:t>
      </w:r>
      <w:r>
        <w:t xml:space="preserve"> </w:t>
      </w:r>
      <w:r>
        <w:t xml:space="preserve">properties</w:t>
      </w:r>
      <w:r>
        <w:t xml:space="preserve"> </w:t>
      </w:r>
      <w:r>
        <w:t xml:space="preserve">and</w:t>
      </w:r>
      <w:r>
        <w:t xml:space="preserve"> </w:t>
      </w:r>
      <w:r>
        <w:t xml:space="preserve">its</w:t>
      </w:r>
      <w:r>
        <w:t xml:space="preserve"> </w:t>
      </w:r>
      <w:r>
        <w:t xml:space="preserve">relation</w:t>
      </w:r>
      <w:r>
        <w:t xml:space="preserve"> </w:t>
      </w:r>
      <w:r>
        <w:t xml:space="preserve">to</w:t>
      </w:r>
      <w:r>
        <w:t xml:space="preserve"> </w:t>
      </w:r>
      <w:r>
        <w:t xml:space="preserve">a</w:t>
      </w:r>
      <w:r>
        <w:t xml:space="preserve"> </w:t>
      </w:r>
      <w:r>
        <w:t xml:space="preserve">range</w:t>
      </w:r>
      <w:r>
        <w:t xml:space="preserve"> </w:t>
      </w:r>
      <w:r>
        <w:t xml:space="preserve">of</w:t>
      </w:r>
      <w:r>
        <w:t xml:space="preserve"> </w:t>
      </w:r>
      <w:r>
        <w:t xml:space="preserve">terrain</w:t>
      </w:r>
      <w:r>
        <w:t xml:space="preserve"> </w:t>
      </w:r>
      <w:r>
        <w:t xml:space="preserve">attributes</w:t>
      </w:r>
      <w:r>
        <w:t xml:space="preserve"> </w:t>
      </w:r>
      <w:r>
        <w:t xml:space="preserve">(e.g.,</w:t>
      </w:r>
      <w:r>
        <w:t xml:space="preserve"> </w:t>
      </w:r>
      <w:r>
        <w:t xml:space="preserve">slope);</w:t>
      </w:r>
      <w:r>
        <w:t xml:space="preserve"> </w:t>
      </w:r>
      <w:r>
        <w:t xml:space="preserve">and</w:t>
      </w:r>
      <w:r>
        <w:t xml:space="preserve"> </w:t>
      </w:r>
      <w:r>
        <w:t xml:space="preserve">3)</w:t>
      </w:r>
      <w:r>
        <w:t xml:space="preserve"> </w:t>
      </w:r>
      <w:r>
        <w:t xml:space="preserve">identify</w:t>
      </w:r>
      <w:r>
        <w:t xml:space="preserve"> </w:t>
      </w:r>
      <w:r>
        <w:t xml:space="preserve">the</w:t>
      </w:r>
      <w:r>
        <w:t xml:space="preserve"> </w:t>
      </w:r>
      <w:r>
        <w:t xml:space="preserve">possible</w:t>
      </w:r>
      <w:r>
        <w:t xml:space="preserve"> </w:t>
      </w:r>
      <w:r>
        <w:t xml:space="preserve">sources</w:t>
      </w:r>
      <w:r>
        <w:t xml:space="preserve"> </w:t>
      </w:r>
      <w:r>
        <w:t xml:space="preserve">of</w:t>
      </w:r>
      <w:r>
        <w:t xml:space="preserve"> </w:t>
      </w:r>
      <w:r>
        <w:t xml:space="preserve">variation</w:t>
      </w:r>
      <w:r>
        <w:t xml:space="preserve"> </w:t>
      </w:r>
      <w:r>
        <w:t xml:space="preserve">in</w:t>
      </w:r>
      <w:r>
        <w:t xml:space="preserve"> </w:t>
      </w:r>
      <w:r>
        <w:t xml:space="preserve">each</w:t>
      </w:r>
      <w:r>
        <w:t xml:space="preserve"> </w:t>
      </w:r>
      <w:r>
        <w:t xml:space="preserve">land</w:t>
      </w:r>
      <w:r>
        <w:t xml:space="preserve"> </w:t>
      </w:r>
      <w:r>
        <w:t xml:space="preserve">use,</w:t>
      </w:r>
      <w:r>
        <w:t xml:space="preserve"> </w:t>
      </w:r>
      <w:r>
        <w:t xml:space="preserve">primarily</w:t>
      </w:r>
      <w:r>
        <w:t xml:space="preserve"> </w:t>
      </w:r>
      <w:r>
        <w:t xml:space="preserve">environmental</w:t>
      </w:r>
      <w:r>
        <w:t xml:space="preserve"> </w:t>
      </w:r>
      <w:r>
        <w:t xml:space="preserve">factors.</w:t>
      </w:r>
      <w:r>
        <w:t xml:space="preserve"> </w:t>
      </w:r>
      <w:r>
        <w:t xml:space="preserve">A</w:t>
      </w:r>
      <w:r>
        <w:t xml:space="preserve"> </w:t>
      </w:r>
      <w:r>
        <w:t xml:space="preserve">combination</w:t>
      </w:r>
      <w:r>
        <w:t xml:space="preserve"> </w:t>
      </w:r>
      <w:r>
        <w:t xml:space="preserve">of</w:t>
      </w:r>
      <w:r>
        <w:t xml:space="preserve"> </w:t>
      </w:r>
      <w:r>
        <w:t xml:space="preserve">univariate</w:t>
      </w:r>
      <w:r>
        <w:t xml:space="preserve"> </w:t>
      </w:r>
      <w:r>
        <w:t xml:space="preserve">analysis</w:t>
      </w:r>
      <w:r>
        <w:t xml:space="preserve"> </w:t>
      </w:r>
      <w:r>
        <w:t xml:space="preserve">and</w:t>
      </w:r>
      <w:r>
        <w:t xml:space="preserve"> </w:t>
      </w:r>
      <w:r>
        <w:t xml:space="preserve">geostatistical</w:t>
      </w:r>
      <w:r>
        <w:t xml:space="preserve"> </w:t>
      </w:r>
      <w:r>
        <w:t xml:space="preserve">methods</w:t>
      </w:r>
      <w:r>
        <w:t xml:space="preserve"> </w:t>
      </w:r>
      <w:r>
        <w:t xml:space="preserve">were</w:t>
      </w:r>
      <w:r>
        <w:t xml:space="preserve"> </w:t>
      </w:r>
      <w:r>
        <w:t xml:space="preserve">applied</w:t>
      </w:r>
      <w:r>
        <w:t xml:space="preserve"> </w:t>
      </w:r>
      <w:r>
        <w:t xml:space="preserve">to</w:t>
      </w:r>
      <w:r>
        <w:t xml:space="preserve"> </w:t>
      </w:r>
      <w:r>
        <w:t xml:space="preserve">analyze</w:t>
      </w:r>
      <w:r>
        <w:t xml:space="preserve"> </w:t>
      </w:r>
      <w:r>
        <w:t xml:space="preserve">the</w:t>
      </w:r>
      <w:r>
        <w:t xml:space="preserve"> </w:t>
      </w:r>
      <w:r>
        <w:t xml:space="preserve">soil</w:t>
      </w:r>
      <w:r>
        <w:t xml:space="preserve"> </w:t>
      </w:r>
      <w:r>
        <w:t xml:space="preserve">geochemistry</w:t>
      </w:r>
      <w:r>
        <w:t xml:space="preserve"> </w:t>
      </w:r>
      <w:r>
        <w:t xml:space="preserve">and</w:t>
      </w:r>
      <w:r>
        <w:t xml:space="preserve"> </w:t>
      </w:r>
      <w:r>
        <w:t xml:space="preserve">colour</w:t>
      </w:r>
      <w:r>
        <w:t xml:space="preserve"> </w:t>
      </w:r>
      <w:r>
        <w:t xml:space="preserve">properties.</w:t>
      </w:r>
      <w:r>
        <w:t xml:space="preserve"> </w:t>
      </w:r>
      <w:r>
        <w:t xml:space="preserve">This</w:t>
      </w:r>
      <w:r>
        <w:t xml:space="preserve"> </w:t>
      </w:r>
      <w:r>
        <w:t xml:space="preserve">information</w:t>
      </w:r>
      <w:r>
        <w:t xml:space="preserve"> </w:t>
      </w:r>
      <w:r>
        <w:t xml:space="preserve">was</w:t>
      </w:r>
      <w:r>
        <w:t xml:space="preserve"> </w:t>
      </w:r>
      <w:r>
        <w:t xml:space="preserve">used</w:t>
      </w:r>
      <w:r>
        <w:t xml:space="preserve"> </w:t>
      </w:r>
      <w:r>
        <w:t xml:space="preserve">to</w:t>
      </w:r>
      <w:r>
        <w:t xml:space="preserve"> </w:t>
      </w:r>
      <w:r>
        <w:t xml:space="preserve">both</w:t>
      </w:r>
      <w:r>
        <w:t xml:space="preserve"> </w:t>
      </w:r>
      <w:r>
        <w:t xml:space="preserve">quantify</w:t>
      </w:r>
      <w:r>
        <w:t xml:space="preserve"> </w:t>
      </w:r>
      <w:r>
        <w:t xml:space="preserve">and</w:t>
      </w:r>
      <w:r>
        <w:t xml:space="preserve"> </w:t>
      </w:r>
      <w:r>
        <w:t xml:space="preserve">assess</w:t>
      </w:r>
      <w:r>
        <w:t xml:space="preserve"> </w:t>
      </w:r>
      <w:r>
        <w:t xml:space="preserve">the</w:t>
      </w:r>
      <w:r>
        <w:t xml:space="preserve"> </w:t>
      </w:r>
      <w:r>
        <w:t xml:space="preserve">variability</w:t>
      </w:r>
      <w:r>
        <w:t xml:space="preserve"> </w:t>
      </w:r>
      <w:r>
        <w:t xml:space="preserve">in</w:t>
      </w:r>
      <w:r>
        <w:t xml:space="preserve"> </w:t>
      </w:r>
      <w:r>
        <w:t xml:space="preserve">commonly</w:t>
      </w:r>
      <w:r>
        <w:t xml:space="preserve"> </w:t>
      </w:r>
      <w:r>
        <w:t xml:space="preserve">used</w:t>
      </w:r>
      <w:r>
        <w:t xml:space="preserve"> </w:t>
      </w:r>
      <w:r>
        <w:t xml:space="preserve">fingerprints.</w:t>
      </w:r>
      <w:r>
        <w:t xml:space="preserve"> </w:t>
      </w:r>
      <w:r>
        <w:t xml:space="preserve">Terrain</w:t>
      </w:r>
      <w:r>
        <w:t xml:space="preserve"> </w:t>
      </w:r>
      <w:r>
        <w:t xml:space="preserve">attributes</w:t>
      </w:r>
      <w:r>
        <w:t xml:space="preserve"> </w:t>
      </w:r>
      <w:r>
        <w:t xml:space="preserve">derived</w:t>
      </w:r>
      <w:r>
        <w:t xml:space="preserve"> </w:t>
      </w:r>
      <w:r>
        <w:t xml:space="preserve">from</w:t>
      </w:r>
      <w:r>
        <w:t xml:space="preserve"> </w:t>
      </w:r>
      <w:r>
        <w:t xml:space="preserve">digital</w:t>
      </w:r>
      <w:r>
        <w:t xml:space="preserve"> </w:t>
      </w:r>
      <w:r>
        <w:t xml:space="preserve">elevation</w:t>
      </w:r>
      <w:r>
        <w:t xml:space="preserve"> </w:t>
      </w:r>
      <w:r>
        <w:t xml:space="preserve">model</w:t>
      </w:r>
      <w:r>
        <w:t xml:space="preserve"> </w:t>
      </w:r>
      <w:r>
        <w:t xml:space="preserve">(DEM)</w:t>
      </w:r>
      <w:r>
        <w:t xml:space="preserve"> </w:t>
      </w:r>
      <w:r>
        <w:t xml:space="preserve">were</w:t>
      </w:r>
      <w:r>
        <w:t xml:space="preserve"> </w:t>
      </w:r>
      <w:r>
        <w:t xml:space="preserve">used</w:t>
      </w:r>
      <w:r>
        <w:t xml:space="preserve"> </w:t>
      </w:r>
      <w:r>
        <w:t xml:space="preserve">to</w:t>
      </w:r>
      <w:r>
        <w:t xml:space="preserve"> </w:t>
      </w:r>
      <w:r>
        <w:t xml:space="preserve">investigate</w:t>
      </w:r>
      <w:r>
        <w:t xml:space="preserve"> </w:t>
      </w:r>
      <w:r>
        <w:t xml:space="preserve">spatial</w:t>
      </w:r>
      <w:r>
        <w:t xml:space="preserve"> </w:t>
      </w:r>
      <w:r>
        <w:t xml:space="preserve">variation</w:t>
      </w:r>
      <w:r>
        <w:t xml:space="preserve"> </w:t>
      </w:r>
      <w:r>
        <w:t xml:space="preserve">of</w:t>
      </w:r>
      <w:r>
        <w:t xml:space="preserve"> </w:t>
      </w:r>
      <w:r>
        <w:t xml:space="preserve">soil</w:t>
      </w:r>
      <w:r>
        <w:t xml:space="preserve"> </w:t>
      </w:r>
      <w:r>
        <w:t xml:space="preserve">geochemical</w:t>
      </w:r>
      <w:r>
        <w:t xml:space="preserve"> </w:t>
      </w:r>
      <w:r>
        <w:t xml:space="preserve">and</w:t>
      </w:r>
      <w:r>
        <w:t xml:space="preserve"> </w:t>
      </w:r>
      <w:r>
        <w:t xml:space="preserve">colour</w:t>
      </w:r>
      <w:r>
        <w:t xml:space="preserve"> </w:t>
      </w:r>
      <w:r>
        <w:t xml:space="preserve">fingerprint</w:t>
      </w:r>
      <w:r>
        <w:t xml:space="preserve"> </w:t>
      </w:r>
      <w:r>
        <w:t xml:space="preserve">properties.</w:t>
      </w:r>
      <w:r>
        <w:t xml:space="preserve"> </w:t>
      </w:r>
      <w:r>
        <w:t xml:space="preserve">The</w:t>
      </w:r>
      <w:r>
        <w:t xml:space="preserve"> </w:t>
      </w:r>
      <w:r>
        <w:t xml:space="preserve">ability</w:t>
      </w:r>
      <w:r>
        <w:t xml:space="preserve"> </w:t>
      </w:r>
      <w:r>
        <w:t xml:space="preserve">of</w:t>
      </w:r>
      <w:r>
        <w:t xml:space="preserve"> </w:t>
      </w:r>
      <w:r>
        <w:t xml:space="preserve">terrain</w:t>
      </w:r>
      <w:r>
        <w:t xml:space="preserve"> </w:t>
      </w:r>
      <w:r>
        <w:t xml:space="preserve">attributes</w:t>
      </w:r>
      <w:r>
        <w:t xml:space="preserve"> </w:t>
      </w:r>
      <w:r>
        <w:t xml:space="preserve">to</w:t>
      </w:r>
      <w:r>
        <w:t xml:space="preserve"> </w:t>
      </w:r>
      <w:r>
        <w:t xml:space="preserve">explain</w:t>
      </w:r>
      <w:r>
        <w:t xml:space="preserve"> </w:t>
      </w:r>
      <w:r>
        <w:t xml:space="preserve">the</w:t>
      </w:r>
      <w:r>
        <w:t xml:space="preserve"> </w:t>
      </w:r>
      <w:r>
        <w:t xml:space="preserve">observed</w:t>
      </w:r>
      <w:r>
        <w:t xml:space="preserve"> </w:t>
      </w:r>
      <w:r>
        <w:t xml:space="preserve">variability</w:t>
      </w:r>
      <w:r>
        <w:t xml:space="preserve"> </w:t>
      </w:r>
      <w:r>
        <w:t xml:space="preserve">in</w:t>
      </w:r>
      <w:r>
        <w:t xml:space="preserve"> </w:t>
      </w:r>
      <w:r>
        <w:t xml:space="preserve">soil</w:t>
      </w:r>
      <w:r>
        <w:t xml:space="preserve"> </w:t>
      </w:r>
      <w:r>
        <w:t xml:space="preserve">fingerprints</w:t>
      </w:r>
      <w:r>
        <w:t xml:space="preserve"> </w:t>
      </w:r>
      <w:r>
        <w:t xml:space="preserve">played</w:t>
      </w:r>
      <w:r>
        <w:t xml:space="preserve"> </w:t>
      </w:r>
      <w:r>
        <w:t xml:space="preserve">an</w:t>
      </w:r>
      <w:r>
        <w:t xml:space="preserve"> </w:t>
      </w:r>
      <w:r>
        <w:t xml:space="preserve">important</w:t>
      </w:r>
      <w:r>
        <w:t xml:space="preserve"> </w:t>
      </w:r>
      <w:r>
        <w:t xml:space="preserve">role</w:t>
      </w:r>
      <w:r>
        <w:t xml:space="preserve"> </w:t>
      </w:r>
      <w:r>
        <w:t xml:space="preserve">across</w:t>
      </w:r>
      <w:r>
        <w:t xml:space="preserve"> </w:t>
      </w:r>
      <w:r>
        <w:t xml:space="preserve">all</w:t>
      </w:r>
      <w:r>
        <w:t xml:space="preserve"> </w:t>
      </w:r>
      <w:r>
        <w:t xml:space="preserve">properties.</w:t>
      </w:r>
      <w:r>
        <w:t xml:space="preserve"> </w:t>
      </w:r>
      <w:r>
        <w:t xml:space="preserve">The</w:t>
      </w:r>
      <w:r>
        <w:t xml:space="preserve"> </w:t>
      </w:r>
      <w:r>
        <w:t xml:space="preserve">present</w:t>
      </w:r>
      <w:r>
        <w:t xml:space="preserve"> </w:t>
      </w:r>
      <w:r>
        <w:t xml:space="preserve">study</w:t>
      </w:r>
      <w:r>
        <w:t xml:space="preserve"> </w:t>
      </w:r>
      <w:r>
        <w:t xml:space="preserve">suggest</w:t>
      </w:r>
      <w:r>
        <w:t xml:space="preserve"> </w:t>
      </w:r>
      <w:r>
        <w:t xml:space="preserve">that</w:t>
      </w:r>
      <w:r>
        <w:t xml:space="preserve"> </w:t>
      </w:r>
      <w:r>
        <w:t xml:space="preserve">kriging</w:t>
      </w:r>
      <w:r>
        <w:t xml:space="preserve"> </w:t>
      </w:r>
      <w:r>
        <w:t xml:space="preserve">interpolation</w:t>
      </w:r>
      <w:r>
        <w:t xml:space="preserve"> </w:t>
      </w:r>
      <w:r>
        <w:t xml:space="preserve">can</w:t>
      </w:r>
      <w:r>
        <w:t xml:space="preserve"> </w:t>
      </w:r>
      <w:r>
        <w:t xml:space="preserve">directly</w:t>
      </w:r>
      <w:r>
        <w:t xml:space="preserve"> </w:t>
      </w:r>
      <w:r>
        <w:t xml:space="preserve">reveal</w:t>
      </w:r>
      <w:r>
        <w:t xml:space="preserve"> </w:t>
      </w:r>
      <w:r>
        <w:t xml:space="preserve">the</w:t>
      </w:r>
      <w:r>
        <w:t xml:space="preserve"> </w:t>
      </w:r>
      <w:r>
        <w:t xml:space="preserve">spatial</w:t>
      </w:r>
      <w:r>
        <w:t xml:space="preserve"> </w:t>
      </w:r>
      <w:r>
        <w:t xml:space="preserve">distribution</w:t>
      </w:r>
      <w:r>
        <w:t xml:space="preserve"> </w:t>
      </w:r>
      <w:r>
        <w:t xml:space="preserve">of</w:t>
      </w:r>
      <w:r>
        <w:t xml:space="preserve"> </w:t>
      </w:r>
      <w:r>
        <w:t xml:space="preserve">soil</w:t>
      </w:r>
      <w:r>
        <w:t xml:space="preserve"> </w:t>
      </w:r>
      <w:r>
        <w:t xml:space="preserve">fingerprint</w:t>
      </w:r>
      <w:r>
        <w:t xml:space="preserve"> </w:t>
      </w:r>
      <w:r>
        <w:t xml:space="preserve">properties</w:t>
      </w:r>
      <w:r>
        <w:t xml:space="preserve"> </w:t>
      </w:r>
      <w:r>
        <w:t xml:space="preserve">and</w:t>
      </w:r>
      <w:r>
        <w:t xml:space="preserve"> </w:t>
      </w:r>
      <w:r>
        <w:t xml:space="preserve">quantify</w:t>
      </w:r>
      <w:r>
        <w:t xml:space="preserve"> </w:t>
      </w:r>
      <w:r>
        <w:t xml:space="preserve">the</w:t>
      </w:r>
      <w:r>
        <w:t xml:space="preserve"> </w:t>
      </w:r>
      <w:r>
        <w:t xml:space="preserve">variability</w:t>
      </w:r>
      <w:r>
        <w:t xml:space="preserve"> </w:t>
      </w:r>
      <w:r>
        <w:t xml:space="preserve">at</w:t>
      </w:r>
      <w:r>
        <w:t xml:space="preserve"> </w:t>
      </w:r>
      <w:r>
        <w:t xml:space="preserve">a</w:t>
      </w:r>
      <w:r>
        <w:t xml:space="preserve"> </w:t>
      </w:r>
      <w:r>
        <w:t xml:space="preserve">field-scale.</w:t>
      </w:r>
    </w:p>
    <w:bookmarkStart w:id="20" w:name="introduction"/>
    <w:p>
      <w:pPr>
        <w:pStyle w:val="Heading2"/>
      </w:pPr>
      <w:r>
        <w:t xml:space="preserve">1 Introduction</w:t>
      </w:r>
    </w:p>
    <w:bookmarkEnd w:id="20"/>
    <w:bookmarkStart w:id="27" w:name="methods"/>
    <w:p>
      <w:pPr>
        <w:pStyle w:val="Heading2"/>
      </w:pPr>
      <w:r>
        <w:t xml:space="preserve">2 Methods</w:t>
      </w:r>
    </w:p>
    <w:bookmarkStart w:id="26" w:name="site-description"/>
    <w:p>
      <w:pPr>
        <w:pStyle w:val="Heading3"/>
      </w:pPr>
      <w:r>
        <w:t xml:space="preserve">2.1 Site description</w:t>
      </w:r>
    </w:p>
    <w:tbl>
      <w:tblPr>
        <w:tblStyle w:val="Table"/>
        <w:tblW w:type="pct" w:w="5000"/>
        <w:jc w:val="left"/>
        <w:tblLayout w:type="fixed"/>
        <w:tblLook w:firstRow="0" w:lastRow="0" w:firstColumn="0" w:lastColumn="0" w:noHBand="0" w:noVBand="0" w:val="0000"/>
      </w:tblPr>
      <w:tblGrid>
        <w:gridCol w:w="7920"/>
      </w:tblGrid>
      <w:tr>
        <w:tc>
          <w:tcPr/>
          <w:bookmarkStart w:id="24" w:name="fig-location_map"/>
          <w:p>
            <w:pPr>
              <w:pStyle w:val="Compact"/>
              <w:jc w:val="center"/>
            </w:pPr>
            <w:r>
              <w:drawing>
                <wp:inline>
                  <wp:extent cx="5943600" cy="4245428"/>
                  <wp:effectExtent b="0" l="0" r="0" t="0"/>
                  <wp:docPr descr="" title="" id="22" name="Picture"/>
                  <a:graphic>
                    <a:graphicData uri="http://schemas.openxmlformats.org/drawingml/2006/picture">
                      <pic:pic>
                        <pic:nvPicPr>
                          <pic:cNvPr descr="index_files/figure-docx/notebooks-location_map-fig-location_map-output-2.png" id="23" name="Picture"/>
                          <pic:cNvPicPr>
                            <a:picLocks noChangeArrowheads="1" noChangeAspect="1"/>
                          </pic:cNvPicPr>
                        </pic:nvPicPr>
                        <pic:blipFill>
                          <a:blip r:embed="rId21"/>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showing the location of the study sites within Canada, and the regional land use and topography.</w:t>
            </w:r>
          </w:p>
          <w:bookmarkEnd w:id="24"/>
        </w:tc>
      </w:tr>
    </w:tbl>
    <w:p>
      <w:pPr>
        <w:pStyle w:val="TextBody"/>
      </w:pPr>
      <w:r>
        <w:rPr>
          <w:vertAlign w:val="subscript"/>
        </w:rPr>
        <w:t xml:space="preserve">Source:</w:t>
      </w:r>
      <w:r>
        <w:rPr>
          <w:vertAlign w:val="subscript"/>
        </w:rPr>
        <w:t xml:space="preserve"> </w:t>
      </w:r>
      <w:hyperlink r:id="rId25">
        <w:r>
          <w:rPr>
            <w:rStyle w:val="InternetLink"/>
            <w:vertAlign w:val="subscript"/>
          </w:rPr>
          <w:t xml:space="preserve">Research Site Locations</w:t>
        </w:r>
      </w:hyperlink>
    </w:p>
    <w:bookmarkEnd w:id="26"/>
    <w:bookmarkEnd w:id="27"/>
    <w:bookmarkStart w:id="61" w:name="results"/>
    <w:p>
      <w:pPr>
        <w:pStyle w:val="Heading2"/>
      </w:pPr>
      <w:r>
        <w:t xml:space="preserve">3 Results</w:t>
      </w:r>
    </w:p>
    <w:bookmarkStart w:id="32" w:name="univariate-summary"/>
    <w:p>
      <w:pPr>
        <w:pStyle w:val="Heading3"/>
      </w:pPr>
      <w:r>
        <w:t xml:space="preserve">3.1 Univariate summary</w:t>
      </w:r>
    </w:p>
    <w:tbl>
      <w:tblPr>
        <w:tblStyle w:val="Table"/>
        <w:tblW w:type="pct" w:w="5000"/>
        <w:jc w:val="left"/>
        <w:tblLayout w:type="fixed"/>
        <w:tblLook w:firstRow="0" w:lastRow="0" w:firstColumn="0" w:lastColumn="0" w:noHBand="0" w:noVBand="0" w:val="0000"/>
      </w:tblPr>
      <w:tblGrid>
        <w:gridCol w:w="7920"/>
      </w:tblGrid>
      <w:tr>
        <w:tc>
          <w:tcPr/>
          <w:bookmarkStart w:id="28" w:name="tbl-univariate-summary"/>
          <w:p>
            <w:pPr>
              <w:jc w:val="center"/>
            </w:pPr>
            <w:pPr>
              <w:jc w:val="start"/>
              <w:spacing w:before="200"/>
              <w:pStyle w:val="ImageCaption"/>
            </w:pPr>
            <w:r>
              <w:t xml:space="preserve">Table 1: Summary statistics for for six examples of for six examples of geochemical and colour soil properties, specific surface area, and organic matter content for each site.</w:t>
            </w:r>
          </w:p>
          <w:tbl>
            <w:tblPr>
              <w:tblStyle w:val="Table"/>
              <w:tblW w:type="pct" w:w="5000"/>
              <w:jc w:val="left"/>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center"/>
                    <w:jc w:val="center"/>
                  </w:pPr>
                  <w:r>
                    <w:t xml:space="preserve">Element</w:t>
                  </w:r>
                </w:p>
              </w:tc>
              <w:tc>
                <w:tcPr/>
                <w:p>
                  <w:pPr>
                    <w:pStyle w:val="Compact"/>
                    <w:jc w:val="center"/>
                    <w:jc w:val="center"/>
                  </w:pPr>
                  <w:r>
                    <w:t xml:space="preserve">Mean</w:t>
                  </w:r>
                </w:p>
              </w:tc>
              <w:tc>
                <w:tcPr/>
                <w:p>
                  <w:pPr>
                    <w:pStyle w:val="Compact"/>
                    <w:jc w:val="center"/>
                    <w:jc w:val="center"/>
                  </w:pPr>
                  <w:r>
                    <w:t xml:space="preserve">SD</w:t>
                  </w:r>
                </w:p>
              </w:tc>
              <w:tc>
                <w:tcPr/>
                <w:p>
                  <w:pPr>
                    <w:pStyle w:val="Compact"/>
                    <w:jc w:val="center"/>
                    <w:jc w:val="center"/>
                  </w:pPr>
                  <w:r>
                    <w:t xml:space="preserve">Max</w:t>
                  </w:r>
                </w:p>
              </w:tc>
              <w:tc>
                <w:tcPr/>
                <w:p>
                  <w:pPr>
                    <w:pStyle w:val="Compact"/>
                    <w:jc w:val="center"/>
                    <w:jc w:val="center"/>
                  </w:pPr>
                  <w:r>
                    <w:t xml:space="preserve">Min</w:t>
                  </w:r>
                </w:p>
              </w:tc>
              <w:tc>
                <w:tcPr/>
                <w:p>
                  <w:pPr>
                    <w:pStyle w:val="Compact"/>
                    <w:jc w:val="center"/>
                    <w:jc w:val="center"/>
                  </w:pPr>
                  <w:r>
                    <w:t xml:space="preserve">Skewness</w:t>
                  </w:r>
                </w:p>
              </w:tc>
              <w:tc>
                <w:tcPr/>
                <w:p>
                  <w:pPr>
                    <w:pStyle w:val="Compact"/>
                    <w:jc w:val="center"/>
                    <w:jc w:val="center"/>
                  </w:pPr>
                  <w:r>
                    <w:t xml:space="preserve">CV</w:t>
                  </w:r>
                </w:p>
              </w:tc>
            </w:tr>
            <w:tr>
              <w:tc>
                <w:tcPr>
                  <w:gridSpan w:val="7"/>
                </w:tcPr>
                <w:p>
                  <w:pPr>
                    <w:pStyle w:val="Compact"/>
                    <w:jc w:val="center"/>
                    <w:jc w:val="center"/>
                  </w:pPr>
                  <w:r>
                    <w:t xml:space="preserve">Forest</w:t>
                  </w:r>
                </w:p>
              </w:tc>
            </w:tr>
            <w:tr>
              <w:tc>
                <w:tcPr/>
                <w:p>
                  <w:pPr>
                    <w:jc w:val="center"/>
                    <w:jc w:val="center"/>
                  </w:pPr>
                  <w:r>
                    <w:t xml:space="preserve">Li</w:t>
                  </w:r>
                </w:p>
              </w:tc>
              <w:tc>
                <w:tcPr/>
                <w:p>
                  <w:pPr>
                    <w:pStyle w:val="Compact"/>
                    <w:jc w:val="center"/>
                    <w:jc w:val="center"/>
                  </w:pPr>
                  <w:r>
                    <w:t xml:space="preserve">6.47</w:t>
                  </w:r>
                </w:p>
              </w:tc>
              <w:tc>
                <w:tcPr/>
                <w:p>
                  <w:pPr>
                    <w:pStyle w:val="Compact"/>
                    <w:jc w:val="center"/>
                    <w:jc w:val="center"/>
                  </w:pPr>
                  <w:r>
                    <w:t xml:space="preserve">0.90</w:t>
                  </w:r>
                </w:p>
              </w:tc>
              <w:tc>
                <w:tcPr/>
                <w:p>
                  <w:pPr>
                    <w:pStyle w:val="Compact"/>
                    <w:jc w:val="center"/>
                    <w:jc w:val="center"/>
                  </w:pPr>
                  <w:r>
                    <w:t xml:space="preserve">8.60</w:t>
                  </w:r>
                </w:p>
              </w:tc>
              <w:tc>
                <w:tcPr/>
                <w:p>
                  <w:pPr>
                    <w:pStyle w:val="Compact"/>
                    <w:jc w:val="center"/>
                    <w:jc w:val="center"/>
                  </w:pPr>
                  <w:r>
                    <w:t xml:space="preserve">4.30</w:t>
                  </w:r>
                </w:p>
              </w:tc>
              <w:tc>
                <w:tcPr/>
                <w:p>
                  <w:pPr>
                    <w:pStyle w:val="Compact"/>
                    <w:jc w:val="center"/>
                    <w:jc w:val="center"/>
                  </w:pPr>
                  <w:r>
                    <w:t xml:space="preserve">−0.02</w:t>
                  </w:r>
                </w:p>
              </w:tc>
              <w:tc>
                <w:tcPr/>
                <w:p>
                  <w:pPr>
                    <w:pStyle w:val="Compact"/>
                    <w:jc w:val="center"/>
                    <w:jc w:val="center"/>
                  </w:pPr>
                  <w:r>
                    <w:t xml:space="preserve">13.89</w:t>
                  </w:r>
                </w:p>
              </w:tc>
            </w:tr>
            <w:tr>
              <w:tc>
                <w:tcPr/>
                <w:p>
                  <w:pPr>
                    <w:jc w:val="center"/>
                    <w:jc w:val="center"/>
                  </w:pPr>
                  <w:r>
                    <w:t xml:space="preserve">Nb</w:t>
                  </w:r>
                </w:p>
              </w:tc>
              <w:tc>
                <w:tcPr/>
                <w:p>
                  <w:pPr>
                    <w:pStyle w:val="Compact"/>
                    <w:jc w:val="center"/>
                    <w:jc w:val="center"/>
                  </w:pPr>
                  <w:r>
                    <w:t xml:space="preserve">0.37</w:t>
                  </w:r>
                </w:p>
              </w:tc>
              <w:tc>
                <w:tcPr/>
                <w:p>
                  <w:pPr>
                    <w:pStyle w:val="Compact"/>
                    <w:jc w:val="center"/>
                    <w:jc w:val="center"/>
                  </w:pPr>
                  <w:r>
                    <w:t xml:space="preserve">0.06</w:t>
                  </w:r>
                </w:p>
              </w:tc>
              <w:tc>
                <w:tcPr/>
                <w:p>
                  <w:pPr>
                    <w:pStyle w:val="Compact"/>
                    <w:jc w:val="center"/>
                    <w:jc w:val="center"/>
                  </w:pPr>
                  <w:r>
                    <w:t xml:space="preserve">0.56</w:t>
                  </w:r>
                </w:p>
              </w:tc>
              <w:tc>
                <w:tcPr/>
                <w:p>
                  <w:pPr>
                    <w:pStyle w:val="Compact"/>
                    <w:jc w:val="center"/>
                    <w:jc w:val="center"/>
                  </w:pPr>
                  <w:r>
                    <w:t xml:space="preserve">0.17</w:t>
                  </w:r>
                </w:p>
              </w:tc>
              <w:tc>
                <w:tcPr/>
                <w:p>
                  <w:pPr>
                    <w:pStyle w:val="Compact"/>
                    <w:jc w:val="center"/>
                    <w:jc w:val="center"/>
                  </w:pPr>
                  <w:r>
                    <w:t xml:space="preserve">−0.68</w:t>
                  </w:r>
                </w:p>
              </w:tc>
              <w:tc>
                <w:tcPr/>
                <w:p>
                  <w:pPr>
                    <w:pStyle w:val="Compact"/>
                    <w:jc w:val="center"/>
                    <w:jc w:val="center"/>
                  </w:pPr>
                  <w:r>
                    <w:t xml:space="preserve">17.10</w:t>
                  </w:r>
                </w:p>
              </w:tc>
            </w:tr>
            <w:tr>
              <w:tc>
                <w:tcPr/>
                <w:p>
                  <w:pPr>
                    <w:jc w:val="center"/>
                    <w:jc w:val="center"/>
                  </w:pPr>
                  <w:r>
                    <w:t xml:space="preserve">Zn</w:t>
                  </w:r>
                </w:p>
              </w:tc>
              <w:tc>
                <w:tcPr/>
                <w:p>
                  <w:pPr>
                    <w:pStyle w:val="Compact"/>
                    <w:jc w:val="center"/>
                    <w:jc w:val="center"/>
                  </w:pPr>
                  <w:r>
                    <w:t xml:space="preserve">109.55</w:t>
                  </w:r>
                </w:p>
              </w:tc>
              <w:tc>
                <w:tcPr/>
                <w:p>
                  <w:pPr>
                    <w:pStyle w:val="Compact"/>
                    <w:jc w:val="center"/>
                    <w:jc w:val="center"/>
                  </w:pPr>
                  <w:r>
                    <w:t xml:space="preserve">53.27</w:t>
                  </w:r>
                </w:p>
              </w:tc>
              <w:tc>
                <w:tcPr/>
                <w:p>
                  <w:pPr>
                    <w:pStyle w:val="Compact"/>
                    <w:jc w:val="center"/>
                    <w:jc w:val="center"/>
                  </w:pPr>
                  <w:r>
                    <w:t xml:space="preserve">318.00</w:t>
                  </w:r>
                </w:p>
              </w:tc>
              <w:tc>
                <w:tcPr/>
                <w:p>
                  <w:pPr>
                    <w:pStyle w:val="Compact"/>
                    <w:jc w:val="center"/>
                    <w:jc w:val="center"/>
                  </w:pPr>
                  <w:r>
                    <w:t xml:space="preserve">42.00</w:t>
                  </w:r>
                </w:p>
              </w:tc>
              <w:tc>
                <w:tcPr/>
                <w:p>
                  <w:pPr>
                    <w:pStyle w:val="Compact"/>
                    <w:jc w:val="center"/>
                    <w:jc w:val="center"/>
                  </w:pPr>
                  <w:r>
                    <w:t xml:space="preserve">1.43</w:t>
                  </w:r>
                </w:p>
              </w:tc>
              <w:tc>
                <w:tcPr/>
                <w:p>
                  <w:pPr>
                    <w:pStyle w:val="Compact"/>
                    <w:jc w:val="center"/>
                    <w:jc w:val="center"/>
                  </w:pPr>
                  <w:r>
                    <w:t xml:space="preserve">48.62</w:t>
                  </w:r>
                </w:p>
              </w:tc>
            </w:tr>
            <w:tr>
              <w:tc>
                <w:tcPr/>
                <w:p>
                  <w:pPr>
                    <w:jc w:val="center"/>
                    <w:jc w:val="center"/>
                  </w:pPr>
                  <w:r>
                    <w:rPr>
                      <w:i/>
                      <w:iCs/>
                    </w:rPr>
                    <w:t xml:space="preserve">h</w:t>
                  </w:r>
                  <w:r>
                    <w:t xml:space="preserve">*</w:t>
                  </w:r>
                </w:p>
              </w:tc>
              <w:tc>
                <w:tcPr/>
                <w:p>
                  <w:pPr>
                    <w:pStyle w:val="Compact"/>
                    <w:jc w:val="center"/>
                    <w:jc w:val="center"/>
                  </w:pPr>
                  <w:r>
                    <w:t xml:space="preserve">1.13</w:t>
                  </w:r>
                </w:p>
              </w:tc>
              <w:tc>
                <w:tcPr/>
                <w:p>
                  <w:pPr>
                    <w:pStyle w:val="Compact"/>
                    <w:jc w:val="center"/>
                    <w:jc w:val="center"/>
                  </w:pPr>
                  <w:r>
                    <w:t xml:space="preserve">0.05</w:t>
                  </w:r>
                </w:p>
              </w:tc>
              <w:tc>
                <w:tcPr/>
                <w:p>
                  <w:pPr>
                    <w:pStyle w:val="Compact"/>
                    <w:jc w:val="center"/>
                    <w:jc w:val="center"/>
                  </w:pPr>
                  <w:r>
                    <w:t xml:space="preserve">1.23</w:t>
                  </w:r>
                </w:p>
              </w:tc>
              <w:tc>
                <w:tcPr/>
                <w:p>
                  <w:pPr>
                    <w:pStyle w:val="Compact"/>
                    <w:jc w:val="center"/>
                    <w:jc w:val="center"/>
                  </w:pPr>
                  <w:r>
                    <w:t xml:space="preserve">1.06</w:t>
                  </w:r>
                </w:p>
              </w:tc>
              <w:tc>
                <w:tcPr/>
                <w:p>
                  <w:pPr>
                    <w:pStyle w:val="Compact"/>
                    <w:jc w:val="center"/>
                    <w:jc w:val="center"/>
                  </w:pPr>
                  <w:r>
                    <w:t xml:space="preserve">0.34</w:t>
                  </w:r>
                </w:p>
              </w:tc>
              <w:tc>
                <w:tcPr/>
                <w:p>
                  <w:pPr>
                    <w:pStyle w:val="Compact"/>
                    <w:jc w:val="center"/>
                    <w:jc w:val="center"/>
                  </w:pPr>
                  <w:r>
                    <w:t xml:space="preserve">4.13</w:t>
                  </w:r>
                </w:p>
              </w:tc>
            </w:tr>
            <w:tr>
              <w:tc>
                <w:tcPr/>
                <w:p>
                  <w:pPr>
                    <w:jc w:val="center"/>
                    <w:jc w:val="center"/>
                  </w:pPr>
                  <w:r>
                    <w:rPr>
                      <w:i/>
                      <w:iCs/>
                    </w:rPr>
                    <w:t xml:space="preserve">L</w:t>
                  </w:r>
                </w:p>
              </w:tc>
              <w:tc>
                <w:tcPr/>
                <w:p>
                  <w:pPr>
                    <w:pStyle w:val="Compact"/>
                    <w:jc w:val="center"/>
                    <w:jc w:val="center"/>
                  </w:pPr>
                  <w:r>
                    <w:t xml:space="preserve">47.45</w:t>
                  </w:r>
                </w:p>
              </w:tc>
              <w:tc>
                <w:tcPr/>
                <w:p>
                  <w:pPr>
                    <w:pStyle w:val="Compact"/>
                    <w:jc w:val="center"/>
                    <w:jc w:val="center"/>
                  </w:pPr>
                  <w:r>
                    <w:t xml:space="preserve">6.35</w:t>
                  </w:r>
                </w:p>
              </w:tc>
              <w:tc>
                <w:tcPr/>
                <w:p>
                  <w:pPr>
                    <w:pStyle w:val="Compact"/>
                    <w:jc w:val="center"/>
                    <w:jc w:val="center"/>
                  </w:pPr>
                  <w:r>
                    <w:t xml:space="preserve">59.48</w:t>
                  </w:r>
                </w:p>
              </w:tc>
              <w:tc>
                <w:tcPr/>
                <w:p>
                  <w:pPr>
                    <w:pStyle w:val="Compact"/>
                    <w:jc w:val="center"/>
                    <w:jc w:val="center"/>
                  </w:pPr>
                  <w:r>
                    <w:t xml:space="preserve">34.34</w:t>
                  </w:r>
                </w:p>
              </w:tc>
              <w:tc>
                <w:tcPr/>
                <w:p>
                  <w:pPr>
                    <w:pStyle w:val="Compact"/>
                    <w:jc w:val="center"/>
                    <w:jc w:val="center"/>
                  </w:pPr>
                  <w:r>
                    <w:t xml:space="preserve">−0.02</w:t>
                  </w:r>
                </w:p>
              </w:tc>
              <w:tc>
                <w:tcPr/>
                <w:p>
                  <w:pPr>
                    <w:pStyle w:val="Compact"/>
                    <w:jc w:val="center"/>
                    <w:jc w:val="center"/>
                  </w:pPr>
                  <w:r>
                    <w:t xml:space="preserve">13.37</w:t>
                  </w:r>
                </w:p>
              </w:tc>
            </w:tr>
            <w:tr>
              <w:tc>
                <w:tcPr/>
                <w:p>
                  <w:pPr>
                    <w:jc w:val="center"/>
                    <w:jc w:val="center"/>
                  </w:pPr>
                  <w:r>
                    <w:rPr>
                      <w:i/>
                      <w:iCs/>
                    </w:rPr>
                    <w:t xml:space="preserve">v</w:t>
                  </w:r>
                  <w:r>
                    <w:t xml:space="preserve">*</w:t>
                  </w:r>
                </w:p>
              </w:tc>
              <w:tc>
                <w:tcPr/>
                <w:p>
                  <w:pPr>
                    <w:pStyle w:val="Compact"/>
                    <w:jc w:val="center"/>
                    <w:jc w:val="center"/>
                  </w:pPr>
                  <w:r>
                    <w:t xml:space="preserve">4.79</w:t>
                  </w:r>
                </w:p>
              </w:tc>
              <w:tc>
                <w:tcPr/>
                <w:p>
                  <w:pPr>
                    <w:pStyle w:val="Compact"/>
                    <w:jc w:val="center"/>
                    <w:jc w:val="center"/>
                  </w:pPr>
                  <w:r>
                    <w:t xml:space="preserve">1.04</w:t>
                  </w:r>
                </w:p>
              </w:tc>
              <w:tc>
                <w:tcPr/>
                <w:p>
                  <w:pPr>
                    <w:pStyle w:val="Compact"/>
                    <w:jc w:val="center"/>
                    <w:jc w:val="center"/>
                  </w:pPr>
                  <w:r>
                    <w:t xml:space="preserve">6.62</w:t>
                  </w:r>
                </w:p>
              </w:tc>
              <w:tc>
                <w:tcPr/>
                <w:p>
                  <w:pPr>
                    <w:pStyle w:val="Compact"/>
                    <w:jc w:val="center"/>
                    <w:jc w:val="center"/>
                  </w:pPr>
                  <w:r>
                    <w:t xml:space="preserve">2.77</w:t>
                  </w:r>
                </w:p>
              </w:tc>
              <w:tc>
                <w:tcPr/>
                <w:p>
                  <w:pPr>
                    <w:pStyle w:val="Compact"/>
                    <w:jc w:val="center"/>
                    <w:jc w:val="center"/>
                  </w:pPr>
                  <w:r>
                    <w:t xml:space="preserve">0.31</w:t>
                  </w:r>
                </w:p>
              </w:tc>
              <w:tc>
                <w:tcPr/>
                <w:p>
                  <w:pPr>
                    <w:pStyle w:val="Compact"/>
                    <w:jc w:val="center"/>
                    <w:jc w:val="center"/>
                  </w:pPr>
                  <w:r>
                    <w:t xml:space="preserve">21.74</w:t>
                  </w:r>
                </w:p>
              </w:tc>
            </w:tr>
            <w:tr>
              <w:tc>
                <w:tcPr/>
                <w:p>
                  <w:pPr>
                    <w:jc w:val="center"/>
                    <w:jc w:val="center"/>
                  </w:pPr>
                  <w:r>
                    <w:t xml:space="preserve">SSA</w:t>
                  </w:r>
                </w:p>
              </w:tc>
              <w:tc>
                <w:tcPr/>
                <w:p>
                  <w:pPr>
                    <w:pStyle w:val="Compact"/>
                    <w:jc w:val="center"/>
                    <w:jc w:val="center"/>
                  </w:pPr>
                  <w:r>
                    <w:t xml:space="preserve">763.48</w:t>
                  </w:r>
                </w:p>
              </w:tc>
              <w:tc>
                <w:tcPr/>
                <w:p>
                  <w:pPr>
                    <w:pStyle w:val="Compact"/>
                    <w:jc w:val="center"/>
                    <w:jc w:val="center"/>
                  </w:pPr>
                  <w:r>
                    <w:t xml:space="preserve">133.48</w:t>
                  </w:r>
                </w:p>
              </w:tc>
              <w:tc>
                <w:tcPr/>
                <w:p>
                  <w:pPr>
                    <w:pStyle w:val="Compact"/>
                    <w:jc w:val="center"/>
                    <w:jc w:val="center"/>
                  </w:pPr>
                  <w:r>
                    <w:t xml:space="preserve">1,032.61</w:t>
                  </w:r>
                </w:p>
              </w:tc>
              <w:tc>
                <w:tcPr/>
                <w:p>
                  <w:pPr>
                    <w:pStyle w:val="Compact"/>
                    <w:jc w:val="center"/>
                    <w:jc w:val="center"/>
                  </w:pPr>
                  <w:r>
                    <w:t xml:space="preserve">492.59</w:t>
                  </w:r>
                </w:p>
              </w:tc>
              <w:tc>
                <w:tcPr/>
                <w:p>
                  <w:pPr>
                    <w:pStyle w:val="Compact"/>
                    <w:jc w:val="center"/>
                    <w:jc w:val="center"/>
                  </w:pPr>
                  <w:r>
                    <w:t xml:space="preserve">−0.08</w:t>
                  </w:r>
                </w:p>
              </w:tc>
              <w:tc>
                <w:tcPr/>
                <w:p>
                  <w:pPr>
                    <w:pStyle w:val="Compact"/>
                    <w:jc w:val="center"/>
                    <w:jc w:val="center"/>
                  </w:pPr>
                  <w:r>
                    <w:t xml:space="preserve">17.48</w:t>
                  </w:r>
                </w:p>
              </w:tc>
            </w:tr>
            <w:tr>
              <w:tc>
                <w:tcPr/>
                <w:p>
                  <w:pPr>
                    <w:jc w:val="center"/>
                    <w:jc w:val="center"/>
                  </w:pPr>
                  <w:r>
                    <w:t xml:space="preserve">Org</w:t>
                  </w:r>
                </w:p>
              </w:tc>
              <w:tc>
                <w:tcPr/>
                <w:p>
                  <w:pPr>
                    <w:pStyle w:val="Compact"/>
                    <w:jc w:val="center"/>
                    <w:jc w:val="center"/>
                  </w:pPr>
                  <w:r>
                    <w:t xml:space="preserve">11.55</w:t>
                  </w:r>
                </w:p>
              </w:tc>
              <w:tc>
                <w:tcPr/>
                <w:p>
                  <w:pPr>
                    <w:pStyle w:val="Compact"/>
                    <w:jc w:val="center"/>
                    <w:jc w:val="center"/>
                  </w:pPr>
                  <w:r>
                    <w:t xml:space="preserve">5.99</w:t>
                  </w:r>
                </w:p>
              </w:tc>
              <w:tc>
                <w:tcPr/>
                <w:p>
                  <w:pPr>
                    <w:pStyle w:val="Compact"/>
                    <w:jc w:val="center"/>
                    <w:jc w:val="center"/>
                  </w:pPr>
                  <w:r>
                    <w:t xml:space="preserve">26.99</w:t>
                  </w:r>
                </w:p>
              </w:tc>
              <w:tc>
                <w:tcPr/>
                <w:p>
                  <w:pPr>
                    <w:pStyle w:val="Compact"/>
                    <w:jc w:val="center"/>
                    <w:jc w:val="center"/>
                  </w:pPr>
                  <w:r>
                    <w:t xml:space="preserve">1.37</w:t>
                  </w:r>
                </w:p>
              </w:tc>
              <w:tc>
                <w:tcPr/>
                <w:p>
                  <w:pPr>
                    <w:pStyle w:val="Compact"/>
                    <w:jc w:val="center"/>
                    <w:jc w:val="center"/>
                  </w:pPr>
                  <w:r>
                    <w:t xml:space="preserve">0.37</w:t>
                  </w:r>
                </w:p>
              </w:tc>
              <w:tc>
                <w:tcPr/>
                <w:p>
                  <w:pPr>
                    <w:pStyle w:val="Compact"/>
                    <w:jc w:val="center"/>
                    <w:jc w:val="center"/>
                  </w:pPr>
                  <w:r>
                    <w:t xml:space="preserve">51.89</w:t>
                  </w:r>
                </w:p>
              </w:tc>
            </w:tr>
            <w:tr>
              <w:tc>
                <w:tcPr>
                  <w:gridSpan w:val="7"/>
                </w:tcPr>
                <w:p>
                  <w:pPr>
                    <w:pStyle w:val="Compact"/>
                    <w:jc w:val="center"/>
                    <w:jc w:val="center"/>
                  </w:pPr>
                  <w:r>
                    <w:t xml:space="preserve">Agriculture</w:t>
                  </w:r>
                </w:p>
              </w:tc>
            </w:tr>
            <w:tr>
              <w:tc>
                <w:tcPr/>
                <w:p>
                  <w:pPr>
                    <w:jc w:val="center"/>
                    <w:jc w:val="center"/>
                  </w:pPr>
                  <w:r>
                    <w:t xml:space="preserve">Ca</w:t>
                  </w:r>
                </w:p>
              </w:tc>
              <w:tc>
                <w:tcPr/>
                <w:p>
                  <w:pPr>
                    <w:pStyle w:val="Compact"/>
                    <w:jc w:val="center"/>
                    <w:jc w:val="center"/>
                  </w:pPr>
                  <w:r>
                    <w:t xml:space="preserve">4.00</w:t>
                  </w:r>
                </w:p>
              </w:tc>
              <w:tc>
                <w:tcPr/>
                <w:p>
                  <w:pPr>
                    <w:pStyle w:val="Compact"/>
                    <w:jc w:val="center"/>
                    <w:jc w:val="center"/>
                  </w:pPr>
                  <w:r>
                    <w:t xml:space="preserve">2.19</w:t>
                  </w:r>
                </w:p>
              </w:tc>
              <w:tc>
                <w:tcPr/>
                <w:p>
                  <w:pPr>
                    <w:pStyle w:val="Compact"/>
                    <w:jc w:val="center"/>
                    <w:jc w:val="center"/>
                  </w:pPr>
                  <w:r>
                    <w:t xml:space="preserve">8.78</w:t>
                  </w:r>
                </w:p>
              </w:tc>
              <w:tc>
                <w:tcPr/>
                <w:p>
                  <w:pPr>
                    <w:pStyle w:val="Compact"/>
                    <w:jc w:val="center"/>
                    <w:jc w:val="center"/>
                  </w:pPr>
                  <w:r>
                    <w:t xml:space="preserve">0.95</w:t>
                  </w:r>
                </w:p>
              </w:tc>
              <w:tc>
                <w:tcPr/>
                <w:p>
                  <w:pPr>
                    <w:pStyle w:val="Compact"/>
                    <w:jc w:val="center"/>
                    <w:jc w:val="center"/>
                  </w:pPr>
                  <w:r>
                    <w:t xml:space="preserve">0.28</w:t>
                  </w:r>
                </w:p>
              </w:tc>
              <w:tc>
                <w:tcPr/>
                <w:p>
                  <w:pPr>
                    <w:pStyle w:val="Compact"/>
                    <w:jc w:val="center"/>
                    <w:jc w:val="center"/>
                  </w:pPr>
                  <w:r>
                    <w:t xml:space="preserve">54.66</w:t>
                  </w:r>
                </w:p>
              </w:tc>
            </w:tr>
            <w:tr>
              <w:tc>
                <w:tcPr/>
                <w:p>
                  <w:pPr>
                    <w:jc w:val="center"/>
                    <w:jc w:val="center"/>
                  </w:pPr>
                  <w:r>
                    <w:t xml:space="preserve">Mo</w:t>
                  </w:r>
                </w:p>
              </w:tc>
              <w:tc>
                <w:tcPr/>
                <w:p>
                  <w:pPr>
                    <w:pStyle w:val="Compact"/>
                    <w:jc w:val="center"/>
                    <w:jc w:val="center"/>
                  </w:pPr>
                  <w:r>
                    <w:t xml:space="preserve">0.93</w:t>
                  </w:r>
                </w:p>
              </w:tc>
              <w:tc>
                <w:tcPr/>
                <w:p>
                  <w:pPr>
                    <w:pStyle w:val="Compact"/>
                    <w:jc w:val="center"/>
                    <w:jc w:val="center"/>
                  </w:pPr>
                  <w:r>
                    <w:t xml:space="preserve">0.41</w:t>
                  </w:r>
                </w:p>
              </w:tc>
              <w:tc>
                <w:tcPr/>
                <w:p>
                  <w:pPr>
                    <w:pStyle w:val="Compact"/>
                    <w:jc w:val="center"/>
                    <w:jc w:val="center"/>
                  </w:pPr>
                  <w:r>
                    <w:t xml:space="preserve">2.35</w:t>
                  </w:r>
                </w:p>
              </w:tc>
              <w:tc>
                <w:tcPr/>
                <w:p>
                  <w:pPr>
                    <w:pStyle w:val="Compact"/>
                    <w:jc w:val="center"/>
                    <w:jc w:val="center"/>
                  </w:pPr>
                  <w:r>
                    <w:t xml:space="preserve">0.47</w:t>
                  </w:r>
                </w:p>
              </w:tc>
              <w:tc>
                <w:tcPr/>
                <w:p>
                  <w:pPr>
                    <w:pStyle w:val="Compact"/>
                    <w:jc w:val="center"/>
                    <w:jc w:val="center"/>
                  </w:pPr>
                  <w:r>
                    <w:t xml:space="preserve">1.18</w:t>
                  </w:r>
                </w:p>
              </w:tc>
              <w:tc>
                <w:tcPr/>
                <w:p>
                  <w:pPr>
                    <w:pStyle w:val="Compact"/>
                    <w:jc w:val="center"/>
                    <w:jc w:val="center"/>
                  </w:pPr>
                  <w:r>
                    <w:t xml:space="preserve">43.95</w:t>
                  </w:r>
                </w:p>
              </w:tc>
            </w:tr>
            <w:tr>
              <w:tc>
                <w:tcPr/>
                <w:p>
                  <w:pPr>
                    <w:jc w:val="center"/>
                    <w:jc w:val="center"/>
                  </w:pPr>
                  <w:r>
                    <w:t xml:space="preserve">U</w:t>
                  </w:r>
                </w:p>
              </w:tc>
              <w:tc>
                <w:tcPr/>
                <w:p>
                  <w:pPr>
                    <w:pStyle w:val="Compact"/>
                    <w:jc w:val="center"/>
                    <w:jc w:val="center"/>
                  </w:pPr>
                  <w:r>
                    <w:t xml:space="preserve">1.48</w:t>
                  </w:r>
                </w:p>
              </w:tc>
              <w:tc>
                <w:tcPr/>
                <w:p>
                  <w:pPr>
                    <w:pStyle w:val="Compact"/>
                    <w:jc w:val="center"/>
                    <w:jc w:val="center"/>
                  </w:pPr>
                  <w:r>
                    <w:t xml:space="preserve">0.19</w:t>
                  </w:r>
                </w:p>
              </w:tc>
              <w:tc>
                <w:tcPr/>
                <w:p>
                  <w:pPr>
                    <w:pStyle w:val="Compact"/>
                    <w:jc w:val="center"/>
                    <w:jc w:val="center"/>
                  </w:pPr>
                  <w:r>
                    <w:t xml:space="preserve">1.94</w:t>
                  </w:r>
                </w:p>
              </w:tc>
              <w:tc>
                <w:tcPr/>
                <w:p>
                  <w:pPr>
                    <w:pStyle w:val="Compact"/>
                    <w:jc w:val="center"/>
                    <w:jc w:val="center"/>
                  </w:pPr>
                  <w:r>
                    <w:t xml:space="preserve">1.20</w:t>
                  </w:r>
                </w:p>
              </w:tc>
              <w:tc>
                <w:tcPr/>
                <w:p>
                  <w:pPr>
                    <w:pStyle w:val="Compact"/>
                    <w:jc w:val="center"/>
                    <w:jc w:val="center"/>
                  </w:pPr>
                  <w:r>
                    <w:t xml:space="preserve">0.59</w:t>
                  </w:r>
                </w:p>
              </w:tc>
              <w:tc>
                <w:tcPr/>
                <w:p>
                  <w:pPr>
                    <w:pStyle w:val="Compact"/>
                    <w:jc w:val="center"/>
                    <w:jc w:val="center"/>
                  </w:pPr>
                  <w:r>
                    <w:t xml:space="preserve">12.64</w:t>
                  </w:r>
                </w:p>
              </w:tc>
            </w:tr>
            <w:tr>
              <w:tc>
                <w:tcPr/>
                <w:p>
                  <w:pPr>
                    <w:jc w:val="center"/>
                    <w:jc w:val="center"/>
                  </w:pPr>
                  <w:r>
                    <w:rPr>
                      <w:i/>
                      <w:iCs/>
                    </w:rPr>
                    <w:t xml:space="preserve">a</w:t>
                  </w:r>
                  <w:r>
                    <w:t xml:space="preserve">*</w:t>
                  </w:r>
                </w:p>
              </w:tc>
              <w:tc>
                <w:tcPr/>
                <w:p>
                  <w:pPr>
                    <w:pStyle w:val="Compact"/>
                    <w:jc w:val="center"/>
                    <w:jc w:val="center"/>
                  </w:pPr>
                  <w:r>
                    <w:t xml:space="preserve">3.38</w:t>
                  </w:r>
                </w:p>
              </w:tc>
              <w:tc>
                <w:tcPr/>
                <w:p>
                  <w:pPr>
                    <w:pStyle w:val="Compact"/>
                    <w:jc w:val="center"/>
                    <w:jc w:val="center"/>
                  </w:pPr>
                  <w:r>
                    <w:t xml:space="preserve">0.32</w:t>
                  </w:r>
                </w:p>
              </w:tc>
              <w:tc>
                <w:tcPr/>
                <w:p>
                  <w:pPr>
                    <w:pStyle w:val="Compact"/>
                    <w:jc w:val="center"/>
                    <w:jc w:val="center"/>
                  </w:pPr>
                  <w:r>
                    <w:t xml:space="preserve">4.15</w:t>
                  </w:r>
                </w:p>
              </w:tc>
              <w:tc>
                <w:tcPr/>
                <w:p>
                  <w:pPr>
                    <w:pStyle w:val="Compact"/>
                    <w:jc w:val="center"/>
                    <w:jc w:val="center"/>
                  </w:pPr>
                  <w:r>
                    <w:t xml:space="preserve">2.59</w:t>
                  </w:r>
                </w:p>
              </w:tc>
              <w:tc>
                <w:tcPr/>
                <w:p>
                  <w:pPr>
                    <w:pStyle w:val="Compact"/>
                    <w:jc w:val="center"/>
                    <w:jc w:val="center"/>
                  </w:pPr>
                  <w:r>
                    <w:t xml:space="preserve">−0.03</w:t>
                  </w:r>
                </w:p>
              </w:tc>
              <w:tc>
                <w:tcPr/>
                <w:p>
                  <w:pPr>
                    <w:pStyle w:val="Compact"/>
                    <w:jc w:val="center"/>
                    <w:jc w:val="center"/>
                  </w:pPr>
                  <w:r>
                    <w:t xml:space="preserve">9.53</w:t>
                  </w:r>
                </w:p>
              </w:tc>
            </w:tr>
            <w:tr>
              <w:tc>
                <w:tcPr/>
                <w:p>
                  <w:pPr>
                    <w:jc w:val="center"/>
                    <w:jc w:val="center"/>
                  </w:pPr>
                  <w:r>
                    <w:rPr>
                      <w:i/>
                      <w:iCs/>
                    </w:rPr>
                    <w:t xml:space="preserve">c</w:t>
                  </w:r>
                  <w:r>
                    <w:t xml:space="preserve">*</w:t>
                  </w:r>
                </w:p>
              </w:tc>
              <w:tc>
                <w:tcPr/>
                <w:p>
                  <w:pPr>
                    <w:pStyle w:val="Compact"/>
                    <w:jc w:val="center"/>
                    <w:jc w:val="center"/>
                  </w:pPr>
                  <w:r>
                    <w:t xml:space="preserve">9.47</w:t>
                  </w:r>
                </w:p>
              </w:tc>
              <w:tc>
                <w:tcPr/>
                <w:p>
                  <w:pPr>
                    <w:pStyle w:val="Compact"/>
                    <w:jc w:val="center"/>
                    <w:jc w:val="center"/>
                  </w:pPr>
                  <w:r>
                    <w:t xml:space="preserve">1.02</w:t>
                  </w:r>
                </w:p>
              </w:tc>
              <w:tc>
                <w:tcPr/>
                <w:p>
                  <w:pPr>
                    <w:pStyle w:val="Compact"/>
                    <w:jc w:val="center"/>
                    <w:jc w:val="center"/>
                  </w:pPr>
                  <w:r>
                    <w:t xml:space="preserve">11.32</w:t>
                  </w:r>
                </w:p>
              </w:tc>
              <w:tc>
                <w:tcPr/>
                <w:p>
                  <w:pPr>
                    <w:pStyle w:val="Compact"/>
                    <w:jc w:val="center"/>
                    <w:jc w:val="center"/>
                  </w:pPr>
                  <w:r>
                    <w:t xml:space="preserve">7.17</w:t>
                  </w:r>
                </w:p>
              </w:tc>
              <w:tc>
                <w:tcPr/>
                <w:p>
                  <w:pPr>
                    <w:pStyle w:val="Compact"/>
                    <w:jc w:val="center"/>
                    <w:jc w:val="center"/>
                  </w:pPr>
                  <w:r>
                    <w:t xml:space="preserve">−0.19</w:t>
                  </w:r>
                </w:p>
              </w:tc>
              <w:tc>
                <w:tcPr/>
                <w:p>
                  <w:pPr>
                    <w:pStyle w:val="Compact"/>
                    <w:jc w:val="center"/>
                    <w:jc w:val="center"/>
                  </w:pPr>
                  <w:r>
                    <w:t xml:space="preserve">10.74</w:t>
                  </w:r>
                </w:p>
              </w:tc>
            </w:tr>
            <w:tr>
              <w:tc>
                <w:tcPr/>
                <w:p>
                  <w:pPr>
                    <w:jc w:val="center"/>
                    <w:jc w:val="center"/>
                  </w:pPr>
                  <w:r>
                    <w:rPr>
                      <w:i/>
                      <w:iCs/>
                    </w:rPr>
                    <w:t xml:space="preserve">h</w:t>
                  </w:r>
                  <w:r>
                    <w:t xml:space="preserve">*</w:t>
                  </w:r>
                </w:p>
              </w:tc>
              <w:tc>
                <w:tcPr/>
                <w:p>
                  <w:pPr>
                    <w:pStyle w:val="Compact"/>
                    <w:jc w:val="center"/>
                    <w:jc w:val="center"/>
                  </w:pPr>
                  <w:r>
                    <w:t xml:space="preserve">1.20</w:t>
                  </w:r>
                </w:p>
              </w:tc>
              <w:tc>
                <w:tcPr/>
                <w:p>
                  <w:pPr>
                    <w:pStyle w:val="Compact"/>
                    <w:jc w:val="center"/>
                    <w:jc w:val="center"/>
                  </w:pPr>
                  <w:r>
                    <w:t xml:space="preserve">0.01</w:t>
                  </w:r>
                </w:p>
              </w:tc>
              <w:tc>
                <w:tcPr/>
                <w:p>
                  <w:pPr>
                    <w:pStyle w:val="Compact"/>
                    <w:jc w:val="center"/>
                    <w:jc w:val="center"/>
                  </w:pPr>
                  <w:r>
                    <w:t xml:space="preserve">1.23</w:t>
                  </w:r>
                </w:p>
              </w:tc>
              <w:tc>
                <w:tcPr/>
                <w:p>
                  <w:pPr>
                    <w:pStyle w:val="Compact"/>
                    <w:jc w:val="center"/>
                    <w:jc w:val="center"/>
                  </w:pPr>
                  <w:r>
                    <w:t xml:space="preserve">1.18</w:t>
                  </w:r>
                </w:p>
              </w:tc>
              <w:tc>
                <w:tcPr/>
                <w:p>
                  <w:pPr>
                    <w:pStyle w:val="Compact"/>
                    <w:jc w:val="center"/>
                    <w:jc w:val="center"/>
                  </w:pPr>
                  <w:r>
                    <w:t xml:space="preserve">0.19</w:t>
                  </w:r>
                </w:p>
              </w:tc>
              <w:tc>
                <w:tcPr/>
                <w:p>
                  <w:pPr>
                    <w:pStyle w:val="Compact"/>
                    <w:jc w:val="center"/>
                    <w:jc w:val="center"/>
                  </w:pPr>
                  <w:r>
                    <w:t xml:space="preserve">1.12</w:t>
                  </w:r>
                </w:p>
              </w:tc>
            </w:tr>
            <w:tr>
              <w:tc>
                <w:tcPr/>
                <w:p>
                  <w:pPr>
                    <w:jc w:val="center"/>
                    <w:jc w:val="center"/>
                  </w:pPr>
                  <w:r>
                    <w:t xml:space="preserve">SSA</w:t>
                  </w:r>
                </w:p>
              </w:tc>
              <w:tc>
                <w:tcPr/>
                <w:p>
                  <w:pPr>
                    <w:pStyle w:val="Compact"/>
                    <w:jc w:val="center"/>
                    <w:jc w:val="center"/>
                  </w:pPr>
                  <w:r>
                    <w:t xml:space="preserve">1,853.02</w:t>
                  </w:r>
                </w:p>
              </w:tc>
              <w:tc>
                <w:tcPr/>
                <w:p>
                  <w:pPr>
                    <w:pStyle w:val="Compact"/>
                    <w:jc w:val="center"/>
                    <w:jc w:val="center"/>
                  </w:pPr>
                  <w:r>
                    <w:t xml:space="preserve">187.32</w:t>
                  </w:r>
                </w:p>
              </w:tc>
              <w:tc>
                <w:tcPr/>
                <w:p>
                  <w:pPr>
                    <w:pStyle w:val="Compact"/>
                    <w:jc w:val="center"/>
                    <w:jc w:val="center"/>
                  </w:pPr>
                  <w:r>
                    <w:t xml:space="preserve">2,195.72</w:t>
                  </w:r>
                </w:p>
              </w:tc>
              <w:tc>
                <w:tcPr/>
                <w:p>
                  <w:pPr>
                    <w:pStyle w:val="Compact"/>
                    <w:jc w:val="center"/>
                    <w:jc w:val="center"/>
                  </w:pPr>
                  <w:r>
                    <w:t xml:space="preserve">1,458.53</w:t>
                  </w:r>
                </w:p>
              </w:tc>
              <w:tc>
                <w:tcPr/>
                <w:p>
                  <w:pPr>
                    <w:pStyle w:val="Compact"/>
                    <w:jc w:val="center"/>
                    <w:jc w:val="center"/>
                  </w:pPr>
                  <w:r>
                    <w:t xml:space="preserve">0.00</w:t>
                  </w:r>
                </w:p>
              </w:tc>
              <w:tc>
                <w:tcPr/>
                <w:p>
                  <w:pPr>
                    <w:pStyle w:val="Compact"/>
                    <w:jc w:val="center"/>
                    <w:jc w:val="center"/>
                  </w:pPr>
                  <w:r>
                    <w:t xml:space="preserve">10.11</w:t>
                  </w:r>
                </w:p>
              </w:tc>
            </w:tr>
            <w:tr>
              <w:tc>
                <w:tcPr/>
                <w:p>
                  <w:pPr>
                    <w:jc w:val="center"/>
                    <w:jc w:val="center"/>
                  </w:pPr>
                  <w:r>
                    <w:t xml:space="preserve">Org</w:t>
                  </w:r>
                </w:p>
              </w:tc>
              <w:tc>
                <w:tcPr/>
                <w:p>
                  <w:pPr>
                    <w:pStyle w:val="Compact"/>
                    <w:jc w:val="center"/>
                    <w:jc w:val="center"/>
                  </w:pPr>
                  <w:r>
                    <w:t xml:space="preserve">8.51</w:t>
                  </w:r>
                </w:p>
              </w:tc>
              <w:tc>
                <w:tcPr/>
                <w:p>
                  <w:pPr>
                    <w:pStyle w:val="Compact"/>
                    <w:jc w:val="center"/>
                    <w:jc w:val="center"/>
                  </w:pPr>
                  <w:r>
                    <w:t xml:space="preserve">1.37</w:t>
                  </w:r>
                </w:p>
              </w:tc>
              <w:tc>
                <w:tcPr/>
                <w:p>
                  <w:pPr>
                    <w:pStyle w:val="Compact"/>
                    <w:jc w:val="center"/>
                    <w:jc w:val="center"/>
                  </w:pPr>
                  <w:r>
                    <w:t xml:space="preserve">11.36</w:t>
                  </w:r>
                </w:p>
              </w:tc>
              <w:tc>
                <w:tcPr/>
                <w:p>
                  <w:pPr>
                    <w:pStyle w:val="Compact"/>
                    <w:jc w:val="center"/>
                    <w:jc w:val="center"/>
                  </w:pPr>
                  <w:r>
                    <w:t xml:space="preserve">5.86</w:t>
                  </w:r>
                </w:p>
              </w:tc>
              <w:tc>
                <w:tcPr/>
                <w:p>
                  <w:pPr>
                    <w:pStyle w:val="Compact"/>
                    <w:jc w:val="center"/>
                    <w:jc w:val="center"/>
                  </w:pPr>
                  <w:r>
                    <w:t xml:space="preserve">0.07</w:t>
                  </w:r>
                </w:p>
              </w:tc>
              <w:tc>
                <w:tcPr/>
                <w:p>
                  <w:pPr>
                    <w:pStyle w:val="Compact"/>
                    <w:jc w:val="center"/>
                    <w:jc w:val="center"/>
                  </w:pPr>
                  <w:r>
                    <w:t xml:space="preserve">16.13</w:t>
                  </w:r>
                </w:p>
              </w:tc>
            </w:tr>
          </w:tbl>
          <w:bookmarkEnd w:id="28"/>
          <w:p/>
        </w:tc>
      </w:tr>
    </w:tbl>
    <w:p>
      <w:pPr>
        <w:pStyle w:val="TextBody"/>
      </w:pPr>
      <w:r>
        <w:rPr>
          <w:vertAlign w:val="subscript"/>
        </w:rPr>
        <w:t xml:space="preserve">Source:</w:t>
      </w:r>
      <w:r>
        <w:rPr>
          <w:vertAlign w:val="subscript"/>
        </w:rPr>
        <w:t xml:space="preserve"> </w:t>
      </w:r>
      <w:hyperlink r:id="rId29">
        <w:r>
          <w:rPr>
            <w:rStyle w:val="InternetLink"/>
            <w:vertAlign w:val="subscript"/>
          </w:rPr>
          <w:t xml:space="preserve">Univariate summary</w:t>
        </w:r>
      </w:hyperlink>
    </w:p>
    <w:tbl>
      <w:tblPr>
        <w:tblStyle w:val="Table"/>
        <w:tblW w:type="pct" w:w="5000"/>
        <w:jc w:val="left"/>
        <w:tblLayout w:type="fixed"/>
        <w:tblLook w:firstRow="0" w:lastRow="0" w:firstColumn="0" w:lastColumn="0" w:noHBand="0" w:noVBand="0" w:val="0000"/>
      </w:tblPr>
      <w:tblGrid>
        <w:gridCol w:w="7920"/>
      </w:tblGrid>
      <w:tr>
        <w:tc>
          <w:tcPr/>
          <w:bookmarkStart w:id="30" w:name="tbl-univariate2-summary"/>
          <w:p>
            <w:pPr>
              <w:jc w:val="center"/>
            </w:pPr>
            <w:pPr>
              <w:jc w:val="start"/>
              <w:spacing w:before="200"/>
              <w:pStyle w:val="ImageCaption"/>
            </w:pPr>
            <w:r>
              <w:t xml:space="preserve">Table 2: Summary statistics for the interpoloated values (10m resolution) for six examples of geochemical and colour soil properties, specific surface area, organic matter content, and seven terrain attributes for each site.</w:t>
            </w:r>
          </w:p>
          <w:tbl>
            <w:tblPr>
              <w:tblStyle w:val="Table"/>
              <w:tblW w:type="pct" w:w="5000"/>
              <w:jc w:val="left"/>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center"/>
                    <w:jc w:val="center"/>
                  </w:pPr>
                  <w:r>
                    <w:t xml:space="preserve">Property</w:t>
                  </w:r>
                </w:p>
              </w:tc>
              <w:tc>
                <w:tcPr/>
                <w:p>
                  <w:pPr>
                    <w:pStyle w:val="Compact"/>
                    <w:jc w:val="center"/>
                    <w:jc w:val="center"/>
                  </w:pPr>
                  <w:r>
                    <w:t xml:space="preserve">Mean</w:t>
                  </w:r>
                </w:p>
              </w:tc>
              <w:tc>
                <w:tcPr/>
                <w:p>
                  <w:pPr>
                    <w:pStyle w:val="Compact"/>
                    <w:jc w:val="center"/>
                    <w:jc w:val="center"/>
                  </w:pPr>
                  <w:r>
                    <w:t xml:space="preserve">SD</w:t>
                  </w:r>
                </w:p>
              </w:tc>
              <w:tc>
                <w:tcPr/>
                <w:p>
                  <w:pPr>
                    <w:pStyle w:val="Compact"/>
                    <w:jc w:val="center"/>
                    <w:jc w:val="center"/>
                  </w:pPr>
                  <w:r>
                    <w:t xml:space="preserve">Max</w:t>
                  </w:r>
                </w:p>
              </w:tc>
              <w:tc>
                <w:tcPr/>
                <w:p>
                  <w:pPr>
                    <w:pStyle w:val="Compact"/>
                    <w:jc w:val="center"/>
                    <w:jc w:val="center"/>
                  </w:pPr>
                  <w:r>
                    <w:t xml:space="preserve">Min</w:t>
                  </w:r>
                </w:p>
              </w:tc>
              <w:tc>
                <w:tcPr/>
                <w:p>
                  <w:pPr>
                    <w:pStyle w:val="Compact"/>
                    <w:jc w:val="center"/>
                    <w:jc w:val="center"/>
                  </w:pPr>
                  <w:r>
                    <w:t xml:space="preserve">Skewness</w:t>
                  </w:r>
                </w:p>
              </w:tc>
              <w:tc>
                <w:tcPr/>
                <w:p>
                  <w:pPr>
                    <w:pStyle w:val="Compact"/>
                    <w:jc w:val="center"/>
                    <w:jc w:val="center"/>
                  </w:pPr>
                  <w:r>
                    <w:t xml:space="preserve">CV</w:t>
                  </w:r>
                </w:p>
              </w:tc>
            </w:tr>
            <w:tr>
              <w:tc>
                <w:tcPr>
                  <w:gridSpan w:val="7"/>
                </w:tcPr>
                <w:p>
                  <w:pPr>
                    <w:pStyle w:val="Compact"/>
                    <w:jc w:val="center"/>
                    <w:jc w:val="center"/>
                  </w:pPr>
                  <w:r>
                    <w:t xml:space="preserve">Forest</w:t>
                  </w:r>
                </w:p>
              </w:tc>
            </w:tr>
            <w:tr>
              <w:tc>
                <w:tcPr/>
                <w:p>
                  <w:pPr>
                    <w:jc w:val="center"/>
                    <w:jc w:val="center"/>
                  </w:pPr>
                  <w:r>
                    <w:t xml:space="preserve">Li</w:t>
                  </w:r>
                </w:p>
              </w:tc>
              <w:tc>
                <w:tcPr/>
                <w:p>
                  <w:pPr>
                    <w:pStyle w:val="Compact"/>
                    <w:jc w:val="center"/>
                    <w:jc w:val="center"/>
                  </w:pPr>
                  <w:r>
                    <w:t xml:space="preserve">6.44</w:t>
                  </w:r>
                </w:p>
              </w:tc>
              <w:tc>
                <w:tcPr/>
                <w:p>
                  <w:pPr>
                    <w:pStyle w:val="Compact"/>
                    <w:jc w:val="center"/>
                    <w:jc w:val="center"/>
                  </w:pPr>
                  <w:r>
                    <w:t xml:space="preserve">0.63</w:t>
                  </w:r>
                </w:p>
              </w:tc>
              <w:tc>
                <w:tcPr/>
                <w:p>
                  <w:pPr>
                    <w:pStyle w:val="Compact"/>
                    <w:jc w:val="center"/>
                    <w:jc w:val="center"/>
                  </w:pPr>
                  <w:r>
                    <w:t xml:space="preserve">8.57</w:t>
                  </w:r>
                </w:p>
              </w:tc>
              <w:tc>
                <w:tcPr/>
                <w:p>
                  <w:pPr>
                    <w:pStyle w:val="Compact"/>
                    <w:jc w:val="center"/>
                    <w:jc w:val="center"/>
                  </w:pPr>
                  <w:r>
                    <w:t xml:space="preserve">4.34</w:t>
                  </w:r>
                </w:p>
              </w:tc>
              <w:tc>
                <w:tcPr/>
                <w:p>
                  <w:pPr>
                    <w:pStyle w:val="Compact"/>
                    <w:jc w:val="center"/>
                    <w:jc w:val="center"/>
                  </w:pPr>
                  <w:r>
                    <w:t xml:space="preserve">−0.16</w:t>
                  </w:r>
                </w:p>
              </w:tc>
              <w:tc>
                <w:tcPr/>
                <w:p>
                  <w:pPr>
                    <w:pStyle w:val="Compact"/>
                    <w:jc w:val="center"/>
                    <w:jc w:val="center"/>
                  </w:pPr>
                  <w:r>
                    <w:t xml:space="preserve">9.73</w:t>
                  </w:r>
                </w:p>
              </w:tc>
            </w:tr>
            <w:tr>
              <w:tc>
                <w:tcPr/>
                <w:p>
                  <w:pPr>
                    <w:jc w:val="center"/>
                    <w:jc w:val="center"/>
                  </w:pPr>
                  <w:r>
                    <w:t xml:space="preserve">Nb</w:t>
                  </w:r>
                </w:p>
              </w:tc>
              <w:tc>
                <w:tcPr/>
                <w:p>
                  <w:pPr>
                    <w:pStyle w:val="Compact"/>
                    <w:jc w:val="center"/>
                    <w:jc w:val="center"/>
                  </w:pPr>
                  <w:r>
                    <w:t xml:space="preserve">0.37</w:t>
                  </w:r>
                </w:p>
              </w:tc>
              <w:tc>
                <w:tcPr/>
                <w:p>
                  <w:pPr>
                    <w:pStyle w:val="Compact"/>
                    <w:jc w:val="center"/>
                    <w:jc w:val="center"/>
                  </w:pPr>
                  <w:r>
                    <w:t xml:space="preserve">0.03</w:t>
                  </w:r>
                </w:p>
              </w:tc>
              <w:tc>
                <w:tcPr/>
                <w:p>
                  <w:pPr>
                    <w:pStyle w:val="Compact"/>
                    <w:jc w:val="center"/>
                    <w:jc w:val="center"/>
                  </w:pPr>
                  <w:r>
                    <w:t xml:space="preserve">0.43</w:t>
                  </w:r>
                </w:p>
              </w:tc>
              <w:tc>
                <w:tcPr/>
                <w:p>
                  <w:pPr>
                    <w:pStyle w:val="Compact"/>
                    <w:jc w:val="center"/>
                    <w:jc w:val="center"/>
                  </w:pPr>
                  <w:r>
                    <w:t xml:space="preserve">0.29</w:t>
                  </w:r>
                </w:p>
              </w:tc>
              <w:tc>
                <w:tcPr/>
                <w:p>
                  <w:pPr>
                    <w:pStyle w:val="Compact"/>
                    <w:jc w:val="center"/>
                    <w:jc w:val="center"/>
                  </w:pPr>
                  <w:r>
                    <w:t xml:space="preserve">−0.32</w:t>
                  </w:r>
                </w:p>
              </w:tc>
              <w:tc>
                <w:tcPr/>
                <w:p>
                  <w:pPr>
                    <w:pStyle w:val="Compact"/>
                    <w:jc w:val="center"/>
                    <w:jc w:val="center"/>
                  </w:pPr>
                  <w:r>
                    <w:t xml:space="preserve">8.32</w:t>
                  </w:r>
                </w:p>
              </w:tc>
            </w:tr>
            <w:tr>
              <w:tc>
                <w:tcPr/>
                <w:p>
                  <w:pPr>
                    <w:jc w:val="center"/>
                    <w:jc w:val="center"/>
                  </w:pPr>
                  <w:r>
                    <w:t xml:space="preserve">Zn</w:t>
                  </w:r>
                </w:p>
              </w:tc>
              <w:tc>
                <w:tcPr/>
                <w:p>
                  <w:pPr>
                    <w:pStyle w:val="Compact"/>
                    <w:jc w:val="center"/>
                    <w:jc w:val="center"/>
                  </w:pPr>
                  <w:r>
                    <w:t xml:space="preserve">111.46</w:t>
                  </w:r>
                </w:p>
              </w:tc>
              <w:tc>
                <w:tcPr/>
                <w:p>
                  <w:pPr>
                    <w:pStyle w:val="Compact"/>
                    <w:jc w:val="center"/>
                    <w:jc w:val="center"/>
                  </w:pPr>
                  <w:r>
                    <w:t xml:space="preserve">43.21</w:t>
                  </w:r>
                </w:p>
              </w:tc>
              <w:tc>
                <w:tcPr/>
                <w:p>
                  <w:pPr>
                    <w:pStyle w:val="Compact"/>
                    <w:jc w:val="center"/>
                    <w:jc w:val="center"/>
                  </w:pPr>
                  <w:r>
                    <w:t xml:space="preserve">317.76</w:t>
                  </w:r>
                </w:p>
              </w:tc>
              <w:tc>
                <w:tcPr/>
                <w:p>
                  <w:pPr>
                    <w:pStyle w:val="Compact"/>
                    <w:jc w:val="center"/>
                    <w:jc w:val="center"/>
                  </w:pPr>
                  <w:r>
                    <w:t xml:space="preserve">42.15</w:t>
                  </w:r>
                </w:p>
              </w:tc>
              <w:tc>
                <w:tcPr/>
                <w:p>
                  <w:pPr>
                    <w:pStyle w:val="Compact"/>
                    <w:jc w:val="center"/>
                    <w:jc w:val="center"/>
                  </w:pPr>
                  <w:r>
                    <w:t xml:space="preserve">1.11</w:t>
                  </w:r>
                </w:p>
              </w:tc>
              <w:tc>
                <w:tcPr/>
                <w:p>
                  <w:pPr>
                    <w:pStyle w:val="Compact"/>
                    <w:jc w:val="center"/>
                    <w:jc w:val="center"/>
                  </w:pPr>
                  <w:r>
                    <w:t xml:space="preserve">38.76</w:t>
                  </w:r>
                </w:p>
              </w:tc>
            </w:tr>
            <w:tr>
              <w:tc>
                <w:tcPr/>
                <w:p>
                  <w:pPr>
                    <w:jc w:val="center"/>
                    <w:jc w:val="center"/>
                  </w:pPr>
                  <w:r>
                    <w:rPr>
                      <w:i/>
                      <w:iCs/>
                    </w:rPr>
                    <w:t xml:space="preserve">h</w:t>
                  </w:r>
                  <w:r>
                    <w:t xml:space="preserve">*</w:t>
                  </w:r>
                </w:p>
              </w:tc>
              <w:tc>
                <w:tcPr/>
                <w:p>
                  <w:pPr>
                    <w:pStyle w:val="Compact"/>
                    <w:jc w:val="center"/>
                    <w:jc w:val="center"/>
                  </w:pPr>
                  <w:r>
                    <w:t xml:space="preserve">1.13</w:t>
                  </w:r>
                </w:p>
              </w:tc>
              <w:tc>
                <w:tcPr/>
                <w:p>
                  <w:pPr>
                    <w:pStyle w:val="Compact"/>
                    <w:jc w:val="center"/>
                    <w:jc w:val="center"/>
                  </w:pPr>
                  <w:r>
                    <w:t xml:space="preserve">0.04</w:t>
                  </w:r>
                </w:p>
              </w:tc>
              <w:tc>
                <w:tcPr/>
                <w:p>
                  <w:pPr>
                    <w:pStyle w:val="Compact"/>
                    <w:jc w:val="center"/>
                    <w:jc w:val="center"/>
                  </w:pPr>
                  <w:r>
                    <w:t xml:space="preserve">1.23</w:t>
                  </w:r>
                </w:p>
              </w:tc>
              <w:tc>
                <w:tcPr/>
                <w:p>
                  <w:pPr>
                    <w:pStyle w:val="Compact"/>
                    <w:jc w:val="center"/>
                    <w:jc w:val="center"/>
                  </w:pPr>
                  <w:r>
                    <w:t xml:space="preserve">1.06</w:t>
                  </w:r>
                </w:p>
              </w:tc>
              <w:tc>
                <w:tcPr/>
                <w:p>
                  <w:pPr>
                    <w:pStyle w:val="Compact"/>
                    <w:jc w:val="center"/>
                    <w:jc w:val="center"/>
                  </w:pPr>
                  <w:r>
                    <w:t xml:space="preserve">0.30</w:t>
                  </w:r>
                </w:p>
              </w:tc>
              <w:tc>
                <w:tcPr/>
                <w:p>
                  <w:pPr>
                    <w:pStyle w:val="Compact"/>
                    <w:jc w:val="center"/>
                    <w:jc w:val="center"/>
                  </w:pPr>
                  <w:r>
                    <w:t xml:space="preserve">3.38</w:t>
                  </w:r>
                </w:p>
              </w:tc>
            </w:tr>
            <w:tr>
              <w:tc>
                <w:tcPr/>
                <w:p>
                  <w:pPr>
                    <w:jc w:val="center"/>
                    <w:jc w:val="center"/>
                  </w:pPr>
                  <w:r>
                    <w:rPr>
                      <w:i/>
                      <w:iCs/>
                    </w:rPr>
                    <w:t xml:space="preserve">L</w:t>
                  </w:r>
                </w:p>
              </w:tc>
              <w:tc>
                <w:tcPr/>
                <w:p>
                  <w:pPr>
                    <w:pStyle w:val="Compact"/>
                    <w:jc w:val="center"/>
                    <w:jc w:val="center"/>
                  </w:pPr>
                  <w:r>
                    <w:t xml:space="preserve">47.25</w:t>
                  </w:r>
                </w:p>
              </w:tc>
              <w:tc>
                <w:tcPr/>
                <w:p>
                  <w:pPr>
                    <w:pStyle w:val="Compact"/>
                    <w:jc w:val="center"/>
                    <w:jc w:val="center"/>
                  </w:pPr>
                  <w:r>
                    <w:t xml:space="preserve">4.72</w:t>
                  </w:r>
                </w:p>
              </w:tc>
              <w:tc>
                <w:tcPr/>
                <w:p>
                  <w:pPr>
                    <w:pStyle w:val="Compact"/>
                    <w:jc w:val="center"/>
                    <w:jc w:val="center"/>
                  </w:pPr>
                  <w:r>
                    <w:t xml:space="preserve">59.48</w:t>
                  </w:r>
                </w:p>
              </w:tc>
              <w:tc>
                <w:tcPr/>
                <w:p>
                  <w:pPr>
                    <w:pStyle w:val="Compact"/>
                    <w:jc w:val="center"/>
                    <w:jc w:val="center"/>
                  </w:pPr>
                  <w:r>
                    <w:t xml:space="preserve">34.38</w:t>
                  </w:r>
                </w:p>
              </w:tc>
              <w:tc>
                <w:tcPr/>
                <w:p>
                  <w:pPr>
                    <w:pStyle w:val="Compact"/>
                    <w:jc w:val="center"/>
                    <w:jc w:val="center"/>
                  </w:pPr>
                  <w:r>
                    <w:t xml:space="preserve">0.10</w:t>
                  </w:r>
                </w:p>
              </w:tc>
              <w:tc>
                <w:tcPr/>
                <w:p>
                  <w:pPr>
                    <w:pStyle w:val="Compact"/>
                    <w:jc w:val="center"/>
                    <w:jc w:val="center"/>
                  </w:pPr>
                  <w:r>
                    <w:t xml:space="preserve">9.98</w:t>
                  </w:r>
                </w:p>
              </w:tc>
            </w:tr>
            <w:tr>
              <w:tc>
                <w:tcPr/>
                <w:p>
                  <w:pPr>
                    <w:jc w:val="center"/>
                    <w:jc w:val="center"/>
                  </w:pPr>
                  <w:r>
                    <w:rPr>
                      <w:i/>
                      <w:iCs/>
                    </w:rPr>
                    <w:t xml:space="preserve">v</w:t>
                  </w:r>
                  <w:r>
                    <w:t xml:space="preserve">*</w:t>
                  </w:r>
                </w:p>
              </w:tc>
              <w:tc>
                <w:tcPr/>
                <w:p>
                  <w:pPr>
                    <w:pStyle w:val="Compact"/>
                    <w:jc w:val="center"/>
                    <w:jc w:val="center"/>
                  </w:pPr>
                  <w:r>
                    <w:t xml:space="preserve">4.78</w:t>
                  </w:r>
                </w:p>
              </w:tc>
              <w:tc>
                <w:tcPr/>
                <w:p>
                  <w:pPr>
                    <w:pStyle w:val="Compact"/>
                    <w:jc w:val="center"/>
                    <w:jc w:val="center"/>
                  </w:pPr>
                  <w:r>
                    <w:t xml:space="preserve">0.73</w:t>
                  </w:r>
                </w:p>
              </w:tc>
              <w:tc>
                <w:tcPr/>
                <w:p>
                  <w:pPr>
                    <w:pStyle w:val="Compact"/>
                    <w:jc w:val="center"/>
                    <w:jc w:val="center"/>
                  </w:pPr>
                  <w:r>
                    <w:t xml:space="preserve">6.62</w:t>
                  </w:r>
                </w:p>
              </w:tc>
              <w:tc>
                <w:tcPr/>
                <w:p>
                  <w:pPr>
                    <w:pStyle w:val="Compact"/>
                    <w:jc w:val="center"/>
                    <w:jc w:val="center"/>
                  </w:pPr>
                  <w:r>
                    <w:t xml:space="preserve">2.77</w:t>
                  </w:r>
                </w:p>
              </w:tc>
              <w:tc>
                <w:tcPr/>
                <w:p>
                  <w:pPr>
                    <w:pStyle w:val="Compact"/>
                    <w:jc w:val="center"/>
                    <w:jc w:val="center"/>
                  </w:pPr>
                  <w:r>
                    <w:t xml:space="preserve">0.28</w:t>
                  </w:r>
                </w:p>
              </w:tc>
              <w:tc>
                <w:tcPr/>
                <w:p>
                  <w:pPr>
                    <w:pStyle w:val="Compact"/>
                    <w:jc w:val="center"/>
                    <w:jc w:val="center"/>
                  </w:pPr>
                  <w:r>
                    <w:t xml:space="preserve">15.28</w:t>
                  </w:r>
                </w:p>
              </w:tc>
            </w:tr>
            <w:tr>
              <w:tc>
                <w:tcPr/>
                <w:p>
                  <w:pPr>
                    <w:jc w:val="center"/>
                    <w:jc w:val="center"/>
                  </w:pPr>
                  <w:r>
                    <w:t xml:space="preserve">SSA</w:t>
                  </w:r>
                </w:p>
              </w:tc>
              <w:tc>
                <w:tcPr/>
                <w:p>
                  <w:pPr>
                    <w:pStyle w:val="Compact"/>
                    <w:jc w:val="center"/>
                    <w:jc w:val="center"/>
                  </w:pPr>
                  <w:r>
                    <w:t xml:space="preserve">760.40</w:t>
                  </w:r>
                </w:p>
              </w:tc>
              <w:tc>
                <w:tcPr/>
                <w:p>
                  <w:pPr>
                    <w:pStyle w:val="Compact"/>
                    <w:jc w:val="center"/>
                    <w:jc w:val="center"/>
                  </w:pPr>
                  <w:r>
                    <w:t xml:space="preserve">120.58</w:t>
                  </w:r>
                </w:p>
              </w:tc>
              <w:tc>
                <w:tcPr/>
                <w:p>
                  <w:pPr>
                    <w:pStyle w:val="Compact"/>
                    <w:jc w:val="center"/>
                    <w:jc w:val="center"/>
                  </w:pPr>
                  <w:r>
                    <w:t xml:space="preserve">1,102.95</w:t>
                  </w:r>
                </w:p>
              </w:tc>
              <w:tc>
                <w:tcPr/>
                <w:p>
                  <w:pPr>
                    <w:pStyle w:val="Compact"/>
                    <w:jc w:val="center"/>
                    <w:jc w:val="center"/>
                  </w:pPr>
                  <w:r>
                    <w:t xml:space="preserve">483.70</w:t>
                  </w:r>
                </w:p>
              </w:tc>
              <w:tc>
                <w:tcPr/>
                <w:p>
                  <w:pPr>
                    <w:pStyle w:val="Compact"/>
                    <w:jc w:val="center"/>
                    <w:jc w:val="center"/>
                  </w:pPr>
                  <w:r>
                    <w:t xml:space="preserve">0.12</w:t>
                  </w:r>
                </w:p>
              </w:tc>
              <w:tc>
                <w:tcPr/>
                <w:p>
                  <w:pPr>
                    <w:pStyle w:val="Compact"/>
                    <w:jc w:val="center"/>
                    <w:jc w:val="center"/>
                  </w:pPr>
                  <w:r>
                    <w:t xml:space="preserve">15.86</w:t>
                  </w:r>
                </w:p>
              </w:tc>
            </w:tr>
            <w:tr>
              <w:tc>
                <w:tcPr/>
                <w:p>
                  <w:pPr>
                    <w:jc w:val="center"/>
                    <w:jc w:val="center"/>
                  </w:pPr>
                  <w:r>
                    <w:t xml:space="preserve">Org</w:t>
                  </w:r>
                </w:p>
              </w:tc>
              <w:tc>
                <w:tcPr/>
                <w:p>
                  <w:pPr>
                    <w:pStyle w:val="Compact"/>
                    <w:jc w:val="center"/>
                    <w:jc w:val="center"/>
                  </w:pPr>
                  <w:r>
                    <w:t xml:space="preserve">11.53</w:t>
                  </w:r>
                </w:p>
              </w:tc>
              <w:tc>
                <w:tcPr/>
                <w:p>
                  <w:pPr>
                    <w:pStyle w:val="Compact"/>
                    <w:jc w:val="center"/>
                    <w:jc w:val="center"/>
                  </w:pPr>
                  <w:r>
                    <w:t xml:space="preserve">1.97</w:t>
                  </w:r>
                </w:p>
              </w:tc>
              <w:tc>
                <w:tcPr/>
                <w:p>
                  <w:pPr>
                    <w:pStyle w:val="Compact"/>
                    <w:jc w:val="center"/>
                    <w:jc w:val="center"/>
                  </w:pPr>
                  <w:r>
                    <w:t xml:space="preserve">16.13</w:t>
                  </w:r>
                </w:p>
              </w:tc>
              <w:tc>
                <w:tcPr/>
                <w:p>
                  <w:pPr>
                    <w:pStyle w:val="Compact"/>
                    <w:jc w:val="center"/>
                    <w:jc w:val="center"/>
                  </w:pPr>
                  <w:r>
                    <w:t xml:space="preserve">7.37</w:t>
                  </w:r>
                </w:p>
              </w:tc>
              <w:tc>
                <w:tcPr/>
                <w:p>
                  <w:pPr>
                    <w:pStyle w:val="Compact"/>
                    <w:jc w:val="center"/>
                    <w:jc w:val="center"/>
                  </w:pPr>
                  <w:r>
                    <w:t xml:space="preserve">−0.12</w:t>
                  </w:r>
                </w:p>
              </w:tc>
              <w:tc>
                <w:tcPr/>
                <w:p>
                  <w:pPr>
                    <w:pStyle w:val="Compact"/>
                    <w:jc w:val="center"/>
                    <w:jc w:val="center"/>
                  </w:pPr>
                  <w:r>
                    <w:t xml:space="preserve">17.10</w:t>
                  </w:r>
                </w:p>
              </w:tc>
            </w:tr>
            <w:tr>
              <w:tc>
                <w:tcPr/>
                <w:p>
                  <w:pPr>
                    <w:jc w:val="center"/>
                    <w:jc w:val="center"/>
                  </w:pPr>
                  <w:r>
                    <w:t xml:space="preserve">Elevation</w:t>
                  </w:r>
                </w:p>
              </w:tc>
              <w:tc>
                <w:tcPr/>
                <w:p>
                  <w:pPr>
                    <w:pStyle w:val="Compact"/>
                    <w:jc w:val="center"/>
                    <w:jc w:val="center"/>
                  </w:pPr>
                  <w:r>
                    <w:t xml:space="preserve">369.28</w:t>
                  </w:r>
                </w:p>
              </w:tc>
              <w:tc>
                <w:tcPr/>
                <w:p>
                  <w:pPr>
                    <w:pStyle w:val="Compact"/>
                    <w:jc w:val="center"/>
                    <w:jc w:val="center"/>
                  </w:pPr>
                  <w:r>
                    <w:t xml:space="preserve">3.34</w:t>
                  </w:r>
                </w:p>
              </w:tc>
              <w:tc>
                <w:tcPr/>
                <w:p>
                  <w:pPr>
                    <w:pStyle w:val="Compact"/>
                    <w:jc w:val="center"/>
                    <w:jc w:val="center"/>
                  </w:pPr>
                  <w:r>
                    <w:t xml:space="preserve">377.24</w:t>
                  </w:r>
                </w:p>
              </w:tc>
              <w:tc>
                <w:tcPr/>
                <w:p>
                  <w:pPr>
                    <w:pStyle w:val="Compact"/>
                    <w:jc w:val="center"/>
                    <w:jc w:val="center"/>
                  </w:pPr>
                  <w:r>
                    <w:t xml:space="preserve">358.29</w:t>
                  </w:r>
                </w:p>
              </w:tc>
              <w:tc>
                <w:tcPr/>
                <w:p>
                  <w:pPr>
                    <w:pStyle w:val="Compact"/>
                    <w:jc w:val="center"/>
                    <w:jc w:val="center"/>
                  </w:pPr>
                  <w:r>
                    <w:t xml:space="preserve">−0.21</w:t>
                  </w:r>
                </w:p>
              </w:tc>
              <w:tc>
                <w:tcPr/>
                <w:p>
                  <w:pPr>
                    <w:pStyle w:val="Compact"/>
                    <w:jc w:val="center"/>
                    <w:jc w:val="center"/>
                  </w:pPr>
                  <w:r>
                    <w:t xml:space="preserve">0.90</w:t>
                  </w:r>
                </w:p>
              </w:tc>
            </w:tr>
            <w:tr>
              <w:tc>
                <w:tcPr/>
                <w:p>
                  <w:pPr>
                    <w:jc w:val="center"/>
                    <w:jc w:val="center"/>
                  </w:pPr>
                  <w:r>
                    <w:t xml:space="preserve">Rel. Slope Position</w:t>
                  </w:r>
                </w:p>
              </w:tc>
              <w:tc>
                <w:tcPr/>
                <w:p>
                  <w:pPr>
                    <w:pStyle w:val="Compact"/>
                    <w:jc w:val="center"/>
                    <w:jc w:val="center"/>
                  </w:pPr>
                  <w:r>
                    <w:t xml:space="preserve">0.22</w:t>
                  </w:r>
                </w:p>
              </w:tc>
              <w:tc>
                <w:tcPr/>
                <w:p>
                  <w:pPr>
                    <w:pStyle w:val="Compact"/>
                    <w:jc w:val="center"/>
                    <w:jc w:val="center"/>
                  </w:pPr>
                  <w:r>
                    <w:t xml:space="preserve">0.26</w:t>
                  </w:r>
                </w:p>
              </w:tc>
              <w:tc>
                <w:tcPr/>
                <w:p>
                  <w:pPr>
                    <w:pStyle w:val="Compact"/>
                    <w:jc w:val="center"/>
                    <w:jc w:val="center"/>
                  </w:pPr>
                  <w:r>
                    <w:t xml:space="preserve">1.00</w:t>
                  </w:r>
                </w:p>
              </w:tc>
              <w:tc>
                <w:tcPr/>
                <w:p>
                  <w:pPr>
                    <w:pStyle w:val="Compact"/>
                    <w:jc w:val="center"/>
                    <w:jc w:val="center"/>
                  </w:pPr>
                  <w:r>
                    <w:t xml:space="preserve">−0.12</w:t>
                  </w:r>
                </w:p>
              </w:tc>
              <w:tc>
                <w:tcPr/>
                <w:p>
                  <w:pPr>
                    <w:pStyle w:val="Compact"/>
                    <w:jc w:val="center"/>
                    <w:jc w:val="center"/>
                  </w:pPr>
                  <w:r>
                    <w:t xml:space="preserve">1.55</w:t>
                  </w:r>
                </w:p>
              </w:tc>
              <w:tc>
                <w:tcPr/>
                <w:p>
                  <w:pPr>
                    <w:pStyle w:val="Compact"/>
                    <w:jc w:val="center"/>
                    <w:jc w:val="center"/>
                  </w:pPr>
                  <w:r>
                    <w:t xml:space="preserve">116.75</w:t>
                  </w:r>
                </w:p>
              </w:tc>
            </w:tr>
            <w:tr>
              <w:tc>
                <w:tcPr/>
                <w:p>
                  <w:pPr>
                    <w:jc w:val="center"/>
                    <w:jc w:val="center"/>
                  </w:pPr>
                  <w:r>
                    <w:t xml:space="preserve">Vert. Dist. Channel</w:t>
                  </w:r>
                </w:p>
              </w:tc>
              <w:tc>
                <w:tcPr/>
                <w:p>
                  <w:pPr>
                    <w:pStyle w:val="Compact"/>
                    <w:jc w:val="center"/>
                    <w:jc w:val="center"/>
                  </w:pPr>
                  <w:r>
                    <w:t xml:space="preserve">0.47</w:t>
                  </w:r>
                </w:p>
              </w:tc>
              <w:tc>
                <w:tcPr/>
                <w:p>
                  <w:pPr>
                    <w:pStyle w:val="Compact"/>
                    <w:jc w:val="center"/>
                    <w:jc w:val="center"/>
                  </w:pPr>
                  <w:r>
                    <w:t xml:space="preserve">0.57</w:t>
                  </w:r>
                </w:p>
              </w:tc>
              <w:tc>
                <w:tcPr/>
                <w:p>
                  <w:pPr>
                    <w:pStyle w:val="Compact"/>
                    <w:jc w:val="center"/>
                    <w:jc w:val="center"/>
                  </w:pPr>
                  <w:r>
                    <w:t xml:space="preserve">4.90</w:t>
                  </w:r>
                </w:p>
              </w:tc>
              <w:tc>
                <w:tcPr/>
                <w:p>
                  <w:pPr>
                    <w:pStyle w:val="Compact"/>
                    <w:jc w:val="center"/>
                    <w:jc w:val="center"/>
                  </w:pPr>
                  <w:r>
                    <w:t xml:space="preserve">−0.67</w:t>
                  </w:r>
                </w:p>
              </w:tc>
              <w:tc>
                <w:tcPr/>
                <w:p>
                  <w:pPr>
                    <w:pStyle w:val="Compact"/>
                    <w:jc w:val="center"/>
                    <w:jc w:val="center"/>
                  </w:pPr>
                  <w:r>
                    <w:t xml:space="preserve">2.75</w:t>
                  </w:r>
                </w:p>
              </w:tc>
              <w:tc>
                <w:tcPr/>
                <w:p>
                  <w:pPr>
                    <w:pStyle w:val="Compact"/>
                    <w:jc w:val="center"/>
                    <w:jc w:val="center"/>
                  </w:pPr>
                  <w:r>
                    <w:t xml:space="preserve">122.69</w:t>
                  </w:r>
                </w:p>
              </w:tc>
            </w:tr>
            <w:tr>
              <w:tc>
                <w:tcPr/>
                <w:p>
                  <w:pPr>
                    <w:jc w:val="center"/>
                    <w:jc w:val="center"/>
                  </w:pPr>
                  <w:r>
                    <w:t xml:space="preserve">SAGA Wetness Index</w:t>
                  </w:r>
                </w:p>
              </w:tc>
              <w:tc>
                <w:tcPr/>
                <w:p>
                  <w:pPr>
                    <w:pStyle w:val="Compact"/>
                    <w:jc w:val="center"/>
                    <w:jc w:val="center"/>
                  </w:pPr>
                  <w:r>
                    <w:t xml:space="preserve">6.00</w:t>
                  </w:r>
                </w:p>
              </w:tc>
              <w:tc>
                <w:tcPr/>
                <w:p>
                  <w:pPr>
                    <w:pStyle w:val="Compact"/>
                    <w:jc w:val="center"/>
                    <w:jc w:val="center"/>
                  </w:pPr>
                  <w:r>
                    <w:t xml:space="preserve">1.26</w:t>
                  </w:r>
                </w:p>
              </w:tc>
              <w:tc>
                <w:tcPr/>
                <w:p>
                  <w:pPr>
                    <w:pStyle w:val="Compact"/>
                    <w:jc w:val="center"/>
                    <w:jc w:val="center"/>
                  </w:pPr>
                  <w:r>
                    <w:t xml:space="preserve">9.96</w:t>
                  </w:r>
                </w:p>
              </w:tc>
              <w:tc>
                <w:tcPr/>
                <w:p>
                  <w:pPr>
                    <w:pStyle w:val="Compact"/>
                    <w:jc w:val="center"/>
                    <w:jc w:val="center"/>
                  </w:pPr>
                  <w:r>
                    <w:t xml:space="preserve">0.09</w:t>
                  </w:r>
                </w:p>
              </w:tc>
              <w:tc>
                <w:tcPr/>
                <w:p>
                  <w:pPr>
                    <w:pStyle w:val="Compact"/>
                    <w:jc w:val="center"/>
                    <w:jc w:val="center"/>
                  </w:pPr>
                  <w:r>
                    <w:t xml:space="preserve">−0.86</w:t>
                  </w:r>
                </w:p>
              </w:tc>
              <w:tc>
                <w:tcPr/>
                <w:p>
                  <w:pPr>
                    <w:pStyle w:val="Compact"/>
                    <w:jc w:val="center"/>
                    <w:jc w:val="center"/>
                  </w:pPr>
                  <w:r>
                    <w:t xml:space="preserve">20.92</w:t>
                  </w:r>
                </w:p>
              </w:tc>
            </w:tr>
            <w:tr>
              <w:tc>
                <w:tcPr/>
                <w:p>
                  <w:pPr>
                    <w:jc w:val="center"/>
                    <w:jc w:val="center"/>
                  </w:pPr>
                  <w:r>
                    <w:t xml:space="preserve">Catchment Area</w:t>
                  </w:r>
                </w:p>
              </w:tc>
              <w:tc>
                <w:tcPr/>
                <w:p>
                  <w:pPr>
                    <w:pStyle w:val="Compact"/>
                    <w:jc w:val="center"/>
                    <w:jc w:val="center"/>
                  </w:pPr>
                  <w:r>
                    <w:t xml:space="preserve">565.06</w:t>
                  </w:r>
                </w:p>
              </w:tc>
              <w:tc>
                <w:tcPr/>
                <w:p>
                  <w:pPr>
                    <w:pStyle w:val="Compact"/>
                    <w:jc w:val="center"/>
                    <w:jc w:val="center"/>
                  </w:pPr>
                  <w:r>
                    <w:t xml:space="preserve">5,109.73</w:t>
                  </w:r>
                </w:p>
              </w:tc>
              <w:tc>
                <w:tcPr/>
                <w:p>
                  <w:pPr>
                    <w:pStyle w:val="Compact"/>
                    <w:jc w:val="center"/>
                    <w:jc w:val="center"/>
                  </w:pPr>
                  <w:r>
                    <w:t xml:space="preserve">209,263.22</w:t>
                  </w:r>
                </w:p>
              </w:tc>
              <w:tc>
                <w:tcPr/>
                <w:p>
                  <w:pPr>
                    <w:pStyle w:val="Compact"/>
                    <w:jc w:val="center"/>
                    <w:jc w:val="center"/>
                  </w:pPr>
                  <w:r>
                    <w:t xml:space="preserve">0.67</w:t>
                  </w:r>
                </w:p>
              </w:tc>
              <w:tc>
                <w:tcPr/>
                <w:p>
                  <w:pPr>
                    <w:pStyle w:val="Compact"/>
                    <w:jc w:val="center"/>
                    <w:jc w:val="center"/>
                  </w:pPr>
                  <w:r>
                    <w:t xml:space="preserve">17.83</w:t>
                  </w:r>
                </w:p>
              </w:tc>
              <w:tc>
                <w:tcPr/>
                <w:p>
                  <w:pPr>
                    <w:pStyle w:val="Compact"/>
                    <w:jc w:val="center"/>
                    <w:jc w:val="center"/>
                  </w:pPr>
                  <w:r>
                    <w:t xml:space="preserve">904.28</w:t>
                  </w:r>
                </w:p>
              </w:tc>
            </w:tr>
            <w:tr>
              <w:tc>
                <w:tcPr/>
                <w:p>
                  <w:pPr>
                    <w:jc w:val="center"/>
                    <w:jc w:val="center"/>
                  </w:pPr>
                  <w:r>
                    <w:t xml:space="preserve">Profile Curvature</w:t>
                  </w:r>
                </w:p>
              </w:tc>
              <w:tc>
                <w:tcPr/>
                <w:p>
                  <w:pPr>
                    <w:pStyle w:val="Compact"/>
                    <w:jc w:val="center"/>
                    <w:jc w:val="center"/>
                  </w:pPr>
                  <w:r>
                    <w:t xml:space="preserve">0.00</w:t>
                  </w:r>
                </w:p>
              </w:tc>
              <w:tc>
                <w:tcPr/>
                <w:p>
                  <w:pPr>
                    <w:pStyle w:val="Compact"/>
                    <w:jc w:val="center"/>
                    <w:jc w:val="center"/>
                  </w:pPr>
                  <w:r>
                    <w:t xml:space="preserve">0.03</w:t>
                  </w:r>
                </w:p>
              </w:tc>
              <w:tc>
                <w:tcPr/>
                <w:p>
                  <w:pPr>
                    <w:pStyle w:val="Compact"/>
                    <w:jc w:val="center"/>
                    <w:jc w:val="center"/>
                  </w:pPr>
                  <w:r>
                    <w:t xml:space="preserve">0.45</w:t>
                  </w:r>
                </w:p>
              </w:tc>
              <w:tc>
                <w:tcPr/>
                <w:p>
                  <w:pPr>
                    <w:pStyle w:val="Compact"/>
                    <w:jc w:val="center"/>
                    <w:jc w:val="center"/>
                  </w:pPr>
                  <w:r>
                    <w:t xml:space="preserve">−0.47</w:t>
                  </w:r>
                </w:p>
              </w:tc>
              <w:tc>
                <w:tcPr/>
                <w:p>
                  <w:pPr>
                    <w:pStyle w:val="Compact"/>
                    <w:jc w:val="center"/>
                    <w:jc w:val="center"/>
                  </w:pPr>
                  <w:r>
                    <w:t xml:space="preserve">−0.34</w:t>
                  </w:r>
                </w:p>
              </w:tc>
              <w:tc>
                <w:tcPr/>
                <w:p>
                  <w:pPr>
                    <w:pStyle w:val="Compact"/>
                    <w:jc w:val="center"/>
                    <w:jc w:val="center"/>
                  </w:pPr>
                  <w:r>
                    <w:t xml:space="preserve">−15,245.25</w:t>
                  </w:r>
                </w:p>
              </w:tc>
            </w:tr>
            <w:tr>
              <w:tc>
                <w:tcPr/>
                <w:p>
                  <w:pPr>
                    <w:jc w:val="center"/>
                    <w:jc w:val="center"/>
                  </w:pPr>
                  <w:r>
                    <w:t xml:space="preserve">Plan Curvature</w:t>
                  </w:r>
                </w:p>
              </w:tc>
              <w:tc>
                <w:tcPr/>
                <w:p>
                  <w:pPr>
                    <w:pStyle w:val="Compact"/>
                    <w:jc w:val="center"/>
                    <w:jc w:val="center"/>
                  </w:pPr>
                  <w:r>
                    <w:t xml:space="preserve">0.00</w:t>
                  </w:r>
                </w:p>
              </w:tc>
              <w:tc>
                <w:tcPr/>
                <w:p>
                  <w:pPr>
                    <w:pStyle w:val="Compact"/>
                    <w:jc w:val="center"/>
                    <w:jc w:val="center"/>
                  </w:pPr>
                  <w:r>
                    <w:t xml:space="preserve">0.01</w:t>
                  </w:r>
                </w:p>
              </w:tc>
              <w:tc>
                <w:tcPr/>
                <w:p>
                  <w:pPr>
                    <w:pStyle w:val="Compact"/>
                    <w:jc w:val="center"/>
                    <w:jc w:val="center"/>
                  </w:pPr>
                  <w:r>
                    <w:t xml:space="preserve">0.30</w:t>
                  </w:r>
                </w:p>
              </w:tc>
              <w:tc>
                <w:tcPr/>
                <w:p>
                  <w:pPr>
                    <w:pStyle w:val="Compact"/>
                    <w:jc w:val="center"/>
                    <w:jc w:val="center"/>
                  </w:pPr>
                  <w:r>
                    <w:t xml:space="preserve">−0.26</w:t>
                  </w:r>
                </w:p>
              </w:tc>
              <w:tc>
                <w:tcPr/>
                <w:p>
                  <w:pPr>
                    <w:pStyle w:val="Compact"/>
                    <w:jc w:val="center"/>
                    <w:jc w:val="center"/>
                  </w:pPr>
                  <w:r>
                    <w:t xml:space="preserve">0.56</w:t>
                  </w:r>
                </w:p>
              </w:tc>
              <w:tc>
                <w:tcPr/>
                <w:p>
                  <w:pPr>
                    <w:pStyle w:val="Compact"/>
                    <w:jc w:val="center"/>
                    <w:jc w:val="center"/>
                  </w:pPr>
                  <w:r>
                    <w:t xml:space="preserve">3,382.34</w:t>
                  </w:r>
                </w:p>
              </w:tc>
            </w:tr>
            <w:tr>
              <w:tc>
                <w:tcPr>
                  <w:gridSpan w:val="7"/>
                </w:tcPr>
                <w:p>
                  <w:pPr>
                    <w:pStyle w:val="Compact"/>
                    <w:jc w:val="center"/>
                    <w:jc w:val="center"/>
                  </w:pPr>
                  <w:r>
                    <w:t xml:space="preserve">Agriculture</w:t>
                  </w:r>
                </w:p>
              </w:tc>
            </w:tr>
            <w:tr>
              <w:tc>
                <w:tcPr/>
                <w:p>
                  <w:pPr>
                    <w:jc w:val="center"/>
                    <w:jc w:val="center"/>
                  </w:pPr>
                  <w:r>
                    <w:t xml:space="preserve">Ca</w:t>
                  </w:r>
                </w:p>
              </w:tc>
              <w:tc>
                <w:tcPr/>
                <w:p>
                  <w:pPr>
                    <w:pStyle w:val="Compact"/>
                    <w:jc w:val="center"/>
                    <w:jc w:val="center"/>
                  </w:pPr>
                  <w:r>
                    <w:t xml:space="preserve">4.10</w:t>
                  </w:r>
                </w:p>
              </w:tc>
              <w:tc>
                <w:tcPr/>
                <w:p>
                  <w:pPr>
                    <w:pStyle w:val="Compact"/>
                    <w:jc w:val="center"/>
                    <w:jc w:val="center"/>
                  </w:pPr>
                  <w:r>
                    <w:t xml:space="preserve">2.09</w:t>
                  </w:r>
                </w:p>
              </w:tc>
              <w:tc>
                <w:tcPr/>
                <w:p>
                  <w:pPr>
                    <w:pStyle w:val="Compact"/>
                    <w:jc w:val="center"/>
                    <w:jc w:val="center"/>
                  </w:pPr>
                  <w:r>
                    <w:t xml:space="preserve">9.11</w:t>
                  </w:r>
                </w:p>
              </w:tc>
              <w:tc>
                <w:tcPr/>
                <w:p>
                  <w:pPr>
                    <w:pStyle w:val="Compact"/>
                    <w:jc w:val="center"/>
                    <w:jc w:val="center"/>
                  </w:pPr>
                  <w:r>
                    <w:t xml:space="preserve">1.03</w:t>
                  </w:r>
                </w:p>
              </w:tc>
              <w:tc>
                <w:tcPr/>
                <w:p>
                  <w:pPr>
                    <w:pStyle w:val="Compact"/>
                    <w:jc w:val="center"/>
                    <w:jc w:val="center"/>
                  </w:pPr>
                  <w:r>
                    <w:t xml:space="preserve">0.09</w:t>
                  </w:r>
                </w:p>
              </w:tc>
              <w:tc>
                <w:tcPr/>
                <w:p>
                  <w:pPr>
                    <w:pStyle w:val="Compact"/>
                    <w:jc w:val="center"/>
                    <w:jc w:val="center"/>
                  </w:pPr>
                  <w:r>
                    <w:t xml:space="preserve">51.01</w:t>
                  </w:r>
                </w:p>
              </w:tc>
            </w:tr>
            <w:tr>
              <w:tc>
                <w:tcPr/>
                <w:p>
                  <w:pPr>
                    <w:jc w:val="center"/>
                    <w:jc w:val="center"/>
                  </w:pPr>
                  <w:r>
                    <w:t xml:space="preserve">Mo</w:t>
                  </w:r>
                </w:p>
              </w:tc>
              <w:tc>
                <w:tcPr/>
                <w:p>
                  <w:pPr>
                    <w:pStyle w:val="Compact"/>
                    <w:jc w:val="center"/>
                    <w:jc w:val="center"/>
                  </w:pPr>
                  <w:r>
                    <w:t xml:space="preserve">0.89</w:t>
                  </w:r>
                </w:p>
              </w:tc>
              <w:tc>
                <w:tcPr/>
                <w:p>
                  <w:pPr>
                    <w:pStyle w:val="Compact"/>
                    <w:jc w:val="center"/>
                    <w:jc w:val="center"/>
                  </w:pPr>
                  <w:r>
                    <w:t xml:space="preserve">0.31</w:t>
                  </w:r>
                </w:p>
              </w:tc>
              <w:tc>
                <w:tcPr/>
                <w:p>
                  <w:pPr>
                    <w:pStyle w:val="Compact"/>
                    <w:jc w:val="center"/>
                    <w:jc w:val="center"/>
                  </w:pPr>
                  <w:r>
                    <w:t xml:space="preserve">1.96</w:t>
                  </w:r>
                </w:p>
              </w:tc>
              <w:tc>
                <w:tcPr/>
                <w:p>
                  <w:pPr>
                    <w:pStyle w:val="Compact"/>
                    <w:jc w:val="center"/>
                    <w:jc w:val="center"/>
                  </w:pPr>
                  <w:r>
                    <w:t xml:space="preserve">0.51</w:t>
                  </w:r>
                </w:p>
              </w:tc>
              <w:tc>
                <w:tcPr/>
                <w:p>
                  <w:pPr>
                    <w:pStyle w:val="Compact"/>
                    <w:jc w:val="center"/>
                    <w:jc w:val="center"/>
                  </w:pPr>
                  <w:r>
                    <w:t xml:space="preserve">0.76</w:t>
                  </w:r>
                </w:p>
              </w:tc>
              <w:tc>
                <w:tcPr/>
                <w:p>
                  <w:pPr>
                    <w:pStyle w:val="Compact"/>
                    <w:jc w:val="center"/>
                    <w:jc w:val="center"/>
                  </w:pPr>
                  <w:r>
                    <w:t xml:space="preserve">35.03</w:t>
                  </w:r>
                </w:p>
              </w:tc>
            </w:tr>
            <w:tr>
              <w:tc>
                <w:tcPr/>
                <w:p>
                  <w:pPr>
                    <w:jc w:val="center"/>
                    <w:jc w:val="center"/>
                  </w:pPr>
                  <w:r>
                    <w:t xml:space="preserve">U</w:t>
                  </w:r>
                </w:p>
              </w:tc>
              <w:tc>
                <w:tcPr/>
                <w:p>
                  <w:pPr>
                    <w:pStyle w:val="Compact"/>
                    <w:jc w:val="center"/>
                    <w:jc w:val="center"/>
                  </w:pPr>
                  <w:r>
                    <w:t xml:space="preserve">1.46</w:t>
                  </w:r>
                </w:p>
              </w:tc>
              <w:tc>
                <w:tcPr/>
                <w:p>
                  <w:pPr>
                    <w:pStyle w:val="Compact"/>
                    <w:jc w:val="center"/>
                    <w:jc w:val="center"/>
                  </w:pPr>
                  <w:r>
                    <w:t xml:space="preserve">0.14</w:t>
                  </w:r>
                </w:p>
              </w:tc>
              <w:tc>
                <w:tcPr/>
                <w:p>
                  <w:pPr>
                    <w:pStyle w:val="Compact"/>
                    <w:jc w:val="center"/>
                    <w:jc w:val="center"/>
                  </w:pPr>
                  <w:r>
                    <w:t xml:space="preserve">1.81</w:t>
                  </w:r>
                </w:p>
              </w:tc>
              <w:tc>
                <w:tcPr/>
                <w:p>
                  <w:pPr>
                    <w:pStyle w:val="Compact"/>
                    <w:jc w:val="center"/>
                    <w:jc w:val="center"/>
                  </w:pPr>
                  <w:r>
                    <w:t xml:space="preserve">1.24</w:t>
                  </w:r>
                </w:p>
              </w:tc>
              <w:tc>
                <w:tcPr/>
                <w:p>
                  <w:pPr>
                    <w:pStyle w:val="Compact"/>
                    <w:jc w:val="center"/>
                    <w:jc w:val="center"/>
                  </w:pPr>
                  <w:r>
                    <w:t xml:space="preserve">0.25</w:t>
                  </w:r>
                </w:p>
              </w:tc>
              <w:tc>
                <w:tcPr/>
                <w:p>
                  <w:pPr>
                    <w:pStyle w:val="Compact"/>
                    <w:jc w:val="center"/>
                    <w:jc w:val="center"/>
                  </w:pPr>
                  <w:r>
                    <w:t xml:space="preserve">9.24</w:t>
                  </w:r>
                </w:p>
              </w:tc>
            </w:tr>
            <w:tr>
              <w:tc>
                <w:tcPr/>
                <w:p>
                  <w:pPr>
                    <w:jc w:val="center"/>
                    <w:jc w:val="center"/>
                  </w:pPr>
                  <w:r>
                    <w:rPr>
                      <w:i/>
                      <w:iCs/>
                    </w:rPr>
                    <w:t xml:space="preserve">a</w:t>
                  </w:r>
                  <w:r>
                    <w:t xml:space="preserve">*</w:t>
                  </w:r>
                </w:p>
              </w:tc>
              <w:tc>
                <w:tcPr/>
                <w:p>
                  <w:pPr>
                    <w:pStyle w:val="Compact"/>
                    <w:jc w:val="center"/>
                    <w:jc w:val="center"/>
                  </w:pPr>
                  <w:r>
                    <w:t xml:space="preserve">3.34</w:t>
                  </w:r>
                </w:p>
              </w:tc>
              <w:tc>
                <w:tcPr/>
                <w:p>
                  <w:pPr>
                    <w:pStyle w:val="Compact"/>
                    <w:jc w:val="center"/>
                    <w:jc w:val="center"/>
                  </w:pPr>
                  <w:r>
                    <w:t xml:space="preserve">0.22</w:t>
                  </w:r>
                </w:p>
              </w:tc>
              <w:tc>
                <w:tcPr/>
                <w:p>
                  <w:pPr>
                    <w:pStyle w:val="Compact"/>
                    <w:jc w:val="center"/>
                    <w:jc w:val="center"/>
                  </w:pPr>
                  <w:r>
                    <w:t xml:space="preserve">3.93</w:t>
                  </w:r>
                </w:p>
              </w:tc>
              <w:tc>
                <w:tcPr/>
                <w:p>
                  <w:pPr>
                    <w:pStyle w:val="Compact"/>
                    <w:jc w:val="center"/>
                    <w:jc w:val="center"/>
                  </w:pPr>
                  <w:r>
                    <w:t xml:space="preserve">2.77</w:t>
                  </w:r>
                </w:p>
              </w:tc>
              <w:tc>
                <w:tcPr/>
                <w:p>
                  <w:pPr>
                    <w:pStyle w:val="Compact"/>
                    <w:jc w:val="center"/>
                    <w:jc w:val="center"/>
                  </w:pPr>
                  <w:r>
                    <w:t xml:space="preserve">0.03</w:t>
                  </w:r>
                </w:p>
              </w:tc>
              <w:tc>
                <w:tcPr/>
                <w:p>
                  <w:pPr>
                    <w:pStyle w:val="Compact"/>
                    <w:jc w:val="center"/>
                    <w:jc w:val="center"/>
                  </w:pPr>
                  <w:r>
                    <w:t xml:space="preserve">6.60</w:t>
                  </w:r>
                </w:p>
              </w:tc>
            </w:tr>
            <w:tr>
              <w:tc>
                <w:tcPr/>
                <w:p>
                  <w:pPr>
                    <w:jc w:val="center"/>
                    <w:jc w:val="center"/>
                  </w:pPr>
                  <w:r>
                    <w:rPr>
                      <w:i/>
                      <w:iCs/>
                    </w:rPr>
                    <w:t xml:space="preserve">c</w:t>
                  </w:r>
                  <w:r>
                    <w:t xml:space="preserve">*</w:t>
                  </w:r>
                </w:p>
              </w:tc>
              <w:tc>
                <w:tcPr/>
                <w:p>
                  <w:pPr>
                    <w:pStyle w:val="Compact"/>
                    <w:jc w:val="center"/>
                    <w:jc w:val="center"/>
                  </w:pPr>
                  <w:r>
                    <w:t xml:space="preserve">9.35</w:t>
                  </w:r>
                </w:p>
              </w:tc>
              <w:tc>
                <w:tcPr/>
                <w:p>
                  <w:pPr>
                    <w:pStyle w:val="Compact"/>
                    <w:jc w:val="center"/>
                    <w:jc w:val="center"/>
                  </w:pPr>
                  <w:r>
                    <w:t xml:space="preserve">0.76</w:t>
                  </w:r>
                </w:p>
              </w:tc>
              <w:tc>
                <w:tcPr/>
                <w:p>
                  <w:pPr>
                    <w:pStyle w:val="Compact"/>
                    <w:jc w:val="center"/>
                    <w:jc w:val="center"/>
                  </w:pPr>
                  <w:r>
                    <w:t xml:space="preserve">11.08</w:t>
                  </w:r>
                </w:p>
              </w:tc>
              <w:tc>
                <w:tcPr/>
                <w:p>
                  <w:pPr>
                    <w:pStyle w:val="Compact"/>
                    <w:jc w:val="center"/>
                    <w:jc w:val="center"/>
                  </w:pPr>
                  <w:r>
                    <w:t xml:space="preserve">7.39</w:t>
                  </w:r>
                </w:p>
              </w:tc>
              <w:tc>
                <w:tcPr/>
                <w:p>
                  <w:pPr>
                    <w:pStyle w:val="Compact"/>
                    <w:jc w:val="center"/>
                    <w:jc w:val="center"/>
                  </w:pPr>
                  <w:r>
                    <w:t xml:space="preserve">−0.16</w:t>
                  </w:r>
                </w:p>
              </w:tc>
              <w:tc>
                <w:tcPr/>
                <w:p>
                  <w:pPr>
                    <w:pStyle w:val="Compact"/>
                    <w:jc w:val="center"/>
                    <w:jc w:val="center"/>
                  </w:pPr>
                  <w:r>
                    <w:t xml:space="preserve">8.17</w:t>
                  </w:r>
                </w:p>
              </w:tc>
            </w:tr>
            <w:tr>
              <w:tc>
                <w:tcPr/>
                <w:p>
                  <w:pPr>
                    <w:jc w:val="center"/>
                    <w:jc w:val="center"/>
                  </w:pPr>
                  <w:r>
                    <w:rPr>
                      <w:i/>
                      <w:iCs/>
                    </w:rPr>
                    <w:t xml:space="preserve">h</w:t>
                  </w:r>
                  <w:r>
                    <w:t xml:space="preserve">*</w:t>
                  </w:r>
                </w:p>
              </w:tc>
              <w:tc>
                <w:tcPr/>
                <w:p>
                  <w:pPr>
                    <w:pStyle w:val="Compact"/>
                    <w:jc w:val="center"/>
                    <w:jc w:val="center"/>
                  </w:pPr>
                  <w:r>
                    <w:t xml:space="preserve">1.20</w:t>
                  </w:r>
                </w:p>
              </w:tc>
              <w:tc>
                <w:tcPr/>
                <w:p>
                  <w:pPr>
                    <w:pStyle w:val="Compact"/>
                    <w:jc w:val="center"/>
                    <w:jc w:val="center"/>
                  </w:pPr>
                  <w:r>
                    <w:t xml:space="preserve">0.01</w:t>
                  </w:r>
                </w:p>
              </w:tc>
              <w:tc>
                <w:tcPr/>
                <w:p>
                  <w:pPr>
                    <w:pStyle w:val="Compact"/>
                    <w:jc w:val="center"/>
                    <w:jc w:val="center"/>
                  </w:pPr>
                  <w:r>
                    <w:t xml:space="preserve">1.23</w:t>
                  </w:r>
                </w:p>
              </w:tc>
              <w:tc>
                <w:tcPr/>
                <w:p>
                  <w:pPr>
                    <w:pStyle w:val="Compact"/>
                    <w:jc w:val="center"/>
                    <w:jc w:val="center"/>
                  </w:pPr>
                  <w:r>
                    <w:t xml:space="preserve">1.18</w:t>
                  </w:r>
                </w:p>
              </w:tc>
              <w:tc>
                <w:tcPr/>
                <w:p>
                  <w:pPr>
                    <w:pStyle w:val="Compact"/>
                    <w:jc w:val="center"/>
                    <w:jc w:val="center"/>
                  </w:pPr>
                  <w:r>
                    <w:t xml:space="preserve">−0.13</w:t>
                  </w:r>
                </w:p>
              </w:tc>
              <w:tc>
                <w:tcPr/>
                <w:p>
                  <w:pPr>
                    <w:pStyle w:val="Compact"/>
                    <w:jc w:val="center"/>
                    <w:jc w:val="center"/>
                  </w:pPr>
                  <w:r>
                    <w:t xml:space="preserve">0.72</w:t>
                  </w:r>
                </w:p>
              </w:tc>
            </w:tr>
            <w:tr>
              <w:tc>
                <w:tcPr/>
                <w:p>
                  <w:pPr>
                    <w:jc w:val="center"/>
                    <w:jc w:val="center"/>
                  </w:pPr>
                  <w:r>
                    <w:t xml:space="preserve">SSA</w:t>
                  </w:r>
                </w:p>
              </w:tc>
              <w:tc>
                <w:tcPr/>
                <w:p>
                  <w:pPr>
                    <w:pStyle w:val="Compact"/>
                    <w:jc w:val="center"/>
                    <w:jc w:val="center"/>
                  </w:pPr>
                  <w:r>
                    <w:t xml:space="preserve">1,867.79</w:t>
                  </w:r>
                </w:p>
              </w:tc>
              <w:tc>
                <w:tcPr/>
                <w:p>
                  <w:pPr>
                    <w:pStyle w:val="Compact"/>
                    <w:jc w:val="center"/>
                    <w:jc w:val="center"/>
                  </w:pPr>
                  <w:r>
                    <w:t xml:space="preserve">129.71</w:t>
                  </w:r>
                </w:p>
              </w:tc>
              <w:tc>
                <w:tcPr/>
                <w:p>
                  <w:pPr>
                    <w:pStyle w:val="Compact"/>
                    <w:jc w:val="center"/>
                    <w:jc w:val="center"/>
                  </w:pPr>
                  <w:r>
                    <w:t xml:space="preserve">2,056.35</w:t>
                  </w:r>
                </w:p>
              </w:tc>
              <w:tc>
                <w:tcPr/>
                <w:p>
                  <w:pPr>
                    <w:pStyle w:val="Compact"/>
                    <w:jc w:val="center"/>
                    <w:jc w:val="center"/>
                  </w:pPr>
                  <w:r>
                    <w:t xml:space="preserve">1,579.16</w:t>
                  </w:r>
                </w:p>
              </w:tc>
              <w:tc>
                <w:tcPr/>
                <w:p>
                  <w:pPr>
                    <w:pStyle w:val="Compact"/>
                    <w:jc w:val="center"/>
                    <w:jc w:val="center"/>
                  </w:pPr>
                  <w:r>
                    <w:t xml:space="preserve">−0.43</w:t>
                  </w:r>
                </w:p>
              </w:tc>
              <w:tc>
                <w:tcPr/>
                <w:p>
                  <w:pPr>
                    <w:pStyle w:val="Compact"/>
                    <w:jc w:val="center"/>
                    <w:jc w:val="center"/>
                  </w:pPr>
                  <w:r>
                    <w:t xml:space="preserve">6.94</w:t>
                  </w:r>
                </w:p>
              </w:tc>
            </w:tr>
            <w:tr>
              <w:tc>
                <w:tcPr/>
                <w:p>
                  <w:pPr>
                    <w:jc w:val="center"/>
                    <w:jc w:val="center"/>
                  </w:pPr>
                  <w:r>
                    <w:t xml:space="preserve">Org</w:t>
                  </w:r>
                </w:p>
              </w:tc>
              <w:tc>
                <w:tcPr/>
                <w:p>
                  <w:pPr>
                    <w:pStyle w:val="Compact"/>
                    <w:jc w:val="center"/>
                    <w:jc w:val="center"/>
                  </w:pPr>
                  <w:r>
                    <w:t xml:space="preserve">8.62</w:t>
                  </w:r>
                </w:p>
              </w:tc>
              <w:tc>
                <w:tcPr/>
                <w:p>
                  <w:pPr>
                    <w:pStyle w:val="Compact"/>
                    <w:jc w:val="center"/>
                    <w:jc w:val="center"/>
                  </w:pPr>
                  <w:r>
                    <w:t xml:space="preserve">0.68</w:t>
                  </w:r>
                </w:p>
              </w:tc>
              <w:tc>
                <w:tcPr/>
                <w:p>
                  <w:pPr>
                    <w:pStyle w:val="Compact"/>
                    <w:jc w:val="center"/>
                    <w:jc w:val="center"/>
                  </w:pPr>
                  <w:r>
                    <w:t xml:space="preserve">10.30</w:t>
                  </w:r>
                </w:p>
              </w:tc>
              <w:tc>
                <w:tcPr/>
                <w:p>
                  <w:pPr>
                    <w:pStyle w:val="Compact"/>
                    <w:jc w:val="center"/>
                    <w:jc w:val="center"/>
                  </w:pPr>
                  <w:r>
                    <w:t xml:space="preserve">7.08</w:t>
                  </w:r>
                </w:p>
              </w:tc>
              <w:tc>
                <w:tcPr/>
                <w:p>
                  <w:pPr>
                    <w:pStyle w:val="Compact"/>
                    <w:jc w:val="center"/>
                    <w:jc w:val="center"/>
                  </w:pPr>
                  <w:r>
                    <w:t xml:space="preserve">0.34</w:t>
                  </w:r>
                </w:p>
              </w:tc>
              <w:tc>
                <w:tcPr/>
                <w:p>
                  <w:pPr>
                    <w:pStyle w:val="Compact"/>
                    <w:jc w:val="center"/>
                    <w:jc w:val="center"/>
                  </w:pPr>
                  <w:r>
                    <w:t xml:space="preserve">7.89</w:t>
                  </w:r>
                </w:p>
              </w:tc>
            </w:tr>
            <w:tr>
              <w:tc>
                <w:tcPr/>
                <w:p>
                  <w:pPr>
                    <w:jc w:val="center"/>
                    <w:jc w:val="center"/>
                  </w:pPr>
                  <w:r>
                    <w:t xml:space="preserve">Elevation</w:t>
                  </w:r>
                </w:p>
              </w:tc>
              <w:tc>
                <w:tcPr/>
                <w:p>
                  <w:pPr>
                    <w:pStyle w:val="Compact"/>
                    <w:jc w:val="center"/>
                    <w:jc w:val="center"/>
                  </w:pPr>
                  <w:r>
                    <w:t xml:space="preserve">309.92</w:t>
                  </w:r>
                </w:p>
              </w:tc>
              <w:tc>
                <w:tcPr/>
                <w:p>
                  <w:pPr>
                    <w:pStyle w:val="Compact"/>
                    <w:jc w:val="center"/>
                    <w:jc w:val="center"/>
                  </w:pPr>
                  <w:r>
                    <w:t xml:space="preserve">0.59</w:t>
                  </w:r>
                </w:p>
              </w:tc>
              <w:tc>
                <w:tcPr/>
                <w:p>
                  <w:pPr>
                    <w:pStyle w:val="Compact"/>
                    <w:jc w:val="center"/>
                    <w:jc w:val="center"/>
                  </w:pPr>
                  <w:r>
                    <w:t xml:space="preserve">311.82</w:t>
                  </w:r>
                </w:p>
              </w:tc>
              <w:tc>
                <w:tcPr/>
                <w:p>
                  <w:pPr>
                    <w:pStyle w:val="Compact"/>
                    <w:jc w:val="center"/>
                    <w:jc w:val="center"/>
                  </w:pPr>
                  <w:r>
                    <w:t xml:space="preserve">309.01</w:t>
                  </w:r>
                </w:p>
              </w:tc>
              <w:tc>
                <w:tcPr/>
                <w:p>
                  <w:pPr>
                    <w:pStyle w:val="Compact"/>
                    <w:jc w:val="center"/>
                    <w:jc w:val="center"/>
                  </w:pPr>
                  <w:r>
                    <w:t xml:space="preserve">0.62</w:t>
                  </w:r>
                </w:p>
              </w:tc>
              <w:tc>
                <w:tcPr/>
                <w:p>
                  <w:pPr>
                    <w:pStyle w:val="Compact"/>
                    <w:jc w:val="center"/>
                    <w:jc w:val="center"/>
                  </w:pPr>
                  <w:r>
                    <w:t xml:space="preserve">0.19</w:t>
                  </w:r>
                </w:p>
              </w:tc>
            </w:tr>
            <w:tr>
              <w:tc>
                <w:tcPr/>
                <w:p>
                  <w:pPr>
                    <w:jc w:val="center"/>
                    <w:jc w:val="center"/>
                  </w:pPr>
                  <w:r>
                    <w:t xml:space="preserve">Rel. Slope Position</w:t>
                  </w:r>
                </w:p>
              </w:tc>
              <w:tc>
                <w:tcPr/>
                <w:p>
                  <w:pPr>
                    <w:pStyle w:val="Compact"/>
                    <w:jc w:val="center"/>
                    <w:jc w:val="center"/>
                  </w:pPr>
                  <w:r>
                    <w:t xml:space="preserve">0.72</w:t>
                  </w:r>
                </w:p>
              </w:tc>
              <w:tc>
                <w:tcPr/>
                <w:p>
                  <w:pPr>
                    <w:pStyle w:val="Compact"/>
                    <w:jc w:val="center"/>
                    <w:jc w:val="center"/>
                  </w:pPr>
                  <w:r>
                    <w:t xml:space="preserve">0.34</w:t>
                  </w:r>
                </w:p>
              </w:tc>
              <w:tc>
                <w:tcPr/>
                <w:p>
                  <w:pPr>
                    <w:pStyle w:val="Compact"/>
                    <w:jc w:val="center"/>
                    <w:jc w:val="center"/>
                  </w:pPr>
                  <w:r>
                    <w:t xml:space="preserve">28.79</w:t>
                  </w:r>
                </w:p>
              </w:tc>
              <w:tc>
                <w:tcPr/>
                <w:p>
                  <w:pPr>
                    <w:pStyle w:val="Compact"/>
                    <w:jc w:val="center"/>
                    <w:jc w:val="center"/>
                  </w:pPr>
                  <w:r>
                    <w:t xml:space="preserve">−33.19</w:t>
                  </w:r>
                </w:p>
              </w:tc>
              <w:tc>
                <w:tcPr/>
                <w:p>
                  <w:pPr>
                    <w:pStyle w:val="Compact"/>
                    <w:jc w:val="center"/>
                    <w:jc w:val="center"/>
                  </w:pPr>
                  <w:r>
                    <w:t xml:space="preserve">−3.62</w:t>
                  </w:r>
                </w:p>
              </w:tc>
              <w:tc>
                <w:tcPr/>
                <w:p>
                  <w:pPr>
                    <w:pStyle w:val="Compact"/>
                    <w:jc w:val="center"/>
                    <w:jc w:val="center"/>
                  </w:pPr>
                  <w:r>
                    <w:t xml:space="preserve">47.84</w:t>
                  </w:r>
                </w:p>
              </w:tc>
            </w:tr>
            <w:tr>
              <w:tc>
                <w:tcPr/>
                <w:p>
                  <w:pPr>
                    <w:jc w:val="center"/>
                    <w:jc w:val="center"/>
                  </w:pPr>
                  <w:r>
                    <w:t xml:space="preserve">Vert. Dist. Channel</w:t>
                  </w:r>
                </w:p>
              </w:tc>
              <w:tc>
                <w:tcPr/>
                <w:p>
                  <w:pPr>
                    <w:pStyle w:val="Compact"/>
                    <w:jc w:val="center"/>
                    <w:jc w:val="center"/>
                  </w:pPr>
                  <w:r>
                    <w:t xml:space="preserve">0.06</w:t>
                  </w:r>
                </w:p>
              </w:tc>
              <w:tc>
                <w:tcPr/>
                <w:p>
                  <w:pPr>
                    <w:pStyle w:val="Compact"/>
                    <w:jc w:val="center"/>
                    <w:jc w:val="center"/>
                  </w:pPr>
                  <w:r>
                    <w:t xml:space="preserve">0.04</w:t>
                  </w:r>
                </w:p>
              </w:tc>
              <w:tc>
                <w:tcPr/>
                <w:p>
                  <w:pPr>
                    <w:pStyle w:val="Compact"/>
                    <w:jc w:val="center"/>
                    <w:jc w:val="center"/>
                  </w:pPr>
                  <w:r>
                    <w:t xml:space="preserve">0.33</w:t>
                  </w:r>
                </w:p>
              </w:tc>
              <w:tc>
                <w:tcPr/>
                <w:p>
                  <w:pPr>
                    <w:pStyle w:val="Compact"/>
                    <w:jc w:val="center"/>
                    <w:jc w:val="center"/>
                  </w:pPr>
                  <w:r>
                    <w:t xml:space="preserve">0.00</w:t>
                  </w:r>
                </w:p>
              </w:tc>
              <w:tc>
                <w:tcPr/>
                <w:p>
                  <w:pPr>
                    <w:pStyle w:val="Compact"/>
                    <w:jc w:val="center"/>
                    <w:jc w:val="center"/>
                  </w:pPr>
                  <w:r>
                    <w:t xml:space="preserve">1.07</w:t>
                  </w:r>
                </w:p>
              </w:tc>
              <w:tc>
                <w:tcPr/>
                <w:p>
                  <w:pPr>
                    <w:pStyle w:val="Compact"/>
                    <w:jc w:val="center"/>
                    <w:jc w:val="center"/>
                  </w:pPr>
                  <w:r>
                    <w:t xml:space="preserve">73.73</w:t>
                  </w:r>
                </w:p>
              </w:tc>
            </w:tr>
            <w:tr>
              <w:tc>
                <w:tcPr/>
                <w:p>
                  <w:pPr>
                    <w:jc w:val="center"/>
                    <w:jc w:val="center"/>
                  </w:pPr>
                  <w:r>
                    <w:t xml:space="preserve">SAGA Wetness Index</w:t>
                  </w:r>
                </w:p>
              </w:tc>
              <w:tc>
                <w:tcPr/>
                <w:p>
                  <w:pPr>
                    <w:pStyle w:val="Compact"/>
                    <w:jc w:val="center"/>
                    <w:jc w:val="center"/>
                  </w:pPr>
                  <w:r>
                    <w:t xml:space="preserve">9.64</w:t>
                  </w:r>
                </w:p>
              </w:tc>
              <w:tc>
                <w:tcPr/>
                <w:p>
                  <w:pPr>
                    <w:pStyle w:val="Compact"/>
                    <w:jc w:val="center"/>
                    <w:jc w:val="center"/>
                  </w:pPr>
                  <w:r>
                    <w:t xml:space="preserve">0.72</w:t>
                  </w:r>
                </w:p>
              </w:tc>
              <w:tc>
                <w:tcPr/>
                <w:p>
                  <w:pPr>
                    <w:pStyle w:val="Compact"/>
                    <w:jc w:val="center"/>
                    <w:jc w:val="center"/>
                  </w:pPr>
                  <w:r>
                    <w:t xml:space="preserve">11.27</w:t>
                  </w:r>
                </w:p>
              </w:tc>
              <w:tc>
                <w:tcPr/>
                <w:p>
                  <w:pPr>
                    <w:pStyle w:val="Compact"/>
                    <w:jc w:val="center"/>
                    <w:jc w:val="center"/>
                  </w:pPr>
                  <w:r>
                    <w:t xml:space="preserve">7.63</w:t>
                  </w:r>
                </w:p>
              </w:tc>
              <w:tc>
                <w:tcPr/>
                <w:p>
                  <w:pPr>
                    <w:pStyle w:val="Compact"/>
                    <w:jc w:val="center"/>
                    <w:jc w:val="center"/>
                  </w:pPr>
                  <w:r>
                    <w:t xml:space="preserve">−0.11</w:t>
                  </w:r>
                </w:p>
              </w:tc>
              <w:tc>
                <w:tcPr/>
                <w:p>
                  <w:pPr>
                    <w:pStyle w:val="Compact"/>
                    <w:jc w:val="center"/>
                    <w:jc w:val="center"/>
                  </w:pPr>
                  <w:r>
                    <w:t xml:space="preserve">7.43</w:t>
                  </w:r>
                </w:p>
              </w:tc>
            </w:tr>
            <w:tr>
              <w:tc>
                <w:tcPr/>
                <w:p>
                  <w:pPr>
                    <w:jc w:val="center"/>
                    <w:jc w:val="center"/>
                  </w:pPr>
                  <w:r>
                    <w:t xml:space="preserve">Catchment Area</w:t>
                  </w:r>
                </w:p>
              </w:tc>
              <w:tc>
                <w:tcPr/>
                <w:p>
                  <w:pPr>
                    <w:pStyle w:val="Compact"/>
                    <w:jc w:val="center"/>
                    <w:jc w:val="center"/>
                  </w:pPr>
                  <w:r>
                    <w:t xml:space="preserve">475.21</w:t>
                  </w:r>
                </w:p>
              </w:tc>
              <w:tc>
                <w:tcPr/>
                <w:p>
                  <w:pPr>
                    <w:pStyle w:val="Compact"/>
                    <w:jc w:val="center"/>
                    <w:jc w:val="center"/>
                  </w:pPr>
                  <w:r>
                    <w:t xml:space="preserve">1,884.43</w:t>
                  </w:r>
                </w:p>
              </w:tc>
              <w:tc>
                <w:tcPr/>
                <w:p>
                  <w:pPr>
                    <w:pStyle w:val="Compact"/>
                    <w:jc w:val="center"/>
                    <w:jc w:val="center"/>
                  </w:pPr>
                  <w:r>
                    <w:t xml:space="preserve">41,848.99</w:t>
                  </w:r>
                </w:p>
              </w:tc>
              <w:tc>
                <w:tcPr/>
                <w:p>
                  <w:pPr>
                    <w:pStyle w:val="Compact"/>
                    <w:jc w:val="center"/>
                    <w:jc w:val="center"/>
                  </w:pPr>
                  <w:r>
                    <w:t xml:space="preserve">1.05</w:t>
                  </w:r>
                </w:p>
              </w:tc>
              <w:tc>
                <w:tcPr/>
                <w:p>
                  <w:pPr>
                    <w:pStyle w:val="Compact"/>
                    <w:jc w:val="center"/>
                    <w:jc w:val="center"/>
                  </w:pPr>
                  <w:r>
                    <w:t xml:space="preserve">10.24</w:t>
                  </w:r>
                </w:p>
              </w:tc>
              <w:tc>
                <w:tcPr/>
                <w:p>
                  <w:pPr>
                    <w:pStyle w:val="Compact"/>
                    <w:jc w:val="center"/>
                    <w:jc w:val="center"/>
                  </w:pPr>
                  <w:r>
                    <w:t xml:space="preserve">396.55</w:t>
                  </w:r>
                </w:p>
              </w:tc>
            </w:tr>
            <w:tr>
              <w:tc>
                <w:tcPr/>
                <w:p>
                  <w:pPr>
                    <w:jc w:val="center"/>
                    <w:jc w:val="center"/>
                  </w:pPr>
                  <w:r>
                    <w:t xml:space="preserve">Profile Curvature</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−0.15</w:t>
                  </w:r>
                </w:p>
              </w:tc>
              <w:tc>
                <w:tcPr/>
                <w:p>
                  <w:pPr>
                    <w:pStyle w:val="Compact"/>
                    <w:jc w:val="center"/>
                    <w:jc w:val="center"/>
                  </w:pPr>
                  <w:r>
                    <w:t xml:space="preserve">−5,332.23</w:t>
                  </w:r>
                </w:p>
              </w:tc>
            </w:tr>
            <w:tr>
              <w:tc>
                <w:tcPr/>
                <w:p>
                  <w:pPr>
                    <w:jc w:val="center"/>
                    <w:jc w:val="center"/>
                  </w:pPr>
                  <w:r>
                    <w:t xml:space="preserve">Plan Curvature</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0.23</w:t>
                  </w:r>
                </w:p>
              </w:tc>
              <w:tc>
                <w:tcPr/>
                <w:p>
                  <w:pPr>
                    <w:pStyle w:val="Compact"/>
                    <w:jc w:val="center"/>
                    <w:jc w:val="center"/>
                  </w:pPr>
                  <w:r>
                    <w:t xml:space="preserve">27,643.82</w:t>
                  </w:r>
                </w:p>
              </w:tc>
            </w:tr>
          </w:tbl>
          <w:bookmarkEnd w:id="30"/>
          <w:p/>
        </w:tc>
      </w:tr>
    </w:tbl>
    <w:p>
      <w:pPr>
        <w:pStyle w:val="TextBody"/>
      </w:pPr>
      <w:r>
        <w:rPr>
          <w:vertAlign w:val="subscript"/>
        </w:rPr>
        <w:t xml:space="preserve">Source:</w:t>
      </w:r>
      <w:r>
        <w:rPr>
          <w:vertAlign w:val="subscript"/>
        </w:rPr>
        <w:t xml:space="preserve"> </w:t>
      </w:r>
      <w:hyperlink r:id="rId31">
        <w:r>
          <w:rPr>
            <w:rStyle w:val="InternetLink"/>
            <w:vertAlign w:val="subscript"/>
          </w:rPr>
          <w:t xml:space="preserve">Univariate summary</w:t>
        </w:r>
      </w:hyperlink>
    </w:p>
    <w:bookmarkEnd w:id="32"/>
    <w:bookmarkStart w:id="60" w:name="spatial-analysis"/>
    <w:p>
      <w:pPr>
        <w:pStyle w:val="Heading3"/>
      </w:pPr>
      <w:r>
        <w:t xml:space="preserve">3.2 Spatial analysis</w:t>
      </w:r>
    </w:p>
    <w:tbl>
      <w:tblPr>
        <w:tblStyle w:val="Table"/>
        <w:tblW w:type="pct" w:w="5000"/>
        <w:jc w:val="left"/>
        <w:tblLayout w:type="fixed"/>
        <w:tblLook w:firstRow="0" w:lastRow="0" w:firstColumn="0" w:lastColumn="0" w:noHBand="0" w:noVBand="0" w:val="0000"/>
      </w:tblPr>
      <w:tblGrid>
        <w:gridCol w:w="7920"/>
      </w:tblGrid>
      <w:tr>
        <w:tc>
          <w:tcPr/>
          <w:bookmarkStart w:id="33" w:name="tbl-geochem-semivariogram"/>
          <w:p>
            <w:pPr>
              <w:jc w:val="center"/>
            </w:pPr>
            <w:pPr>
              <w:jc w:val="start"/>
              <w:spacing w:before="200"/>
              <w:pStyle w:val="ImageCaption"/>
            </w:pPr>
            <w:r>
              <w:t xml:space="preserve">Table 3: Geostatistical parameters of the fitted semivariogram models for six examples of geochemical and colour fingerprint properties for each site.</w:t>
            </w:r>
          </w:p>
          <w:tbl>
            <w:tblPr>
              <w:tblStyle w:val="Table"/>
              <w:tblW w:type="auto" w:w="0"/>
              <w:jc w:val="left"/>
              <w:tblLook w:firstRow="1" w:lastRow="1" w:firstColumn="0" w:lastColumn="0" w:noHBand="0" w:noVBand="0" w:val="0020"/>
            </w:tblPr>
            <w:tblGrid>
              <w:gridCol w:w="880"/>
              <w:gridCol w:w="880"/>
              <w:gridCol w:w="880"/>
              <w:gridCol w:w="880"/>
              <w:gridCol w:w="880"/>
              <w:gridCol w:w="880"/>
              <w:gridCol w:w="880"/>
              <w:gridCol w:w="880"/>
              <w:gridCol w:w="880"/>
            </w:tblGrid>
            <w:tr>
              <w:trPr>
                <w:tblHeader w:val="on"/>
              </w:trPr>
              <w:tc>
                <w:tcPr/>
                <w:p>
                  <w:pPr>
                    <w:pStyle w:val="Compact"/>
                    <w:jc w:val="center"/>
                    <w:jc w:val="center"/>
                  </w:pPr>
                  <w:r>
                    <w:t xml:space="preserve">Property</w:t>
                  </w:r>
                </w:p>
              </w:tc>
              <w:tc>
                <w:tcPr/>
                <w:p>
                  <w:pPr>
                    <w:pStyle w:val="Compact"/>
                    <w:jc w:val="center"/>
                    <w:jc w:val="center"/>
                  </w:pPr>
                  <w:r>
                    <w:t xml:space="preserve">Model</w:t>
                  </w:r>
                  <w:r>
                    <w:rPr>
                      <w:vertAlign w:val="superscript"/>
                    </w:rPr>
                    <w:t xml:space="preserve">1</w:t>
                  </w:r>
                </w:p>
              </w:tc>
              <w:tc>
                <w:tcPr/>
                <w:p>
                  <w:pPr>
                    <w:pStyle w:val="Compact"/>
                    <w:jc w:val="center"/>
                    <w:jc w:val="center"/>
                  </w:pPr>
                  <w:r>
                    <w:t xml:space="preserve">Nugget (Co)</w:t>
                  </w:r>
                </w:p>
              </w:tc>
              <w:tc>
                <w:tcPr/>
                <w:p>
                  <w:pPr>
                    <w:pStyle w:val="Compact"/>
                    <w:jc w:val="center"/>
                    <w:jc w:val="center"/>
                  </w:pPr>
                  <w:r>
                    <w:t xml:space="preserve">Sill (Co)</w:t>
                  </w:r>
                </w:p>
              </w:tc>
              <w:tc>
                <w:tcPr/>
                <w:p>
                  <w:pPr>
                    <w:pStyle w:val="Compact"/>
                    <w:jc w:val="center"/>
                    <w:jc w:val="center"/>
                  </w:pPr>
                  <w:r>
                    <w:t xml:space="preserve">Range (m)</w:t>
                  </w:r>
                </w:p>
              </w:tc>
              <w:tc>
                <w:tcPr/>
                <w:p>
                  <w:pPr>
                    <w:pStyle w:val="Compact"/>
                    <w:jc w:val="center"/>
                    <w:jc w:val="center"/>
                  </w:pPr>
                  <w:r>
                    <w:t xml:space="preserve">C/(C + Co) (%)</w:t>
                  </w:r>
                </w:p>
              </w:tc>
              <w:tc>
                <w:tcPr/>
                <w:p>
                  <w:pPr>
                    <w:pStyle w:val="Compact"/>
                    <w:jc w:val="center"/>
                    <w:jc w:val="center"/>
                  </w:pPr>
                  <w:r>
                    <w:t xml:space="preserve">Class</w:t>
                  </w:r>
                  <w:r>
                    <w:rPr>
                      <w:vertAlign w:val="superscript"/>
                    </w:rPr>
                    <w:t xml:space="preserve">2</w:t>
                  </w:r>
                </w:p>
              </w:tc>
              <w:tc>
                <w:tcPr/>
                <w:p>
                  <w:pPr>
                    <w:pStyle w:val="Compact"/>
                    <w:jc w:val="center"/>
                    <w:jc w:val="center"/>
                  </w:pPr>
                  <w:r>
                    <w:t xml:space="preserve">R2</w:t>
                  </w:r>
                </w:p>
              </w:tc>
              <w:tc>
                <w:tcPr/>
                <w:p>
                  <w:pPr>
                    <w:pStyle w:val="Compact"/>
                    <w:jc w:val="center"/>
                    <w:jc w:val="center"/>
                  </w:pPr>
                  <w:r>
                    <w:t xml:space="preserve">RMSE</w:t>
                  </w:r>
                </w:p>
              </w:tc>
            </w:tr>
            <w:tr>
              <w:tc>
                <w:tcPr>
                  <w:gridSpan w:val="9"/>
                </w:tcPr>
                <w:p>
                  <w:pPr>
                    <w:pStyle w:val="Compact"/>
                    <w:jc w:val="center"/>
                    <w:jc w:val="center"/>
                  </w:pPr>
                  <w:r>
                    <w:t xml:space="preserve">Agriculture</w:t>
                  </w:r>
                </w:p>
              </w:tc>
            </w:tr>
            <w:tr>
              <w:tc>
                <w:tcPr/>
                <w:p>
                  <w:pPr>
                    <w:pStyle w:val="Compact"/>
                    <w:jc w:val="center"/>
                    <w:jc w:val="center"/>
                  </w:pPr>
                  <w:r>
                    <w:t xml:space="preserve">Ca</w:t>
                  </w:r>
                </w:p>
              </w:tc>
              <w:tc>
                <w:tcPr/>
                <w:p>
                  <w:pPr>
                    <w:pStyle w:val="Compact"/>
                    <w:jc w:val="center"/>
                    <w:jc w:val="center"/>
                  </w:pPr>
                  <w:r>
                    <w:t xml:space="preserve">Exp</w:t>
                  </w:r>
                </w:p>
              </w:tc>
              <w:tc>
                <w:tcPr/>
                <w:p>
                  <w:pPr>
                    <w:pStyle w:val="Compact"/>
                    <w:jc w:val="center"/>
                    <w:jc w:val="center"/>
                  </w:pPr>
                  <w:r>
                    <w:t xml:space="preserve">0</w:t>
                  </w:r>
                </w:p>
              </w:tc>
              <w:tc>
                <w:tcPr/>
                <w:p>
                  <w:pPr>
                    <w:pStyle w:val="Compact"/>
                    <w:jc w:val="center"/>
                    <w:jc w:val="center"/>
                  </w:pPr>
                  <w:r>
                    <w:t xml:space="preserve">1.49</w:t>
                  </w:r>
                </w:p>
              </w:tc>
              <w:tc>
                <w:tcPr/>
                <w:p>
                  <w:pPr>
                    <w:pStyle w:val="Compact"/>
                    <w:jc w:val="center"/>
                    <w:jc w:val="center"/>
                  </w:pPr>
                  <w:r>
                    <w:t xml:space="preserve">72.52</w:t>
                  </w:r>
                </w:p>
              </w:tc>
              <w:tc>
                <w:tcPr/>
                <w:p>
                  <w:pPr>
                    <w:pStyle w:val="Compact"/>
                    <w:jc w:val="center"/>
                    <w:jc w:val="center"/>
                  </w:pPr>
                  <w:r>
                    <w:t xml:space="preserve">0</w:t>
                  </w:r>
                </w:p>
              </w:tc>
              <w:tc>
                <w:tcPr/>
                <w:p>
                  <w:pPr>
                    <w:pStyle w:val="Compact"/>
                    <w:jc w:val="center"/>
                    <w:jc w:val="center"/>
                  </w:pPr>
                  <w:r>
                    <w:t xml:space="preserve">S</w:t>
                  </w:r>
                </w:p>
              </w:tc>
              <w:tc>
                <w:tcPr/>
                <w:p>
                  <w:pPr>
                    <w:pStyle w:val="Compact"/>
                    <w:jc w:val="center"/>
                    <w:jc w:val="center"/>
                  </w:pPr>
                  <w:r>
                    <w:t xml:space="preserve">0.27</w:t>
                  </w:r>
                </w:p>
              </w:tc>
              <w:tc>
                <w:tcPr/>
                <w:p>
                  <w:pPr>
                    <w:pStyle w:val="Compact"/>
                    <w:jc w:val="center"/>
                    <w:jc w:val="center"/>
                  </w:pPr>
                  <w:r>
                    <w:t xml:space="preserve">1.8</w:t>
                  </w:r>
                </w:p>
              </w:tc>
            </w:tr>
            <w:tr>
              <w:tc>
                <w:tcPr>
                  <w:gridSpan w:val="9"/>
                </w:tcPr>
                <w:p>
                  <w:pPr>
                    <w:pStyle w:val="Compact"/>
                    <w:jc w:val="center"/>
                    <w:jc w:val="center"/>
                  </w:pPr>
                  <w:r>
                    <w:t xml:space="preserve">Forest</w:t>
                  </w:r>
                </w:p>
              </w:tc>
            </w:tr>
            <w:tr>
              <w:tc>
                <w:tcPr/>
                <w:p>
                  <w:pPr>
                    <w:pStyle w:val="Compact"/>
                    <w:jc w:val="center"/>
                    <w:jc w:val="center"/>
                  </w:pPr>
                  <w:r>
                    <w:t xml:space="preserve">Ca</w:t>
                  </w:r>
                </w:p>
              </w:tc>
              <w:tc>
                <w:tcPr/>
                <w:p>
                  <w:pPr>
                    <w:pStyle w:val="Compact"/>
                    <w:jc w:val="center"/>
                    <w:jc w:val="center"/>
                  </w:pPr>
                  <w:r>
                    <w:t xml:space="preserve">Exp</w:t>
                  </w:r>
                </w:p>
              </w:tc>
              <w:tc>
                <w:tcPr/>
                <w:p>
                  <w:pPr>
                    <w:pStyle w:val="Compact"/>
                    <w:jc w:val="center"/>
                    <w:jc w:val="center"/>
                  </w:pPr>
                  <w:r>
                    <w:t xml:space="preserve">0</w:t>
                  </w:r>
                </w:p>
              </w:tc>
              <w:tc>
                <w:tcPr/>
                <w:p>
                  <w:pPr>
                    <w:pStyle w:val="Compact"/>
                    <w:jc w:val="center"/>
                    <w:jc w:val="center"/>
                  </w:pPr>
                  <w:r>
                    <w:t xml:space="preserve">1.49</w:t>
                  </w:r>
                </w:p>
              </w:tc>
              <w:tc>
                <w:tcPr/>
                <w:p>
                  <w:pPr>
                    <w:pStyle w:val="Compact"/>
                    <w:jc w:val="center"/>
                    <w:jc w:val="center"/>
                  </w:pPr>
                  <w:r>
                    <w:t xml:space="preserve">72.52</w:t>
                  </w:r>
                </w:p>
              </w:tc>
              <w:tc>
                <w:tcPr/>
                <w:p>
                  <w:pPr>
                    <w:pStyle w:val="Compact"/>
                    <w:jc w:val="center"/>
                    <w:jc w:val="center"/>
                  </w:pPr>
                  <w:r>
                    <w:t xml:space="preserve">0</w:t>
                  </w:r>
                </w:p>
              </w:tc>
              <w:tc>
                <w:tcPr/>
                <w:p>
                  <w:pPr>
                    <w:pStyle w:val="Compact"/>
                    <w:jc w:val="center"/>
                    <w:jc w:val="center"/>
                  </w:pPr>
                  <w:r>
                    <w:t xml:space="preserve">S</w:t>
                  </w:r>
                </w:p>
              </w:tc>
              <w:tc>
                <w:tcPr/>
                <w:p>
                  <w:pPr>
                    <w:pStyle w:val="Compact"/>
                    <w:jc w:val="center"/>
                    <w:jc w:val="center"/>
                  </w:pPr>
                  <w:r>
                    <w:t xml:space="preserve">0.27</w:t>
                  </w:r>
                </w:p>
              </w:tc>
              <w:tc>
                <w:tcPr/>
                <w:p>
                  <w:pPr>
                    <w:pStyle w:val="Compact"/>
                    <w:jc w:val="center"/>
                    <w:jc w:val="center"/>
                  </w:pPr>
                  <w:r>
                    <w:t xml:space="preserve">1.8</w:t>
                  </w:r>
                </w:p>
              </w:tc>
            </w:tr>
            <w:tr>
              <w:tc>
                <w:tcPr>
                  <w:gridSpan w:val="9"/>
                </w:tcPr>
                <w:p>
                  <w:pPr>
                    <w:pStyle w:val="Compact"/>
                    <w:jc w:val="center"/>
                    <w:jc w:val="center"/>
                  </w:pPr>
                  <w:r>
                    <w:rPr>
                      <w:vertAlign w:val="superscript"/>
                    </w:rPr>
                    <w:t xml:space="preserve">1</w:t>
                  </w:r>
                  <w:r>
                    <w:t xml:space="preserve"> </w:t>
                  </w:r>
                  <w:r>
                    <w:t xml:space="preserve">Models are all isotropic.</w:t>
                  </w:r>
                </w:p>
              </w:tc>
            </w:tr>
            <w:tr>
              <w:tc>
                <w:tcPr>
                  <w:gridSpan w:val="9"/>
                </w:tcPr>
                <w:p>
                  <w:pPr>
                    <w:pStyle w:val="Compact"/>
                    <w:jc w:val="center"/>
                    <w:jc w:val="center"/>
                  </w:pPr>
                  <w:r>
                    <w:rPr>
                      <w:vertAlign w:val="superscript"/>
                    </w:rPr>
                    <w:t xml:space="preserve">2</w:t>
                  </w:r>
                  <w:r>
                    <w:t xml:space="preserve"> </w:t>
                  </w:r>
                  <w:r>
                    <w:t xml:space="preserve">S = strong spatial dependency (C/(C + Co) % &gt;75); M = moderate spatial dependency (C/(C + Co) % between</w:t>
                  </w:r>
                  <w:r>
                    <w:t xml:space="preserve"> </w:t>
                  </w:r>
                  <w:r>
                    <w:t xml:space="preserve">75 and 25).</w:t>
                  </w:r>
                </w:p>
              </w:tc>
            </w:tr>
          </w:tbl>
          <w:bookmarkEnd w:id="33"/>
          <w:p/>
        </w:tc>
      </w:tr>
    </w:tbl>
    <w:p>
      <w:pPr>
        <w:pStyle w:val="TextBody"/>
      </w:pPr>
      <w:r>
        <w:rPr>
          <w:vertAlign w:val="subscript"/>
        </w:rPr>
        <w:t xml:space="preserve">Source:</w:t>
      </w:r>
      <w:r>
        <w:rPr>
          <w:vertAlign w:val="subscript"/>
        </w:rPr>
        <w:t xml:space="preserve"> </w:t>
      </w:r>
      <w:hyperlink r:id="rId34">
        <w:r>
          <w:rPr>
            <w:rStyle w:val="InternetLink"/>
            <w:vertAlign w:val="subscript"/>
          </w:rPr>
          <w:t xml:space="preserve">Semivariograms</w:t>
        </w:r>
      </w:hyperlink>
    </w:p>
    <w:tbl>
      <w:tblPr>
        <w:tblStyle w:val="Table"/>
        <w:tblW w:type="pct" w:w="5000"/>
        <w:jc w:val="left"/>
        <w:tblLayout w:type="fixed"/>
        <w:tblLook w:firstRow="0" w:lastRow="0" w:firstColumn="0" w:lastColumn="0" w:noHBand="0" w:noVBand="0" w:val="0000"/>
      </w:tblPr>
      <w:tblGrid>
        <w:gridCol w:w="7920"/>
      </w:tblGrid>
      <w:tr>
        <w:tc>
          <w:tcPr/>
          <w:bookmarkStart w:id="38" w:name="fig-ag_map"/>
          <w:p>
            <w:pPr>
              <w:pStyle w:val="Compact"/>
              <w:jc w:val="center"/>
            </w:pPr>
            <w:r>
              <w:drawing>
                <wp:inline>
                  <wp:extent cx="5943600" cy="4751784"/>
                  <wp:effectExtent b="0" l="0" r="0" t="0"/>
                  <wp:docPr descr="" title="" id="36" name="Picture"/>
                  <a:graphic>
                    <a:graphicData uri="http://schemas.openxmlformats.org/drawingml/2006/picture">
                      <pic:pic>
                        <pic:nvPicPr>
                          <pic:cNvPr descr="index_files/figure-docx/notebooks-soil_property_maps-fig-ag_map-output-1.png" id="37" name="Picture"/>
                          <pic:cNvPicPr>
                            <a:picLocks noChangeArrowheads="1" noChangeAspect="1"/>
                          </pic:cNvPicPr>
                        </pic:nvPicPr>
                        <pic:blipFill>
                          <a:blip r:embed="rId35"/>
                          <a:stretch>
                            <a:fillRect/>
                          </a:stretch>
                        </pic:blipFill>
                        <pic:spPr bwMode="auto">
                          <a:xfrm>
                            <a:off x="0" y="0"/>
                            <a:ext cx="5943600" cy="47517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Kriged map of select colour (</w:t>
            </w:r>
            <w:r>
              <w:rPr>
                <w:i/>
                <w:iCs/>
              </w:rPr>
              <w:t xml:space="preserve">a*</w:t>
            </w:r>
            <w:r>
              <w:t xml:space="preserve">,</w:t>
            </w:r>
            <w:r>
              <w:t xml:space="preserve"> </w:t>
            </w:r>
            <w:r>
              <w:rPr>
                <w:i/>
                <w:iCs/>
              </w:rPr>
              <w:t xml:space="preserve">c*</w:t>
            </w:r>
            <w:r>
              <w:t xml:space="preserve">,</w:t>
            </w:r>
            <w:r>
              <w:t xml:space="preserve"> </w:t>
            </w:r>
            <w:r>
              <w:rPr>
                <w:i/>
                <w:iCs/>
              </w:rPr>
              <w:t xml:space="preserve">h*</w:t>
            </w:r>
            <w:r>
              <w:t xml:space="preserve">) and geochemical (Ca, Mo, U) properties across the agricultural site.</w:t>
            </w:r>
          </w:p>
          <w:bookmarkEnd w:id="38"/>
        </w:tc>
      </w:tr>
    </w:tbl>
    <w:p>
      <w:pPr>
        <w:pStyle w:val="TextBody"/>
      </w:pPr>
      <w:r>
        <w:rPr>
          <w:vertAlign w:val="subscript"/>
        </w:rPr>
        <w:t xml:space="preserve">Source:</w:t>
      </w:r>
      <w:r>
        <w:rPr>
          <w:vertAlign w:val="subscript"/>
        </w:rPr>
        <w:t xml:space="preserve"> </w:t>
      </w:r>
      <w:hyperlink r:id="rId39">
        <w:r>
          <w:rPr>
            <w:rStyle w:val="InternetLink"/>
            <w:vertAlign w:val="subscript"/>
          </w:rPr>
          <w:t xml:space="preserve">Soil property mapping</w:t>
        </w:r>
      </w:hyperlink>
    </w:p>
    <w:tbl>
      <w:tblPr>
        <w:tblStyle w:val="Table"/>
        <w:tblW w:type="pct" w:w="5000"/>
        <w:jc w:val="left"/>
        <w:tblLayout w:type="fixed"/>
        <w:tblLook w:firstRow="0" w:lastRow="0" w:firstColumn="0" w:lastColumn="0" w:noHBand="0" w:noVBand="0" w:val="0000"/>
      </w:tblPr>
      <w:tblGrid>
        <w:gridCol w:w="7920"/>
      </w:tblGrid>
      <w:tr>
        <w:tc>
          <w:tcPr/>
          <w:bookmarkStart w:id="43" w:name="fig-ag_map2"/>
          <w:p>
            <w:pPr>
              <w:pStyle w:val="Compact"/>
              <w:jc w:val="center"/>
            </w:pPr>
            <w:r>
              <w:drawing>
                <wp:inline>
                  <wp:extent cx="5943600" cy="3565128"/>
                  <wp:effectExtent b="0" l="0" r="0" t="0"/>
                  <wp:docPr descr="" title="" id="41" name="Picture"/>
                  <a:graphic>
                    <a:graphicData uri="http://schemas.openxmlformats.org/drawingml/2006/picture">
                      <pic:pic>
                        <pic:nvPicPr>
                          <pic:cNvPr descr="index_files/figure-docx/notebooks-soil_property_maps-fig-ag_map2-output-1.png" id="42" name="Picture"/>
                          <pic:cNvPicPr>
                            <a:picLocks noChangeArrowheads="1" noChangeAspect="1"/>
                          </pic:cNvPicPr>
                        </pic:nvPicPr>
                        <pic:blipFill>
                          <a:blip r:embed="rId40"/>
                          <a:stretch>
                            <a:fillRect/>
                          </a:stretch>
                        </pic:blipFill>
                        <pic:spPr bwMode="auto">
                          <a:xfrm>
                            <a:off x="0" y="0"/>
                            <a:ext cx="5943600" cy="35651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Kriged map of organic matter content (%), specific surface area (m</w:t>
            </w:r>
            <w:r>
              <w:t xml:space="preserve">2</w:t>
            </w:r>
            <w:r>
              <w:t xml:space="preserve"> </w:t>
            </w:r>
            <w:r>
              <w:t xml:space="preserve">kg</w:t>
            </w:r>
            <w:r>
              <w:t xml:space="preserve">-1</w:t>
            </w:r>
            <w:r>
              <w:t xml:space="preserve">), and elevation (m) across the agricultural site.</w:t>
            </w:r>
          </w:p>
          <w:bookmarkEnd w:id="43"/>
        </w:tc>
      </w:tr>
    </w:tbl>
    <w:p>
      <w:pPr>
        <w:pStyle w:val="TextBody"/>
      </w:pPr>
      <w:r>
        <w:rPr>
          <w:vertAlign w:val="subscript"/>
        </w:rPr>
        <w:t xml:space="preserve">Source:</w:t>
      </w:r>
      <w:r>
        <w:rPr>
          <w:vertAlign w:val="subscript"/>
        </w:rPr>
        <w:t xml:space="preserve"> </w:t>
      </w:r>
      <w:hyperlink r:id="rId44">
        <w:r>
          <w:rPr>
            <w:rStyle w:val="InternetLink"/>
            <w:vertAlign w:val="subscript"/>
          </w:rPr>
          <w:t xml:space="preserve">Soil property mapping</w:t>
        </w:r>
      </w:hyperlink>
    </w:p>
    <w:tbl>
      <w:tblPr>
        <w:tblStyle w:val="Table"/>
        <w:tblW w:type="pct" w:w="5000"/>
        <w:jc w:val="left"/>
        <w:tblLayout w:type="fixed"/>
        <w:tblLook w:firstRow="0" w:lastRow="0" w:firstColumn="0" w:lastColumn="0" w:noHBand="0" w:noVBand="0" w:val="0000"/>
      </w:tblPr>
      <w:tblGrid>
        <w:gridCol w:w="7920"/>
      </w:tblGrid>
      <w:tr>
        <w:tc>
          <w:tcPr/>
          <w:bookmarkStart w:id="48" w:name="fig-forest_map"/>
          <w:p>
            <w:pPr>
              <w:pStyle w:val="Compact"/>
              <w:jc w:val="center"/>
            </w:pPr>
            <w:r>
              <w:drawing>
                <wp:inline>
                  <wp:extent cx="5943600" cy="4751784"/>
                  <wp:effectExtent b="0" l="0" r="0" t="0"/>
                  <wp:docPr descr="" title="" id="46" name="Picture"/>
                  <a:graphic>
                    <a:graphicData uri="http://schemas.openxmlformats.org/drawingml/2006/picture">
                      <pic:pic>
                        <pic:nvPicPr>
                          <pic:cNvPr descr="index_files/figure-docx/notebooks-soil_property_maps-fig-forest_map-output-1.png" id="47" name="Picture"/>
                          <pic:cNvPicPr>
                            <a:picLocks noChangeArrowheads="1" noChangeAspect="1"/>
                          </pic:cNvPicPr>
                        </pic:nvPicPr>
                        <pic:blipFill>
                          <a:blip r:embed="rId45"/>
                          <a:stretch>
                            <a:fillRect/>
                          </a:stretch>
                        </pic:blipFill>
                        <pic:spPr bwMode="auto">
                          <a:xfrm>
                            <a:off x="0" y="0"/>
                            <a:ext cx="5943600" cy="47517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Kriged map of select colour (</w:t>
            </w:r>
            <w:r>
              <w:rPr>
                <w:i/>
                <w:iCs/>
              </w:rPr>
              <w:t xml:space="preserve">h*</w:t>
            </w:r>
            <w:r>
              <w:t xml:space="preserve">,</w:t>
            </w:r>
            <w:r>
              <w:t xml:space="preserve"> </w:t>
            </w:r>
            <w:r>
              <w:rPr>
                <w:i/>
                <w:iCs/>
              </w:rPr>
              <w:t xml:space="preserve">c*</w:t>
            </w:r>
            <w:r>
              <w:t xml:space="preserve">,</w:t>
            </w:r>
            <w:r>
              <w:t xml:space="preserve"> </w:t>
            </w:r>
            <w:r>
              <w:rPr>
                <w:i/>
                <w:iCs/>
              </w:rPr>
              <w:t xml:space="preserve">v*</w:t>
            </w:r>
            <w:r>
              <w:t xml:space="preserve">) and geochemical (Li, Nb, Zn) properties across the forested site.</w:t>
            </w:r>
          </w:p>
          <w:bookmarkEnd w:id="48"/>
        </w:tc>
      </w:tr>
    </w:tbl>
    <w:p>
      <w:pPr>
        <w:pStyle w:val="TextBody"/>
      </w:pPr>
      <w:r>
        <w:rPr>
          <w:vertAlign w:val="subscript"/>
        </w:rPr>
        <w:t xml:space="preserve">Source:</w:t>
      </w:r>
      <w:r>
        <w:rPr>
          <w:vertAlign w:val="subscript"/>
        </w:rPr>
        <w:t xml:space="preserve"> </w:t>
      </w:r>
      <w:hyperlink r:id="rId49">
        <w:r>
          <w:rPr>
            <w:rStyle w:val="InternetLink"/>
            <w:vertAlign w:val="subscript"/>
          </w:rPr>
          <w:t xml:space="preserve">Soil property mapping</w:t>
        </w:r>
      </w:hyperlink>
    </w:p>
    <w:tbl>
      <w:tblPr>
        <w:tblStyle w:val="Table"/>
        <w:tblW w:type="pct" w:w="5000"/>
        <w:jc w:val="left"/>
        <w:tblLayout w:type="fixed"/>
        <w:tblLook w:firstRow="0" w:lastRow="0" w:firstColumn="0" w:lastColumn="0" w:noHBand="0" w:noVBand="0" w:val="0000"/>
      </w:tblPr>
      <w:tblGrid>
        <w:gridCol w:w="7920"/>
      </w:tblGrid>
      <w:tr>
        <w:tc>
          <w:tcPr/>
          <w:bookmarkStart w:id="53" w:name="fig-forest_map2"/>
          <w:p>
            <w:pPr>
              <w:pStyle w:val="Compact"/>
              <w:jc w:val="center"/>
            </w:pPr>
            <w:r>
              <w:drawing>
                <wp:inline>
                  <wp:extent cx="5943600" cy="3565128"/>
                  <wp:effectExtent b="0" l="0" r="0" t="0"/>
                  <wp:docPr descr="" title="" id="51" name="Picture"/>
                  <a:graphic>
                    <a:graphicData uri="http://schemas.openxmlformats.org/drawingml/2006/picture">
                      <pic:pic>
                        <pic:nvPicPr>
                          <pic:cNvPr descr="index_files/figure-docx/notebooks-soil_property_maps-fig-forest_map2-output-1.png" id="52" name="Picture"/>
                          <pic:cNvPicPr>
                            <a:picLocks noChangeArrowheads="1" noChangeAspect="1"/>
                          </pic:cNvPicPr>
                        </pic:nvPicPr>
                        <pic:blipFill>
                          <a:blip r:embed="rId50"/>
                          <a:stretch>
                            <a:fillRect/>
                          </a:stretch>
                        </pic:blipFill>
                        <pic:spPr bwMode="auto">
                          <a:xfrm>
                            <a:off x="0" y="0"/>
                            <a:ext cx="5943600" cy="35651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Kriged map of organic matter content (%), specific surface area (m</w:t>
            </w:r>
            <w:r>
              <w:t xml:space="preserve">2</w:t>
            </w:r>
            <w:r>
              <w:t xml:space="preserve"> </w:t>
            </w:r>
            <w:r>
              <w:t xml:space="preserve">kg</w:t>
            </w:r>
            <w:r>
              <w:t xml:space="preserve">-1</w:t>
            </w:r>
            <w:r>
              <w:t xml:space="preserve">), and elevation (m) across the forested site.</w:t>
            </w:r>
          </w:p>
          <w:bookmarkEnd w:id="53"/>
        </w:tc>
      </w:tr>
    </w:tbl>
    <w:p>
      <w:pPr>
        <w:pStyle w:val="TextBody"/>
      </w:pPr>
      <w:r>
        <w:rPr>
          <w:vertAlign w:val="subscript"/>
        </w:rPr>
        <w:t xml:space="preserve">Source:</w:t>
      </w:r>
      <w:r>
        <w:rPr>
          <w:vertAlign w:val="subscript"/>
        </w:rPr>
        <w:t xml:space="preserve"> </w:t>
      </w:r>
      <w:hyperlink r:id="rId54">
        <w:r>
          <w:rPr>
            <w:rStyle w:val="InternetLink"/>
            <w:vertAlign w:val="subscript"/>
          </w:rPr>
          <w:t xml:space="preserve">Soil property mapping</w:t>
        </w:r>
      </w:hyperlink>
    </w:p>
    <w:tbl>
      <w:tblPr>
        <w:tblStyle w:val="Table"/>
        <w:tblW w:type="pct" w:w="5000"/>
        <w:jc w:val="left"/>
        <w:tblLayout w:type="fixed"/>
        <w:tblLook w:firstRow="0" w:lastRow="0" w:firstColumn="0" w:lastColumn="0" w:noHBand="0" w:noVBand="0" w:val="0000"/>
      </w:tblPr>
      <w:tblGrid>
        <w:gridCol w:w="7920"/>
      </w:tblGrid>
      <w:tr>
        <w:tc>
          <w:tcPr/>
          <w:bookmarkStart w:id="58" w:name="fig-rf-results"/>
          <w:p>
            <w:pPr>
              <w:pStyle w:val="Compact"/>
              <w:jc w:val="center"/>
            </w:pPr>
            <w:r>
              <w:drawing>
                <wp:inline>
                  <wp:extent cx="5943600" cy="4245428"/>
                  <wp:effectExtent b="0" l="0" r="0" t="0"/>
                  <wp:docPr descr="" title="" id="56" name="Picture"/>
                  <a:graphic>
                    <a:graphicData uri="http://schemas.openxmlformats.org/drawingml/2006/picture">
                      <pic:pic>
                        <pic:nvPicPr>
                          <pic:cNvPr descr="index_files/figure-docx/notebooks-RF_results-fig-rf-results-output-1.png" id="57" name="Picture"/>
                          <pic:cNvPicPr>
                            <a:picLocks noChangeArrowheads="1" noChangeAspect="1"/>
                          </pic:cNvPicPr>
                        </pic:nvPicPr>
                        <pic:blipFill>
                          <a:blip r:embed="rId55"/>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Heat map of the Random Forest regresssion results showing the ranking of the importance of terrain attributes (based on % increase in Mean Squared Error) in explaining the spatial variabilty of selected colour and geochemical properties within the agricultural and forested sites. Top panel shows an average ranking for each site and across both sites.</w:t>
            </w:r>
          </w:p>
          <w:bookmarkEnd w:id="58"/>
        </w:tc>
      </w:tr>
    </w:tbl>
    <w:p>
      <w:pPr>
        <w:pStyle w:val="TextBody"/>
      </w:pPr>
      <w:r>
        <w:rPr>
          <w:vertAlign w:val="subscript"/>
        </w:rPr>
        <w:t xml:space="preserve">Source:</w:t>
      </w:r>
      <w:r>
        <w:rPr>
          <w:vertAlign w:val="subscript"/>
        </w:rPr>
        <w:t xml:space="preserve"> </w:t>
      </w:r>
      <w:hyperlink r:id="rId59">
        <w:r>
          <w:rPr>
            <w:rStyle w:val="InternetLink"/>
            <w:vertAlign w:val="subscript"/>
          </w:rPr>
          <w:t xml:space="preserve">Random Forest results</w:t>
        </w:r>
      </w:hyperlink>
    </w:p>
    <w:bookmarkEnd w:id="60"/>
    <w:bookmarkEnd w:id="61"/>
    <w:bookmarkStart w:id="63" w:name="references"/>
    <w:p>
      <w:pPr>
        <w:pStyle w:val="Heading2"/>
      </w:pPr>
      <w:r>
        <w:t xml:space="preserve">References</w:t>
      </w:r>
    </w:p>
    <w:bookmarkStart w:id="62" w:name="refs"/>
    <w:bookmarkEnd w:id="62"/>
    <w:bookmarkEnd w:id="63"/>
    <w:bookmarkStart w:id="72" w:name="supplemental-materials"/>
    <w:p>
      <w:pPr>
        <w:pStyle w:val="Heading2"/>
      </w:pPr>
      <w:r>
        <w:t xml:space="preserve">Supplemental materials</w:t>
      </w:r>
    </w:p>
    <w:bookmarkStart w:id="67" w:name="ssuppfig-geo_summary"/>
    <w:p>
      <w:pPr>
        <w:pStyle w:val="FirstParagraph"/>
      </w:pPr>
      <w:r>
        <w:drawing>
          <wp:inline>
            <wp:extent cx="5943600" cy="4242598"/>
            <wp:effectExtent b="0" l="0" r="0" t="0"/>
            <wp:docPr descr="" title="" id="65" name="Picture"/>
            <a:graphic>
              <a:graphicData uri="http://schemas.openxmlformats.org/drawingml/2006/picture">
                <pic:pic>
                  <pic:nvPicPr>
                    <pic:cNvPr descr="images/geo_summary.png" id="66" name="Picture"/>
                    <pic:cNvPicPr>
                      <a:picLocks noChangeArrowheads="1" noChangeAspect="1"/>
                    </pic:cNvPicPr>
                  </pic:nvPicPr>
                  <pic:blipFill>
                    <a:blip r:embed="rId64"/>
                    <a:stretch>
                      <a:fillRect/>
                    </a:stretch>
                  </pic:blipFill>
                  <pic:spPr bwMode="auto">
                    <a:xfrm>
                      <a:off x="0" y="0"/>
                      <a:ext cx="5943600" cy="4242598"/>
                    </a:xfrm>
                    <a:prstGeom prst="rect">
                      <a:avLst/>
                    </a:prstGeom>
                    <a:noFill/>
                    <a:ln w="9525">
                      <a:noFill/>
                      <a:headEnd/>
                      <a:tailEnd/>
                    </a:ln>
                  </pic:spPr>
                </pic:pic>
              </a:graphicData>
            </a:graphic>
          </wp:inline>
        </w:drawing>
      </w:r>
    </w:p>
    <w:p>
      <w:pPr>
        <w:pStyle w:val="TextBody"/>
      </w:pPr>
      <w:r>
        <w:t xml:space="preserve">Summary statistics of all measured geochemical soil properties at both sites. Error bars represent 1SD and the numeric values indicate the CV.</w:t>
      </w:r>
    </w:p>
    <w:bookmarkEnd w:id="67"/>
    <w:bookmarkStart w:id="71" w:name="ssuppfig-colour_summary"/>
    <w:p>
      <w:pPr>
        <w:pStyle w:val="TextBody"/>
      </w:pPr>
      <w:r>
        <w:drawing>
          <wp:inline>
            <wp:extent cx="5943600" cy="5117265"/>
            <wp:effectExtent b="0" l="0" r="0" t="0"/>
            <wp:docPr descr="" title="" id="69" name="Picture"/>
            <a:graphic>
              <a:graphicData uri="http://schemas.openxmlformats.org/drawingml/2006/picture">
                <pic:pic>
                  <pic:nvPicPr>
                    <pic:cNvPr descr="images/colour_summary.png" id="70" name="Picture"/>
                    <pic:cNvPicPr>
                      <a:picLocks noChangeArrowheads="1" noChangeAspect="1"/>
                    </pic:cNvPicPr>
                  </pic:nvPicPr>
                  <pic:blipFill>
                    <a:blip r:embed="rId68"/>
                    <a:stretch>
                      <a:fillRect/>
                    </a:stretch>
                  </pic:blipFill>
                  <pic:spPr bwMode="auto">
                    <a:xfrm>
                      <a:off x="0" y="0"/>
                      <a:ext cx="5943600" cy="5117265"/>
                    </a:xfrm>
                    <a:prstGeom prst="rect">
                      <a:avLst/>
                    </a:prstGeom>
                    <a:noFill/>
                    <a:ln w="9525">
                      <a:noFill/>
                      <a:headEnd/>
                      <a:tailEnd/>
                    </a:ln>
                  </pic:spPr>
                </pic:pic>
              </a:graphicData>
            </a:graphic>
          </wp:inline>
        </w:drawing>
      </w:r>
    </w:p>
    <w:p>
      <w:pPr>
        <w:pStyle w:val="TextBody"/>
      </w:pPr>
      <w:r>
        <w:t xml:space="preserve">Summary statistics of all measured colour soil properties at both sites. Error bars represent 1SD and the numeric values indicate the CV.</w:t>
      </w:r>
    </w:p>
    <w:bookmarkEnd w:id="71"/>
    <w:bookmarkEnd w:id="72"/>
    <w:sectPr>
      <w:footnotePr>
        <w:numFmt w:val="decimal"/>
      </w:footnotePr>
      <w:type w:val="nextPage"/>
      <w:pgSz w:h="15840" w:w="12240"/>
      <w:pgMar w:bottom="1440" w:footer="0" w:gutter="0" w:header="0" w:left="1440" w:right="1440" w:top="1440"/>
      <w:lnNumType w:countBy="1" w:distance="283"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Garamond">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autoHyphenation w:val="true"/>
  <w:drawingGridHorizontalSpacing w:val="360"/>
  <w:drawingGridVerticalSpacing w:val="360"/>
  <w:displayHorizontalDrawingGridEvery w:val="0"/>
  <w:displayVerticalDrawingGridEvery w:val="0"/>
  <w:characterSpacingControl w:val="doNotCompress"/>
  <w:savePreviewPicture/>
  <w:footnotePr>
    <w:numFmt w:val="decimal"/>
    <w:footnote w:id="0"/>
    <w:footnote w:id="1"/>
  </w:footnotePr>
  <w:compat>
    <w:compatSetting w:name="compatibilityMode" w:uri="http://schemas.microsoft.com/office/word" w:val="12"/>
    <w:compatSetting w:name="useWord2013TrackBottomHyphenation" w:uri="http://schemas.microsoft.com/office/word" w:val="1"/>
  </w:compat>
  <w:rsids>
  </w:rsids>
  <w:themeFontLang w:bidi="" w:eastAsia=""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rsid w:val="001e36a3"/>
    <w:pPr>
      <w:keepNext w:val="true"/>
      <w:keepLines/>
      <w:spacing w:after="0" w:before="480"/>
      <w:jc w:val="center"/>
      <w:outlineLvl w:val="0"/>
    </w:pPr>
    <w:rPr>
      <w:rFonts w:ascii="Garamond" w:cs="" w:cstheme="majorBidi" w:eastAsia="" w:eastAsiaTheme="majorEastAsia" w:hAnsi="Garamond"/>
      <w:b/>
      <w:bCs/>
      <w:color w:themeColor="text1" w:val="000000"/>
      <w:sz w:val="28"/>
      <w:szCs w:val="32"/>
    </w:rPr>
  </w:style>
  <w:style w:styleId="Heading2" w:type="paragraph">
    <w:name w:val="Heading 2"/>
    <w:basedOn w:val="Normal"/>
    <w:next w:val="TextBody"/>
    <w:uiPriority w:val="9"/>
    <w:unhideWhenUsed/>
    <w:qFormat/>
    <w:rsid w:val="00a96e27"/>
    <w:pPr>
      <w:keepNext w:val="true"/>
      <w:keepLines/>
      <w:spacing w:after="0" w:before="200"/>
      <w:outlineLvl w:val="1"/>
    </w:pPr>
    <w:rPr>
      <w:rFonts w:ascii="Garamond" w:cs="" w:cstheme="majorBidi" w:eastAsia="" w:eastAsiaTheme="majorEastAsia" w:hAnsi="Garamond"/>
      <w:b/>
      <w:bCs/>
      <w:color w:themeColor="text1" w:val="000000"/>
      <w:sz w:val="28"/>
      <w:szCs w:val="28"/>
    </w:rPr>
  </w:style>
  <w:style w:styleId="Heading3" w:type="paragraph">
    <w:name w:val="Heading 3"/>
    <w:basedOn w:val="Normal"/>
    <w:next w:val="TextBody"/>
    <w:uiPriority w:val="9"/>
    <w:unhideWhenUsed/>
    <w:qFormat/>
    <w:rsid w:val="00a96e27"/>
    <w:pPr>
      <w:keepNext w:val="true"/>
      <w:keepLines/>
      <w:spacing w:after="0" w:before="200"/>
      <w:outlineLvl w:val="2"/>
    </w:pPr>
    <w:rPr>
      <w:rFonts w:ascii="Garamond" w:cs="" w:cstheme="majorBidi" w:eastAsia="" w:eastAsiaTheme="majorEastAsia" w:hAnsi="Garamond"/>
      <w:b/>
      <w:bCs/>
      <w:color w:themeColor="text1" w:val="000000"/>
    </w:rPr>
  </w:style>
  <w:style w:styleId="Heading4" w:type="paragraph">
    <w:name w:val="Heading 4"/>
    <w:basedOn w:val="Normal"/>
    <w:next w:val="TextBody"/>
    <w:uiPriority w:val="9"/>
    <w:unhideWhenUsed/>
    <w:qFormat/>
    <w:rsid w:val="00a96e27"/>
    <w:pPr>
      <w:keepNext w:val="true"/>
      <w:keepLines/>
      <w:spacing w:after="0" w:before="200"/>
      <w:outlineLvl w:val="3"/>
    </w:pPr>
    <w:rPr>
      <w:rFonts w:ascii="Garamond" w:cs="" w:cstheme="majorBidi" w:eastAsia="" w:eastAsiaTheme="majorEastAsia" w:hAnsi="Garamond"/>
      <w:bCs/>
      <w:iCs/>
      <w:color w:themeColor="text1" w:val="000000"/>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Cs/>
      <w:color w:themeColor="accent1" w:val="4F81BD"/>
    </w:rPr>
  </w:style>
  <w:style w:styleId="Heading6" w:type="paragraph">
    <w:name w:val="Heading 6"/>
    <w:basedOn w:val="Normal"/>
    <w:next w:val="TextBody"/>
    <w:uiPriority w:val="9"/>
    <w:unhideWhenUsed/>
    <w:qFormat/>
    <w:rsid w:val="00a96e27"/>
    <w:pPr>
      <w:keepNext w:val="true"/>
      <w:keepLines/>
      <w:spacing w:after="0" w:before="200"/>
      <w:outlineLvl w:val="5"/>
    </w:pPr>
    <w:rPr>
      <w:rFonts w:ascii="Garamond" w:cs="" w:cstheme="majorBidi" w:eastAsia="" w:eastAsiaTheme="majorEastAsia" w:hAnsi="Garamond"/>
      <w:color w:themeColor="text1" w:val="000000"/>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rPr>
  </w:style>
  <w:style w:default="1" w:styleId="DefaultParagraphFont" w:type="character">
    <w:name w:val="Default Paragraph Font"/>
    <w:uiPriority w:val="1"/>
    <w:semiHidden/>
    <w:unhideWhenUsed/>
    <w:qFormat/>
    <w:rPr/>
  </w:style>
  <w:style w:customStyle="1" w:styleId="CaptionChar" w:type="character">
    <w:name w:val="Caption Char"/>
    <w:basedOn w:val="DefaultParagraphFont"/>
    <w:link w:val="Caption1"/>
    <w:qFormat/>
    <w:rPr/>
  </w:style>
  <w:style w:customStyle="1" w:styleId="VerbatimChar" w:type="character">
    <w:name w:val="Verbatim Char"/>
    <w:basedOn w:val="CaptionChar"/>
    <w:qFormat/>
    <w:rsid w:val="00a96e27"/>
    <w:rPr>
      <w:rFonts w:ascii="Consolas" w:hAnsi="Consolas"/>
      <w:sz w:val="22"/>
    </w:rPr>
  </w:style>
  <w:style w:customStyle="1" w:styleId="SectionNumber" w:type="character">
    <w:name w:val="Section Number"/>
    <w:basedOn w:val="CaptionChar"/>
    <w:qFormat/>
    <w:rPr/>
  </w:style>
  <w:style w:customStyle="1" w:styleId="FootnoteCharacters" w:type="character">
    <w:name w:val="Footnote Characters"/>
    <w:basedOn w:val="CaptionChar"/>
    <w:qFormat/>
    <w:rPr>
      <w:vertAlign w:val="superscript"/>
    </w:rPr>
  </w:style>
  <w:style w:customStyle="1" w:styleId="FootnoteAnchor" w:type="character">
    <w:name w:val="Footnote Anchor"/>
    <w:rPr>
      <w:vertAlign w:val="superscript"/>
    </w:rPr>
  </w:style>
  <w:style w:styleId="InternetLink" w:type="character">
    <w:name w:val="Hyperlink"/>
    <w:basedOn w:val="CaptionChar"/>
    <w:rPr>
      <w:color w:themeColor="accent1" w:val="4F81BD"/>
    </w:rPr>
  </w:style>
  <w:style w:customStyle="1" w:styleId="BalloonTextChar" w:type="character">
    <w:name w:val="Balloon Text Char"/>
    <w:basedOn w:val="DefaultParagraphFont"/>
    <w:link w:val="BalloonText"/>
    <w:qFormat/>
    <w:rsid w:val="00a96e27"/>
    <w:rPr>
      <w:rFonts w:ascii="Segoe UI" w:cs="Segoe UI" w:hAnsi="Segoe UI"/>
      <w:sz w:val="18"/>
      <w:szCs w:val="18"/>
    </w:rPr>
  </w:style>
  <w:style w:customStyle="1" w:styleId="EndnoteAnchor" w:type="character">
    <w:name w:val="Endnote Anchor"/>
    <w:rPr>
      <w:vertAlign w:val="superscript"/>
    </w:rPr>
  </w:style>
  <w:style w:customStyle="1" w:styleId="EndnoteCharacters" w:type="character">
    <w:name w:val="Endnote Characters"/>
    <w:qFormat/>
    <w:rPr/>
  </w:style>
  <w:style w:customStyle="1" w:styleId="LineNumbering" w:type="character">
    <w:name w:val="Line Numbering"/>
    <w:rPr/>
  </w:style>
  <w:style w:styleId="Linenumber" w:type="character">
    <w:name w:val="line number"/>
    <w:basedOn w:val="DefaultParagraphFont"/>
    <w:qFormat/>
    <w:rsid w:val="001e36a3"/>
    <w:rPr/>
  </w:style>
  <w:style w:customStyle="1"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qFormat/>
    <w:rsid w:val="00a96e27"/>
    <w:pPr>
      <w:spacing w:after="180" w:before="180" w:line="480" w:lineRule="auto"/>
    </w:pPr>
    <w:rPr/>
  </w:style>
  <w:style w:styleId="List" w:type="paragraph">
    <w:name w:val="List"/>
    <w:basedOn w:val="TextBody"/>
    <w:pPr/>
    <w:rPr>
      <w:rFonts w:cs="Lohit Devanagari"/>
    </w:rPr>
  </w:style>
  <w:style w:styleId="Caption" w:type="paragraph">
    <w:name w:val="Caption"/>
    <w:basedOn w:val="Normal"/>
    <w:qFormat/>
    <w:pPr>
      <w:suppressLineNumbers/>
      <w:spacing w:after="120" w:before="120"/>
    </w:pPr>
    <w:rPr>
      <w:rFonts w:cs="Lohit Devanagari"/>
      <w:i/>
      <w:iCs/>
      <w:sz w:val="24"/>
      <w:szCs w:val="24"/>
    </w:rPr>
  </w:style>
  <w:style w:customStyle="1" w:styleId="Index" w:type="paragraph">
    <w:name w:val="Index"/>
    <w:basedOn w:val="Normal"/>
    <w:qFormat/>
    <w:pPr>
      <w:suppressLineNumbers/>
    </w:pPr>
    <w:rPr>
      <w:rFonts w:cs="Lohit Devanagari"/>
    </w:rPr>
  </w:style>
  <w:style w:styleId="Caption1" w:type="paragraph">
    <w:name w:val="caption"/>
    <w:basedOn w:val="Normal"/>
    <w:link w:val="CaptionChar"/>
    <w:qFormat/>
    <w:pPr>
      <w:spacing w:after="120" w:before="0"/>
    </w:pPr>
    <w:rPr>
      <w:i/>
    </w:rPr>
  </w:style>
  <w:style w:customStyle="1" w:styleId="FirstParagraph" w:type="paragraph">
    <w:name w:val="First Paragraph"/>
    <w:basedOn w:val="TextBody"/>
    <w:next w:val="TextBody"/>
    <w:qFormat/>
    <w:rsid w:val="00a96e27"/>
    <w:pPr/>
    <w:rPr/>
  </w:style>
  <w:style w:customStyle="1" w:styleId="Compact" w:type="paragraph">
    <w:name w:val="Compact"/>
    <w:basedOn w:val="TextBody"/>
    <w:qFormat/>
    <w:rsid w:val="00a96e27"/>
    <w:pPr>
      <w:spacing w:after="36" w:before="36"/>
    </w:pPr>
    <w:rPr>
      <w:rFonts w:ascii="Garamond" w:hAnsi="Garamond"/>
      <w:color w:themeColor="text1" w:val="000000"/>
    </w:rPr>
  </w:style>
  <w:style w:styleId="Title" w:type="paragraph">
    <w:name w:val="Title"/>
    <w:basedOn w:val="Normal"/>
    <w:next w:val="TextBody"/>
    <w:qFormat/>
    <w:rsid w:val="001e36a3"/>
    <w:pPr>
      <w:keepNext w:val="true"/>
      <w:keepLines/>
      <w:spacing w:after="240" w:before="480"/>
      <w:jc w:val="center"/>
    </w:pPr>
    <w:rPr>
      <w:rFonts w:ascii="Calibri" w:asciiTheme="majorHAnsi" w:cs="" w:cstheme="majorBidi" w:eastAsia="" w:eastAsiaTheme="majorEastAsia" w:hAnsi="Calibri" w:hAnsiTheme="majorHAnsi"/>
      <w:b/>
      <w:bCs/>
      <w:sz w:val="28"/>
      <w:szCs w:val="36"/>
    </w:rPr>
  </w:style>
  <w:style w:styleId="Subtitle" w:type="paragraph">
    <w:name w:val="Subtitle"/>
    <w:basedOn w:val="Title"/>
    <w:next w:val="TextBody"/>
    <w:qFormat/>
    <w:pPr>
      <w:spacing w:after="240" w:before="240"/>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rsid w:val="00a96e27"/>
    <w:pPr>
      <w:keepNext w:val="true"/>
      <w:keepLines/>
      <w:widowControl/>
      <w:suppressAutoHyphens w:val="true"/>
      <w:bidi w:val="0"/>
      <w:spacing w:after="200" w:before="0"/>
      <w:jc w:val="center"/>
    </w:pPr>
    <w:rPr>
      <w:rFonts w:ascii="Garamond" w:cs="" w:eastAsia="Cambria" w:hAnsi="Garamond"/>
      <w:color w:themeColor="text1" w:val="000000"/>
      <w:kern w:val="0"/>
      <w:sz w:val="24"/>
      <w:szCs w:val="24"/>
      <w:lang w:bidi="ar-SA" w:eastAsia="en-US" w:val="en-US"/>
    </w:rPr>
  </w:style>
  <w:style w:customStyle="1" w:styleId="AbstractTitle" w:type="paragraph">
    <w:name w:val="Abstract Title"/>
    <w:basedOn w:val="Normal"/>
    <w:next w:val="Abstract"/>
    <w:qFormat/>
    <w:pPr>
      <w:keepNext w:val="true"/>
      <w:keepLines/>
      <w:spacing w:after="0" w:before="300"/>
      <w:jc w:val="center"/>
    </w:pPr>
    <w:rPr>
      <w:rFonts w:ascii="Garamond" w:hAnsi="Garamond"/>
      <w:b/>
      <w:color w:val="000000"/>
      <w:szCs w:val="20"/>
    </w:rPr>
  </w:style>
  <w:style w:customStyle="1" w:styleId="Abstract" w:type="paragraph">
    <w:name w:val="Abstract"/>
    <w:basedOn w:val="Normal"/>
    <w:next w:val="TextBody"/>
    <w:qFormat/>
    <w:rsid w:val="001e36a3"/>
    <w:pPr>
      <w:keepNext w:val="true"/>
      <w:keepLines/>
      <w:spacing w:after="74" w:before="0" w:line="480" w:lineRule="auto"/>
    </w:pPr>
    <w:rPr>
      <w:rFonts w:ascii="Garamond" w:hAnsi="Garamond"/>
      <w:b w:val="false"/>
      <w:color w:themeColor="text1" w:val="000000"/>
    </w:rPr>
  </w:style>
  <w:style w:styleId="Bibliography" w:type="paragraph">
    <w:name w:val="Bibliography"/>
    <w:basedOn w:val="Normal"/>
    <w:qFormat/>
    <w:pPr/>
    <w:rPr/>
  </w:style>
  <w:style w:styleId="BlockText" w:type="paragraph">
    <w:name w:val="Block Text"/>
    <w:basedOn w:val="TextBody"/>
    <w:next w:val="TextBody"/>
    <w:uiPriority w:val="9"/>
    <w:unhideWhenUsed/>
    <w:qFormat/>
    <w:rsid w:val="00a96e27"/>
    <w:pPr>
      <w:spacing w:after="100" w:before="100"/>
      <w:ind w:hanging="0" w:left="480" w:right="480"/>
    </w:pPr>
    <w:rPr/>
  </w:style>
  <w:style w:styleId="Footnote" w:type="paragraph">
    <w:name w:val="Footnote Text"/>
    <w:basedOn w:val="Normal"/>
    <w:uiPriority w:val="9"/>
    <w:unhideWhenUsed/>
    <w:qFormat/>
    <w:rsid w:val="00a96e27"/>
    <w:pPr/>
    <w:rPr/>
  </w:style>
  <w:style w:customStyle="1" w:styleId="FootnoteBlockText" w:type="paragraph">
    <w:name w:val="Footnote Block Text"/>
    <w:uiPriority w:val="9"/>
    <w:unhideWhenUsed/>
    <w:qFormat/>
    <w:pPr>
      <w:widowControl/>
      <w:suppressAutoHyphens w:val="true"/>
      <w:bidi w:val="0"/>
      <w:spacing w:after="100" w:before="100"/>
      <w:ind w:hanging="0" w:left="480" w:right="48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DefinitionTerm" w:type="paragraph">
    <w:name w:val="Definition Term"/>
    <w:basedOn w:val="Normal"/>
    <w:next w:val="Definition"/>
    <w:qFormat/>
    <w:rsid w:val="00a96e27"/>
    <w:pPr>
      <w:keepNext w:val="true"/>
      <w:keepLines/>
      <w:spacing w:after="0" w:before="0"/>
    </w:pPr>
    <w:rPr>
      <w:b/>
    </w:rPr>
  </w:style>
  <w:style w:customStyle="1" w:styleId="Definition" w:type="paragraph">
    <w:name w:val="Definition"/>
    <w:basedOn w:val="Normal"/>
    <w:qFormat/>
    <w:rsid w:val="00a96e27"/>
    <w:pPr/>
    <w:rPr/>
  </w:style>
  <w:style w:customStyle="1" w:styleId="TableCaption" w:type="paragraph">
    <w:name w:val="Table Caption"/>
    <w:basedOn w:val="Caption1"/>
    <w:qFormat/>
    <w:rsid w:val="00a96e27"/>
    <w:pPr>
      <w:keepNext w:val="true"/>
    </w:pPr>
    <w:rPr/>
  </w:style>
  <w:style w:customStyle="1" w:styleId="ImageCaption" w:type="paragraph">
    <w:name w:val="Image Caption"/>
    <w:basedOn w:val="Caption1"/>
    <w:qFormat/>
    <w:rsid w:val="00a96e27"/>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qFormat/>
    <w:pPr/>
    <w:rPr/>
  </w:style>
  <w:style w:styleId="IndexHeading1" w:type="paragraph">
    <w:name w:val="Index Heading"/>
    <w:basedOn w:val="Heading"/>
    <w:pPr/>
    <w:rPr/>
  </w:style>
  <w:style w:styleId="ContentsHeading" w:type="paragraph">
    <w:name w:val="TOC Heading"/>
    <w:basedOn w:val="Heading1"/>
    <w:next w:val="TextBody"/>
    <w:uiPriority w:val="39"/>
    <w:unhideWhenUsed/>
    <w:qFormat/>
    <w:pPr>
      <w:spacing w:after="0" w:before="240" w:line="259" w:lineRule="auto"/>
      <w:outlineLvl w:val="9"/>
    </w:pPr>
    <w:rPr>
      <w:rFonts w:ascii="Calibri" w:asciiTheme="majorHAnsi" w:hAnsi="Calibri" w:hAnsiTheme="majorHAnsi"/>
      <w:b w:val="false"/>
      <w:bCs w:val="false"/>
      <w:color w:themeColor="accent1" w:themeShade="bf" w:val="365F91"/>
    </w:rPr>
  </w:style>
  <w:style w:styleId="BalloonText" w:type="paragraph">
    <w:name w:val="Balloon Text"/>
    <w:basedOn w:val="Normal"/>
    <w:link w:val="BalloonTextChar"/>
    <w:qFormat/>
    <w:rsid w:val="00a96e27"/>
    <w:pPr>
      <w:spacing w:after="0" w:before="0"/>
    </w:pPr>
    <w:rPr>
      <w:rFonts w:ascii="Segoe UI" w:cs="Segoe UI" w:hAnsi="Segoe UI"/>
      <w:sz w:val="18"/>
      <w:szCs w:val="18"/>
    </w:rPr>
  </w:style>
  <w:style w:customStyle="1"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Header" w:type="paragraph">
    <w:name w:val="Header"/>
    <w:basedOn w:val="HeaderandFooter"/>
    <w:pPr>
      <w:suppressLineNumbers/>
    </w:pPr>
    <w:rPr/>
  </w:style>
  <w:style w:default="1" w:styleId="NoList" w:type="numbering">
    <w:name w:val="No List"/>
    <w:uiPriority w:val="99"/>
    <w:semiHidden/>
    <w:unhideWhenUsed/>
    <w:qFormat/>
  </w:style>
  <w:style w:default="1" w:styleId="TableNormal" w:type="table">
    <w:name w:val="Normal Table"/>
    <w:uiPriority w:val="99"/>
    <w:semiHidden/>
    <w:unhideWhenUsed/>
    <w:tblPr>
      <w:tblCellMar>
        <w:top w:type="dxa" w:w="0"/>
        <w:left w:type="dxa" w:w="108"/>
        <w:bottom w:type="dxa" w:w="0"/>
        <w:right w:type="dxa" w:w="108"/>
      </w:tblCellMar>
    </w:tbl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hyperlink" Id="rId59" Target="https://alex-koiter.github.io/spatial-variability-soil-manuscript/notebooks/RF_results.qmd.html#cell-fig-RF-results" TargetMode="External" /><Relationship Type="http://schemas.openxmlformats.org/officeDocument/2006/relationships/hyperlink" Id="rId25" Target="https://alex-koiter.github.io/spatial-variability-soil-manuscript/notebooks/location_map.qmd.html#cell-fig-location_map" TargetMode="External" /><Relationship Type="http://schemas.openxmlformats.org/officeDocument/2006/relationships/hyperlink" Id="rId34" Target="https://alex-koiter.github.io/spatial-variability-soil-manuscript/notebooks/semivariogram.qmd.html#cell-tbl-geochem-semivariogram" TargetMode="External" /><Relationship Type="http://schemas.openxmlformats.org/officeDocument/2006/relationships/hyperlink" Id="rId39" Target="https://alex-koiter.github.io/spatial-variability-soil-manuscript/notebooks/soil_property_maps.qmd.html#cell-fig-ag_map" TargetMode="External" /><Relationship Type="http://schemas.openxmlformats.org/officeDocument/2006/relationships/hyperlink" Id="rId44" Target="https://alex-koiter.github.io/spatial-variability-soil-manuscript/notebooks/soil_property_maps.qmd.html#cell-fig-ag_map2" TargetMode="External" /><Relationship Type="http://schemas.openxmlformats.org/officeDocument/2006/relationships/hyperlink" Id="rId49" Target="https://alex-koiter.github.io/spatial-variability-soil-manuscript/notebooks/soil_property_maps.qmd.html#cell-fig-forest_map" TargetMode="External" /><Relationship Type="http://schemas.openxmlformats.org/officeDocument/2006/relationships/hyperlink" Id="rId54" Target="https://alex-koiter.github.io/spatial-variability-soil-manuscript/notebooks/soil_property_maps.qmd.html#cell-fig-forest_map2" TargetMode="External" /><Relationship Type="http://schemas.openxmlformats.org/officeDocument/2006/relationships/hyperlink" Id="rId29" Target="https://alex-koiter.github.io/spatial-variability-soil-manuscript/notebooks/univariate_summary.qmd.html#cell-tbl-univariate-summary" TargetMode="External" /><Relationship Type="http://schemas.openxmlformats.org/officeDocument/2006/relationships/hyperlink" Id="rId31" Target="https://alex-koiter.github.io/spatial-variability-soil-manuscript/notebooks/univariate_summary.qmd.html#cell-tbl-univariate2-summary" TargetMode="External" /></Relationships>
</file>

<file path=word/_rels/footnotes.xml.rels><?xml version="1.0" encoding="UTF-8"?><Relationships xmlns="http://schemas.openxmlformats.org/package/2006/relationships"><Relationship Type="http://schemas.openxmlformats.org/officeDocument/2006/relationships/hyperlink" Id="rId59" Target="https://alex-koiter.github.io/spatial-variability-soil-manuscript/notebooks/RF_results.qmd.html#cell-fig-RF-results" TargetMode="External" /><Relationship Type="http://schemas.openxmlformats.org/officeDocument/2006/relationships/hyperlink" Id="rId25" Target="https://alex-koiter.github.io/spatial-variability-soil-manuscript/notebooks/location_map.qmd.html#cell-fig-location_map" TargetMode="External" /><Relationship Type="http://schemas.openxmlformats.org/officeDocument/2006/relationships/hyperlink" Id="rId34" Target="https://alex-koiter.github.io/spatial-variability-soil-manuscript/notebooks/semivariogram.qmd.html#cell-tbl-geochem-semivariogram" TargetMode="External" /><Relationship Type="http://schemas.openxmlformats.org/officeDocument/2006/relationships/hyperlink" Id="rId39" Target="https://alex-koiter.github.io/spatial-variability-soil-manuscript/notebooks/soil_property_maps.qmd.html#cell-fig-ag_map" TargetMode="External" /><Relationship Type="http://schemas.openxmlformats.org/officeDocument/2006/relationships/hyperlink" Id="rId44" Target="https://alex-koiter.github.io/spatial-variability-soil-manuscript/notebooks/soil_property_maps.qmd.html#cell-fig-ag_map2" TargetMode="External" /><Relationship Type="http://schemas.openxmlformats.org/officeDocument/2006/relationships/hyperlink" Id="rId49" Target="https://alex-koiter.github.io/spatial-variability-soil-manuscript/notebooks/soil_property_maps.qmd.html#cell-fig-forest_map" TargetMode="External" /><Relationship Type="http://schemas.openxmlformats.org/officeDocument/2006/relationships/hyperlink" Id="rId54" Target="https://alex-koiter.github.io/spatial-variability-soil-manuscript/notebooks/soil_property_maps.qmd.html#cell-fig-forest_map2" TargetMode="External" /><Relationship Type="http://schemas.openxmlformats.org/officeDocument/2006/relationships/hyperlink" Id="rId29" Target="https://alex-koiter.github.io/spatial-variability-soil-manuscript/notebooks/univariate_summary.qmd.html#cell-tbl-univariate-summary" TargetMode="External" /><Relationship Type="http://schemas.openxmlformats.org/officeDocument/2006/relationships/hyperlink" Id="rId31" Target="https://alex-koiter.github.io/spatial-variability-soil-manuscript/notebooks/univariate_summary.qmd.html#cell-tbl-univariate2-summar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Application>LibreOffice/7.3.7.2$Linux_X86_64 LibreOffice_project/30$Build-2</Application>
  <AppVersion>15.0000</AppVersion>
  <Pages>2</Pages>
  <Words>55</Words>
  <Characters>293</Characters>
  <CharactersWithSpaces>382</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Spatial Variability in Soil Geochemical and Colour Properties Across Two Contrasting Land Uses</dc:title>
  <dc:creator>Maria Luna; Alexander J Koiter; Taras E Lychuk; Arnie Waddel; Alan Moulin</dc:creator>
  <cp:keywords>Soil geochemistry, Soil colour, Spatial analysis</cp:keywords>
  <dcterms:created xsi:type="dcterms:W3CDTF">2024-03-22T17:18:28Z</dcterms:created>
  <dcterms:modified xsi:type="dcterms:W3CDTF">2024-03-22T17:18:28Z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Quantification and accurate assessment of the spatial variability and distribution of soil physical and biogeochemical properties (fingerprints) are vital components of agri-environmental research and modeling, including sediment source fingerprinting. Understanding the distribution of soil properties at a range of spatial scales is crucial in the development of appropriate, reliable, and efficient sampling campaigns. This study was aimed to investigate the spatial variability in soil geochemical and colour (i.e., spectral reflectance) fingerprints across two contrasting land uses. The main objectives of this study are to: 1) quantify the spatial variability of geochemical and colour fingerprint properties at a field-scale (~ 40 ha) across agricultural and forested sites; 2) evaluate the spatial variability and distribution of soil fingerprint properties and its relation to a range of terrain attributes (e.g., slope); and 3) identify the possible sources of variation in each land use, primarily environmental factors. A combination of univariate analysis and geostatistical methods were applied to analyze the soil geochemistry and colour properties. This information was used to both quantify and assess the variability in commonly used fingerprints. Terrain attributes derived from digital elevation model (DEM) were used to investigate spatial variation of soil geochemical and colour fingerprint properties. The ability of terrain attributes to explain the observed variability in soil fingerprints played an important role across all properties. The present study suggest that kriging interpolation can directly reveal the spatial distribution of soil fingerprint properties and quantify the variability at a field-scale.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csl">
    <vt:lpwstr>geoderma.csl</vt:lpwstr>
  </property>
  <property fmtid="{D5CDD505-2E9C-101B-9397-08002B2CF9AE}" pid="13" name="date-modified">
    <vt:lpwstr>2024-03-22</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
  </property>
  <property fmtid="{D5CDD505-2E9C-101B-9397-08002B2CF9AE}" pid="19" name="labels">
    <vt:lpwstr/>
  </property>
  <property fmtid="{D5CDD505-2E9C-101B-9397-08002B2CF9AE}" pid="20" name="lightbox">
    <vt:lpwstr>auto</vt:lpwstr>
  </property>
  <property fmtid="{D5CDD505-2E9C-101B-9397-08002B2CF9AE}" pid="21" name="link-bibliography">
    <vt:lpwstr>True</vt:lpwstr>
  </property>
  <property fmtid="{D5CDD505-2E9C-101B-9397-08002B2CF9AE}" pid="22" name="link-citations">
    <vt:lpwstr>True</vt:lpwstr>
  </property>
  <property fmtid="{D5CDD505-2E9C-101B-9397-08002B2CF9AE}" pid="23" name="manuscript">
    <vt:lpwstr/>
  </property>
  <property fmtid="{D5CDD505-2E9C-101B-9397-08002B2CF9AE}" pid="24" name="notebook-preview-options">
    <vt:lpwstr/>
  </property>
  <property fmtid="{D5CDD505-2E9C-101B-9397-08002B2CF9AE}" pid="25" name="plain-language-summary">
    <vt:lpwstr>Spatial analysis is tricky buisness</vt:lpwstr>
  </property>
  <property fmtid="{D5CDD505-2E9C-101B-9397-08002B2CF9AE}" pid="26" name="quarto-internal">
    <vt:lpwstr/>
  </property>
  <property fmtid="{D5CDD505-2E9C-101B-9397-08002B2CF9AE}" pid="27" name="remove-hidden">
    <vt:lpwstr>all</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