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5.png" ContentType="image/png"/>
  <Override PartName="/word/media/rId139.png" ContentType="image/png"/>
  <Override PartName="/word/media/rId48.png" ContentType="image/png"/>
  <Override PartName="/word/media/rId2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Spatial Variability in Soil Geochemical and Colour Properties Across Two Contrasting Land Uses</w:t>
      </w:r>
    </w:p>
    <w:p>
      <w:pPr>
        <w:pStyle w:val="Author"/>
      </w:pPr>
      <w:r>
        <w:t xml:space="preserve">Maria Luna Miño</w:t>
      </w:r>
    </w:p>
    <w:p>
      <w:pPr>
        <w:pStyle w:val="Author"/>
      </w:pPr>
      <w:r>
        <w:t xml:space="preserve">Alexander J Koiter</w:t>
      </w:r>
    </w:p>
    <w:p>
      <w:pPr>
        <w:pStyle w:val="Author"/>
      </w:pPr>
      <w:r>
        <w:t xml:space="preserve">Taras E Lychuk</w:t>
      </w:r>
    </w:p>
    <w:p>
      <w:pPr>
        <w:pStyle w:val="Author"/>
      </w:pPr>
      <w:r>
        <w:t xml:space="preserve">Arnie Waddel</w:t>
      </w:r>
    </w:p>
    <w:p>
      <w:pPr>
        <w:pStyle w:val="Author"/>
      </w:pPr>
      <w:r>
        <w:t xml:space="preserve">Alan Moulin</w:t>
      </w:r>
    </w:p>
    <w:p>
      <w:pPr>
        <w:pStyle w:val="AbstractTitle"/>
      </w:pPr>
      <w:r>
        <w:t xml:space="preserve">Abstract</w:t>
      </w:r>
    </w:p>
    <w:p>
      <w:pPr>
        <w:pStyle w:val="Abstract"/>
      </w:pPr>
      <w:r>
        <w:t xml:space="preserve">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the five soil forming factors: parent material, relief or topography, biota, climate, and time. Superimposed on this is the influence of changes in land use and current and historic management practices which can further modify soil properties. Quantifying and understanding the patterns and drivers for this variation is an important component of many agri-environmental studies. For example, to meet the desired level of precision for agronomic and environmental nutrient management plans the spatial variability in soil nutrients will influence the soil sampling design in terms of number and locations of soil samples</w:t>
      </w:r>
      <w:r>
        <w:t xml:space="preserve"> </w:t>
      </w:r>
      <w:r>
        <w:t xml:space="preserve">(</w:t>
      </w:r>
      <w:hyperlink w:anchor="ref-kariuki2009">
        <w:r>
          <w:rPr>
            <w:rStyle w:val="InternetLink"/>
          </w:rPr>
          <w:t xml:space="preserve">Kariuki et al., 2009</w:t>
        </w:r>
      </w:hyperlink>
      <w:r>
        <w:t xml:space="preserve">;</w:t>
      </w:r>
      <w:r>
        <w:t xml:space="preserve"> </w:t>
      </w:r>
      <w:hyperlink w:anchor="ref-starr1995">
        <w:r>
          <w:rPr>
            <w:rStyle w:val="InternetLink"/>
          </w:rPr>
          <w:t xml:space="preserve">Starr et al., 1995</w:t>
        </w:r>
      </w:hyperlink>
      <w:r>
        <w:t xml:space="preserve">)</w:t>
      </w:r>
      <w:r>
        <w:t xml:space="preserve">.</w:t>
      </w:r>
    </w:p>
    <w:p>
      <w:pPr>
        <w:pStyle w:val="TextBody"/>
      </w:pPr>
      <w:r>
        <w:t xml:space="preserve">Sediment source fingerprinting is a watershed-scale technique that is used to identify and quantify the relative proportions of sediment derived from unique sources. This technique uses natural occurring biogeochemical properties as fingerprints (i.e., tracers) to discriminate between potential sources of sediment and are linked to downstream sediment using mixing models. From a sediment fingerprinting perspective, investigating the spatial variability of soil properties at a watershed-scale can be advantageous to identify, classify, and distinguish between potential sources of sediment</w:t>
      </w:r>
      <w:r>
        <w:t xml:space="preserve"> </w:t>
      </w:r>
      <w:r>
        <w:t xml:space="preserve">(</w:t>
      </w:r>
      <w:hyperlink w:anchor="ref-pulley2017">
        <w:r>
          <w:rPr>
            <w:rStyle w:val="InternetLink"/>
          </w:rPr>
          <w:t xml:space="preserve">Pulley et al., 2017</w:t>
        </w:r>
      </w:hyperlink>
      <w:r>
        <w:t xml:space="preserve">)</w:t>
      </w:r>
      <w:r>
        <w:t xml:space="preserve">. However, investigating spatial variability at smaller scales is less common</w:t>
      </w:r>
      <w:r>
        <w:t xml:space="preserve"> </w:t>
      </w:r>
      <w:r>
        <w:t xml:space="preserve">(</w:t>
      </w:r>
      <w:hyperlink w:anchor="ref-collins2019">
        <w:r>
          <w:rPr>
            <w:rStyle w:val="InternetLink"/>
          </w:rPr>
          <w:t xml:space="preserve">Collins et al., 2019</w:t>
        </w:r>
      </w:hyperlink>
      <w:r>
        <w:t xml:space="preserve">; e.g.,</w:t>
      </w:r>
      <w:r>
        <w:t xml:space="preserve"> </w:t>
      </w:r>
      <w:hyperlink w:anchor="ref-du2017">
        <w:r>
          <w:rPr>
            <w:rStyle w:val="InternetLink"/>
          </w:rPr>
          <w:t xml:space="preserve">Du and Walling, 2017</w:t>
        </w:r>
      </w:hyperlink>
      <w:r>
        <w:t xml:space="preserve">;</w:t>
      </w:r>
      <w:r>
        <w:t xml:space="preserve"> </w:t>
      </w:r>
      <w:hyperlink w:anchor="ref-lunamiño2024">
        <w:r>
          <w:rPr>
            <w:rStyle w:val="InternetLink"/>
          </w:rPr>
          <w:t xml:space="preserve">Luna Miño et al., 2024</w:t>
        </w:r>
      </w:hyperlink>
      <w:r>
        <w:t xml:space="preserve">;</w:t>
      </w:r>
      <w:r>
        <w:t xml:space="preserve"> </w:t>
      </w:r>
      <w:hyperlink w:anchor="ref-pulley2018">
        <w:r>
          <w:rPr>
            <w:rStyle w:val="InternetLink"/>
          </w:rPr>
          <w:t xml:space="preserve">Pulley et al., 2018</w:t>
        </w:r>
      </w:hyperlink>
      <w:r>
        <w:t xml:space="preserve">)</w:t>
      </w:r>
      <w:r>
        <w:t xml:space="preserve"> </w:t>
      </w:r>
      <w:r>
        <w:t xml:space="preserve">and remains a research priority</w:t>
      </w:r>
      <w:r>
        <w:t xml:space="preserve"> </w:t>
      </w:r>
      <w:r>
        <w:t xml:space="preserve">(</w:t>
      </w:r>
      <w:hyperlink w:anchor="ref-collins2020">
        <w:r>
          <w:rPr>
            <w:rStyle w:val="InternetLink"/>
          </w:rPr>
          <w:t xml:space="preserve">Collins et al., 2020</w:t>
        </w:r>
      </w:hyperlink>
      <w:r>
        <w:t xml:space="preserve">)</w:t>
      </w:r>
      <w:r>
        <w:t xml:space="preserve">.</w:t>
      </w:r>
    </w:p>
    <w:p>
      <w:pPr>
        <w:pStyle w:val="TextBody"/>
      </w:pPr>
      <w:r>
        <w:t xml:space="preserve">There are three main, interconnected, ways that spatial variability in fingerprint properties are an important aspect of sediment fingerprinting. First is to adequately quantify the fingerprint properties such that it is representative of that source. For some fingerprints the variability is not random but rather varies in a more systematic way. For example, the pattern of fallout radionuclides will reflect the patterns of soil erosion and deposition</w:t>
      </w:r>
      <w:r>
        <w:t xml:space="preserve"> </w:t>
      </w:r>
      <w:r>
        <w:t xml:space="preserve">(</w:t>
      </w:r>
      <w:hyperlink w:anchor="ref-wilkinson2015">
        <w:r>
          <w:rPr>
            <w:rStyle w:val="InternetLink"/>
          </w:rPr>
          <w:t xml:space="preserve">Wilkinson et al., 2015</w:t>
        </w:r>
      </w:hyperlink>
      <w:r>
        <w:t xml:space="preserve">)</w:t>
      </w:r>
      <w:r>
        <w:t xml:space="preserve">. Designing and implementing source sampling plans need to take this into consideration as the sampling designed used has been shown to influence the characterization of wide range of commonly used fingerprints</w:t>
      </w:r>
      <w:r>
        <w:t xml:space="preserve"> </w:t>
      </w:r>
      <w:r>
        <w:t xml:space="preserve">(</w:t>
      </w:r>
      <w:hyperlink w:anchor="ref-lunamiño2024">
        <w:r>
          <w:rPr>
            <w:rStyle w:val="InternetLink"/>
          </w:rPr>
          <w:t xml:space="preserve">Luna Miño et al., 2024</w:t>
        </w:r>
      </w:hyperlink>
      <w:r>
        <w:t xml:space="preserve">)</w:t>
      </w:r>
      <w:r>
        <w:t xml:space="preserve">.</w:t>
      </w:r>
    </w:p>
    <w:p>
      <w:pPr>
        <w:pStyle w:val="TextBody"/>
      </w:pPr>
      <w:r>
        <w:t xml:space="preserve">Secondly, the issue of spatial variability of fingerprint properties is further complicated by overlying spatial variability in the rates of erosion and sediment delivery. Incorporation of both types of variability into the mixing model will provide a more reliable estimate of the proportion of sediment derived from each source. Many mixing models have well defined inputs (sources) and outputs (sediment) that are characterized by their mean and standard deviation and the spatial distribution or pattern of fingerprints are not considered. This is not ideal as the values of samples that are collected closer, and more hydrologically connected, to the stream network may in fact a better representation of that source despite potentially deviating from the mean value. This issue can be addressed by strategic sampling where the more likely to erode areas are targeted for sampling. However, a considerable amount of information and insight is lost through that approach. There has been some progress using information on erosion rates to calculate a erosion rate-weighted mean</w:t>
      </w:r>
      <w:r>
        <w:t xml:space="preserve"> </w:t>
      </w:r>
      <w:r>
        <w:t xml:space="preserve">(</w:t>
      </w:r>
      <w:hyperlink w:anchor="ref-du2017">
        <w:r>
          <w:rPr>
            <w:rStyle w:val="InternetLink"/>
          </w:rPr>
          <w:t xml:space="preserve">Du and Walling, 2017</w:t>
        </w:r>
      </w:hyperlink>
      <w:r>
        <w:t xml:space="preserve">;</w:t>
      </w:r>
      <w:r>
        <w:t xml:space="preserve"> </w:t>
      </w:r>
      <w:hyperlink w:anchor="ref-wilkinson2015">
        <w:r>
          <w:rPr>
            <w:rStyle w:val="InternetLink"/>
          </w:rPr>
          <w:t xml:space="preserve">Wilkinson et al., 2015</w:t>
        </w:r>
      </w:hyperlink>
      <w:r>
        <w:t xml:space="preserve">)</w:t>
      </w:r>
      <w:r>
        <w:t xml:space="preserve"> </w:t>
      </w:r>
      <w:r>
        <w:t xml:space="preserve">and using spatially interpolated maps of fingerprint values to provided a finer resolution of the fingerprint variability within each source</w:t>
      </w:r>
      <w:r>
        <w:t xml:space="preserve"> </w:t>
      </w:r>
      <w:r>
        <w:t xml:space="preserve">(</w:t>
      </w:r>
      <w:hyperlink w:anchor="ref-haddadchi2019">
        <w:r>
          <w:rPr>
            <w:rStyle w:val="InternetLink"/>
          </w:rPr>
          <w:t xml:space="preserve">Haddadchi et al., 2019</w:t>
        </w:r>
      </w:hyperlink>
      <w:r>
        <w:t xml:space="preserve">)</w:t>
      </w:r>
      <w:r>
        <w:t xml:space="preserve">.</w:t>
      </w:r>
    </w:p>
    <w:p>
      <w:pPr>
        <w:pStyle w:val="TextBody"/>
      </w:pPr>
      <w:r>
        <w:t xml:space="preserve">Secondly, understanding the geomorphic, hydrologic, and biochemical processes that have led to the observed patterns in spatial variability helps in the selection of robust and reliable fingerprints and/or guide the sampling design for source characterization. In selecting fingerprints that provide good discrimination between sources many studies typically used a statistical-based approach</w:t>
      </w:r>
      <w:r>
        <w:t xml:space="preserve"> </w:t>
      </w:r>
      <w:r>
        <w:t xml:space="preserve">(</w:t>
      </w:r>
      <w:hyperlink w:anchor="ref-collins1997">
        <w:r>
          <w:rPr>
            <w:rStyle w:val="InternetLink"/>
          </w:rPr>
          <w:t xml:space="preserve">Collins et al., 1997</w:t>
        </w:r>
      </w:hyperlink>
      <w:r>
        <w:t xml:space="preserve">)</w:t>
      </w:r>
      <w:r>
        <w:t xml:space="preserve">. However, there are concerns that this approach may result in the inclusion of false positives (i.e., type I error) or non-conservative fingerprints</w:t>
      </w:r>
      <w:r>
        <w:t xml:space="preserve"> </w:t>
      </w:r>
      <w:r>
        <w:t xml:space="preserve">(</w:t>
      </w:r>
      <w:hyperlink w:anchor="ref-koiter2013">
        <w:r>
          <w:rPr>
            <w:rStyle w:val="InternetLink"/>
          </w:rPr>
          <w:t xml:space="preserve">Koiter et al., 2013</w:t>
        </w:r>
      </w:hyperlink>
      <w:r>
        <w:t xml:space="preserve">)</w:t>
      </w:r>
      <w:r>
        <w:t xml:space="preserve">. Consequently, there has been a call for the inclusion of a process-based (e.g., weathering, erosion) or geologic/lithologic-based explanation of the fingerprints selected to address these concerns</w:t>
      </w:r>
      <w:r>
        <w:t xml:space="preserve"> </w:t>
      </w:r>
      <w:r>
        <w:t xml:space="preserve">(</w:t>
      </w:r>
      <w:hyperlink w:anchor="ref-collins2020">
        <w:r>
          <w:rPr>
            <w:rStyle w:val="InternetLink"/>
          </w:rPr>
          <w:t xml:space="preserve">Collins et al., 2020</w:t>
        </w:r>
      </w:hyperlink>
      <w:r>
        <w:t xml:space="preserve">)</w:t>
      </w:r>
      <w:r>
        <w:t xml:space="preserve">. Furthermore, there is also a lack of standardization in how sediment source areas are sampled (e.g., judgement, random, transect, grid, stratified) and it can be difficult to have an efficient sampling design without prior knowledge of why and how soil properties vary across the landscape</w:t>
      </w:r>
      <w:r>
        <w:t xml:space="preserve"> </w:t>
      </w:r>
      <w:r>
        <w:t xml:space="preserve">(</w:t>
      </w:r>
      <w:hyperlink w:anchor="ref-lunamiño2024">
        <w:r>
          <w:rPr>
            <w:rStyle w:val="InternetLink"/>
          </w:rPr>
          <w:t xml:space="preserve">Luna Miño et al., 2024</w:t>
        </w:r>
      </w:hyperlink>
      <w:r>
        <w:t xml:space="preserve">)</w:t>
      </w:r>
      <w:r>
        <w:t xml:space="preserve">. Prior knowledge of the spatial variability of soil fingerprint properties would be beneficial; however, in practice this can be difficult, particularly with geochemical properties as routine lab analysis often return information on more than 50 elements. The spatial patterns of some soil properties are well studied because of their agronomic importance or ability to infer other important soil properties and processes and can include fallout radionuclides [e.g.,</w:t>
      </w:r>
      <w:r>
        <w:t xml:space="preserve"> </w:t>
      </w:r>
      <w:r>
        <w:rPr>
          <w:vertAlign w:val="superscript"/>
        </w:rPr>
        <w:t xml:space="preserve">137</w:t>
      </w:r>
      <w:r>
        <w:t xml:space="preserve">Cs,</w:t>
      </w:r>
      <w:r>
        <w:t xml:space="preserve"> </w:t>
      </w:r>
      <w:r>
        <w:rPr>
          <w:vertAlign w:val="superscript"/>
        </w:rPr>
        <w:t xml:space="preserve">7</w:t>
      </w:r>
      <w:r>
        <w:t xml:space="preserve">Be;</w:t>
      </w:r>
      <w:r>
        <w:t xml:space="preserve"> </w:t>
      </w:r>
      <w:r>
        <w:t xml:space="preserve">Ritchie et al. (</w:t>
      </w:r>
      <w:hyperlink w:anchor="ref-ritchie1970">
        <w:r>
          <w:rPr>
            <w:rStyle w:val="InternetLink"/>
          </w:rPr>
          <w:t xml:space="preserve">1970</w:t>
        </w:r>
      </w:hyperlink>
      <w:r>
        <w:t xml:space="preserve">)</w:t>
      </w:r>
      <w:r>
        <w:t xml:space="preserve">], plant nutrients [e.g., N, P;</w:t>
      </w:r>
      <w:r>
        <w:t xml:space="preserve"> </w:t>
      </w:r>
      <w:r>
        <w:t xml:space="preserve">Vasu et al. (</w:t>
      </w:r>
      <w:hyperlink w:anchor="ref-vasu2017">
        <w:r>
          <w:rPr>
            <w:rStyle w:val="InternetLink"/>
          </w:rPr>
          <w:t xml:space="preserve">2017</w:t>
        </w:r>
      </w:hyperlink>
      <w:r>
        <w:t xml:space="preserve">)</w:t>
      </w:r>
      <w:r>
        <w:t xml:space="preserve">], soil colour [e.g., hue, value;</w:t>
      </w:r>
      <w:r>
        <w:t xml:space="preserve"> </w:t>
      </w:r>
      <w:r>
        <w:t xml:space="preserve">Viscarra Rossel et al. (</w:t>
      </w:r>
      <w:hyperlink w:anchor="ref-viscarrarossel2006">
        <w:r>
          <w:rPr>
            <w:rStyle w:val="InternetLink"/>
          </w:rPr>
          <w:t xml:space="preserve">2006</w:t>
        </w:r>
      </w:hyperlink>
      <w:r>
        <w:t xml:space="preserve">)</w:t>
      </w:r>
      <w:r>
        <w:t xml:space="preserve">], major non-acid forming cations [e.g., Ca, Na;</w:t>
      </w:r>
      <w:r>
        <w:t xml:space="preserve"> </w:t>
      </w:r>
      <w:r>
        <w:t xml:space="preserve">Sun et al. (</w:t>
      </w:r>
      <w:hyperlink w:anchor="ref-sun2021">
        <w:r>
          <w:rPr>
            <w:rStyle w:val="InternetLink"/>
          </w:rPr>
          <w:t xml:space="preserve">2021</w:t>
        </w:r>
      </w:hyperlink>
      <w:r>
        <w:t xml:space="preserve">)</w:t>
      </w:r>
      <w:r>
        <w:t xml:space="preserve">]. In contrast, other soil properties including rare Earth elements and trace metals the processes leading to their distribution across the landscape is less studied or it is difficult to make generalizations (i.e., site specific).</w:t>
      </w:r>
    </w:p>
    <w:p>
      <w:pPr>
        <w:pStyle w:val="TextBody"/>
      </w:pPr>
      <w:r>
        <w:t xml:space="preserve">Terrain attributes such as elevation, slope curvature, slope position, and soil wetness have been shown to be useful information in the understanding and modelling of a range of soil properties including soil moisture</w:t>
      </w:r>
      <w:r>
        <w:t xml:space="preserve"> </w:t>
      </w:r>
      <w:r>
        <w:t xml:space="preserve">(</w:t>
      </w:r>
      <w:hyperlink w:anchor="ref-beaudette2013">
        <w:r>
          <w:rPr>
            <w:rStyle w:val="InternetLink"/>
          </w:rPr>
          <w:t xml:space="preserve">Beaudette et al., 2013</w:t>
        </w:r>
      </w:hyperlink>
      <w:r>
        <w:t xml:space="preserve">)</w:t>
      </w:r>
      <w:r>
        <w:t xml:space="preserve">, texture</w:t>
      </w:r>
      <w:r>
        <w:t xml:space="preserve"> </w:t>
      </w:r>
      <w:r>
        <w:t xml:space="preserve">(</w:t>
      </w:r>
      <w:hyperlink w:anchor="ref-kokulan2018">
        <w:r>
          <w:rPr>
            <w:rStyle w:val="InternetLink"/>
          </w:rPr>
          <w:t xml:space="preserve">Kokulan et al., 2018</w:t>
        </w:r>
      </w:hyperlink>
      <w:r>
        <w:t xml:space="preserve">)</w:t>
      </w:r>
      <w:r>
        <w:t xml:space="preserve">, colour</w:t>
      </w:r>
      <w:r>
        <w:t xml:space="preserve"> </w:t>
      </w:r>
      <w:r>
        <w:t xml:space="preserve">(</w:t>
      </w:r>
      <w:hyperlink w:anchor="ref-brown2004">
        <w:r>
          <w:rPr>
            <w:rStyle w:val="InternetLink"/>
          </w:rPr>
          <w:t xml:space="preserve">Brown et al., 2004</w:t>
        </w:r>
      </w:hyperlink>
      <w:r>
        <w:t xml:space="preserve">)</w:t>
      </w:r>
      <w:r>
        <w:t xml:space="preserve">, organic matter</w:t>
      </w:r>
      <w:r>
        <w:t xml:space="preserve"> </w:t>
      </w:r>
      <w:r>
        <w:t xml:space="preserve">(</w:t>
      </w:r>
      <w:hyperlink w:anchor="ref-zhang2012">
        <w:r>
          <w:rPr>
            <w:rStyle w:val="InternetLink"/>
          </w:rPr>
          <w:t xml:space="preserve">Zhang et al., 2012</w:t>
        </w:r>
      </w:hyperlink>
      <w:r>
        <w:t xml:space="preserve">)</w:t>
      </w:r>
      <w:r>
        <w:t xml:space="preserve">, conductivity</w:t>
      </w:r>
      <w:r>
        <w:t xml:space="preserve"> </w:t>
      </w:r>
      <w:r>
        <w:t xml:space="preserve">(</w:t>
      </w:r>
      <w:hyperlink w:anchor="ref-umali2012">
        <w:r>
          <w:rPr>
            <w:rStyle w:val="InternetLink"/>
          </w:rPr>
          <w:t xml:space="preserve">Umali et al., 2012</w:t>
        </w:r>
      </w:hyperlink>
      <w:r>
        <w:t xml:space="preserve">)</w:t>
      </w:r>
      <w:r>
        <w:t xml:space="preserve">, and geochemistry</w:t>
      </w:r>
      <w:r>
        <w:t xml:space="preserve"> </w:t>
      </w:r>
      <w:r>
        <w:t xml:space="preserve">(</w:t>
      </w:r>
      <w:hyperlink w:anchor="ref-lima2023">
        <w:r>
          <w:rPr>
            <w:rStyle w:val="InternetLink"/>
          </w:rPr>
          <w:t xml:space="preserve">Lima et al., 2023</w:t>
        </w:r>
      </w:hyperlink>
      <w:r>
        <w:t xml:space="preserve">)</w:t>
      </w:r>
      <w:r>
        <w:t xml:space="preserve">. Similar techniques may provide additional insight into the pedologic and geomorphic processes that drive the observed patterns of fingerprint properties within a given source. This information can be used to guide sampling design and interpret the data it provides.</w:t>
      </w:r>
    </w:p>
    <w:p>
      <w:pPr>
        <w:pStyle w:val="TextBody"/>
      </w:pPr>
      <w:r>
        <w:t xml:space="preserve">This study builds on the previous work of Luna Miño</w:t>
      </w:r>
      <w:r>
        <w:t xml:space="preserve"> </w:t>
      </w:r>
      <w:r>
        <w:t xml:space="preserve">(</w:t>
      </w:r>
      <w:hyperlink w:anchor="ref-lunamiño2024">
        <w:r>
          <w:rPr>
            <w:rStyle w:val="InternetLink"/>
          </w:rPr>
          <w:t xml:space="preserve">2024</w:t>
        </w:r>
      </w:hyperlink>
      <w:r>
        <w:t xml:space="preserve">)</w:t>
      </w:r>
      <w:r>
        <w:t xml:space="preserve"> </w:t>
      </w:r>
      <w:r>
        <w:t xml:space="preserve">where the impact of three different sampling designs on the characterization of source materials, within the framework of the sediment fingerprinting approach, was assessed. This study expands that study by using the data from grid sampling approach to assess the spatial autocorrelation, create iso-fingerprint maps, and identify important terrain attributes driving the observed patterns. The objectives of this study were (1) to investigate the spatial variability of a range of soil colour and geochemical properties in an agricultural and forested site; and (2) to assess the relative importance and correlation of terrain attributes with the spatial distribution of these soil properties.</w:t>
      </w:r>
    </w:p>
    <w:bookmarkEnd w:id="20"/>
    <w:bookmarkStart w:id="30" w:name="methods"/>
    <w:p>
      <w:pPr>
        <w:pStyle w:val="Heading2"/>
      </w:pPr>
      <w:r>
        <w:t xml:space="preserve">2 Methods</w:t>
      </w:r>
    </w:p>
    <w:bookmarkStart w:id="26" w:name="site-description"/>
    <w:p>
      <w:pPr>
        <w:pStyle w:val="Heading3"/>
      </w:pPr>
      <w:r>
        <w:t xml:space="preserve">2.1 Site description</w:t>
      </w:r>
    </w:p>
    <w:p>
      <w:pPr>
        <w:pStyle w:val="FirstParagraph"/>
      </w:pPr>
      <w:r>
        <w:t xml:space="preserve">Two sites of contrasting land uses located in the Wilson Creek Watershed (WCW), near McCreary, Manitoba, Canada were selected to investigate the spatial variability in fingerprint properties. The headwaters of the WCW are located on top of the Manitoba Escarpment within the boundary of Riding Mountain National Park. There is a ~300m drop in elevation crosses the escarpment where the streams become deeply incised. At the base of the escarpment is a large alluvial fan situated in the lacustrine deposits of glacial lake Aggasiz where the main stem has a meandering form. However, beyond the national park boundary the stream flows straight through an engineered drain until it reaches the Turtle river (</w:t>
      </w:r>
      <w:hyperlink w:anchor="fig-location_map">
        <w:r>
          <w:rPr>
            <w:rStyle w:val="InternetLink"/>
          </w:rPr>
          <w:t xml:space="preserve">Figure 1</w:t>
        </w:r>
      </w:hyperlink>
      <w:r>
        <w:t xml:space="preserve">). Both sites are both hydrologicaly connected to the mainstem of the Wilson Creek</w:t>
      </w:r>
    </w:p>
    <w:p>
      <w:pPr>
        <w:pStyle w:val="TextBody"/>
      </w:pPr>
      <w:r>
        <w:t xml:space="preserve">The first site was a mixedwood forest including white and black spruce (Picea glauca, Picea mariana), balsam fir (Abies balsamea), larch (Larix laricina) and young stands of deciduous trees including trembling aspen (Populus tremuloides). The forested site is located within the boundaries of the national park where there is little disturbance beyond recreational hiking trails. The soil within the park are not well mapped but likely are part of the Grey Wooded soil association (Luvisol) consisting of fine sandy loam to clay loam soils developed on boulder till of mostly shale with some limestone, and granitic rocks</w:t>
      </w:r>
      <w:r>
        <w:t xml:space="preserve"> </w:t>
      </w:r>
      <w:r>
        <w:t xml:space="preserve">(</w:t>
      </w:r>
      <w:hyperlink w:anchor="ref-ehrlich1958">
        <w:r>
          <w:rPr>
            <w:rStyle w:val="InternetLink"/>
          </w:rPr>
          <w:t xml:space="preserve">Ehrlich et al., 1958</w:t>
        </w:r>
      </w:hyperlink>
      <w:r>
        <w:t xml:space="preserve">)</w:t>
      </w:r>
      <w:r>
        <w:t xml:space="preserve">. The second site is under agricultural production and includes rotations of grain crops and forage. The site is mapped to the Edwards Soil Series (Cumulic Regosol) consisting of silty clay loam to silty clay soil developed on recent alluvial deposits</w:t>
      </w:r>
      <w:r>
        <w:t xml:space="preserve"> </w:t>
      </w:r>
      <w:r>
        <w:t xml:space="preserve">(</w:t>
      </w:r>
      <w:hyperlink w:anchor="ref-ehrlich1958">
        <w:r>
          <w:rPr>
            <w:rStyle w:val="InternetLink"/>
          </w:rPr>
          <w:t xml:space="preserve">Ehrlich et al., 1958</w:t>
        </w:r>
      </w:hyperlink>
      <w:r>
        <w:t xml:space="preserve">)</w:t>
      </w:r>
      <w:r>
        <w:t xml:space="preserve">.</w:t>
      </w:r>
    </w:p>
    <w:p>
      <w:pPr>
        <w:pStyle w:val="TextBody"/>
      </w:pPr>
      <w:r>
        <w:t xml:space="preserve">The Köppen-Geiger climate classification of the WCW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average annual precipitation is ~539 mm, with approximately 27% falling as snow with a mean annual temperature is 3.0°C</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hydrology of the watershed is snowmelt dominated with ~ 80% of the cumulative runoff occurring during the spring season (May and June)</w:t>
      </w:r>
      <w:r>
        <w:t xml:space="preserve"> </w:t>
      </w:r>
      <w:r>
        <w:t xml:space="preserve">(</w:t>
      </w:r>
      <w:hyperlink w:anchor="ref-mackay1970">
        <w:r>
          <w:rPr>
            <w:rStyle w:val="InternetLink"/>
          </w:rPr>
          <w:t xml:space="preserve">MacKay, 1970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Start w:id="27" w:name="soil-sampling-and-analysis"/>
    <w:p>
      <w:pPr>
        <w:pStyle w:val="Heading3"/>
      </w:pPr>
      <w:r>
        <w:t xml:space="preserve">2.2 Soil sampling and analysis</w:t>
      </w:r>
    </w:p>
    <w:p>
      <w:pPr>
        <w:pStyle w:val="FirstParagraph"/>
      </w:pPr>
      <w:r>
        <w:t xml:space="preserve">This study uses samples and data collected as part of the grid sampling design outlined in Luna Miño</w:t>
      </w:r>
      <w:r>
        <w:t xml:space="preserve"> </w:t>
      </w:r>
      <w:r>
        <w:t xml:space="preserve">(</w:t>
      </w:r>
      <w:hyperlink w:anchor="ref-lunamiño2024">
        <w:r>
          <w:rPr>
            <w:rStyle w:val="InternetLink"/>
          </w:rPr>
          <w:t xml:space="preserve">2024</w:t>
        </w:r>
      </w:hyperlink>
      <w:r>
        <w:t xml:space="preserve">)</w:t>
      </w:r>
      <w:r>
        <w:t xml:space="preserve">. Briefly, at each site 49 samples were collected using a soil auger on a 7x7 grid at a 100m spacing. Within the forested surface soil samples were collected below the LFH layer to a depth of 5cm, and the agricultural site was sampled to a depth of 15cm to account for the regular mixing of the soil due to tillage and other field operations.</w:t>
      </w:r>
    </w:p>
    <w:p>
      <w:pPr>
        <w:pStyle w:val="TextBody"/>
      </w:pPr>
      <w:r>
        <w:t xml:space="preserve">Samples were dried, homogenized with a motar and pestle, and sieved through a 63 𝜇m sieve to remove the sand fraction. The sand fraction was removed in an effort to reduce the differences in grain size and organic matter content between the two sites</w:t>
      </w:r>
      <w:r>
        <w:t xml:space="preserve"> </w:t>
      </w:r>
      <w:r>
        <w:t xml:space="preserve">(</w:t>
      </w:r>
      <w:hyperlink w:anchor="ref-laceby2017">
        <w:r>
          <w:rPr>
            <w:rStyle w:val="InternetLink"/>
          </w:rPr>
          <w:t xml:space="preserve">Laceby et al., 2017</w:t>
        </w:r>
      </w:hyperlink>
      <w:r>
        <w:t xml:space="preserve">)</w:t>
      </w:r>
      <w:r>
        <w:t xml:space="preserve">. Samples were analyzed for a broad suite geochemical element using inductively coupled plasma mass spectrometry (ICP-MS) following a microwave-assisted digestion with aqua-regia (ALS Mineral Division, North Vancouver, BC, Canada). Spectral measurements were made with a spectroradiometer (ASD FieldSpecPro Malvern Panalytical Inc Westborough MA 01581, United States). Spectral reflectance measurements were taken in 1 nm increments over the 0.4-2.5 μm wavelength range. Both samples and Spectralon standard (white reference) were illuminated with a white light source using a halogen-based lamp (12 VDC, 20 Watt). Following the method outlined in Boudreault et al.</w:t>
      </w:r>
      <w:r>
        <w:t xml:space="preserve"> </w:t>
      </w:r>
      <w:r>
        <w:t xml:space="preserve">(</w:t>
      </w:r>
      <w:hyperlink w:anchor="ref-boudreault2018">
        <w:r>
          <w:rPr>
            <w:rStyle w:val="InternetLink"/>
          </w:rPr>
          <w:t xml:space="preserve">2018</w:t>
        </w:r>
      </w:hyperlink>
      <w:r>
        <w:t xml:space="preserve">)</w:t>
      </w:r>
      <w:r>
        <w:t xml:space="preserve">, fifteen colour coefficients (R, G, B, x, y, Y, X, Z, L, a*, b*, u*, v*, c*, h*) were calculated for each sample</w:t>
      </w:r>
      <w:r>
        <w:t xml:space="preserve"> </w:t>
      </w:r>
      <w:r>
        <w:t xml:space="preserve">(</w:t>
      </w:r>
      <w:hyperlink w:anchor="ref-koiter2021">
        <w:r>
          <w:rPr>
            <w:rStyle w:val="InternetLink"/>
          </w:rPr>
          <w:t xml:space="preserve">Koiter, 2021</w:t>
        </w:r>
      </w:hyperlink>
      <w:r>
        <w:t xml:space="preserve">)</w:t>
      </w:r>
      <w:r>
        <w:t xml:space="preserve">. Based on the results of Luna Miño</w:t>
      </w:r>
      <w:r>
        <w:t xml:space="preserve"> </w:t>
      </w:r>
      <w:r>
        <w:t xml:space="preserve">(</w:t>
      </w:r>
      <w:hyperlink w:anchor="ref-lunamiño2024">
        <w:r>
          <w:rPr>
            <w:rStyle w:val="InternetLink"/>
          </w:rPr>
          <w:t xml:space="preserve">2024</w:t>
        </w:r>
      </w:hyperlink>
      <w:r>
        <w:t xml:space="preserve">)</w:t>
      </w:r>
      <w:r>
        <w:t xml:space="preserve">, a composite fingerprint consisting of 10 geochemical elements (Ca, Co, Cs, Fe, Li, La, Nb, Ni, Rb, and Sr) and five colour coefficients (a, b, c, h, and x) were identifying as providing a strong discrimination between the agricultural and forested surface soils. These fifteen soil properties are the focus of the detailed spatial analysis detailed in this study.</w:t>
      </w:r>
    </w:p>
    <w:bookmarkEnd w:id="27"/>
    <w:bookmarkStart w:id="28" w:name="geospatial-and-terrain-analysis"/>
    <w:p>
      <w:pPr>
        <w:pStyle w:val="Heading3"/>
      </w:pPr>
      <w:r>
        <w:t xml:space="preserve">2.3 Geospatial and terrain analysis</w:t>
      </w:r>
    </w:p>
    <w:p>
      <w:pPr>
        <w:pStyle w:val="FirstParagraph"/>
      </w:pPr>
      <w:r>
        <w:t xml:space="preserve">All geostatistics were performed with ArcGIS Pro</w:t>
      </w:r>
      <w:r>
        <w:t xml:space="preserve"> </w:t>
      </w:r>
      <w:r>
        <w:t xml:space="preserve">(v 3.3.0</w:t>
      </w:r>
      <w:r>
        <w:t xml:space="preserve"> </w:t>
      </w:r>
      <w:hyperlink w:anchor="ref-esri2024">
        <w:r>
          <w:rPr>
            <w:rStyle w:val="InternetLink"/>
          </w:rPr>
          <w:t xml:space="preserve">Esri, 2024</w:t>
        </w:r>
      </w:hyperlink>
      <w:r>
        <w:t xml:space="preserve">)</w:t>
      </w:r>
      <w:r>
        <w:t xml:space="preserve">. Semivariograms were used to quantify spatial correlation for each of the 15 soil properties. The optimization tool, based on minimizing the mean square error, was used to parameterize the semivariogram model. Kriging was used to interpolate and generate maps of each soil property. The exploratory interpolation tool (Geostatistical Analyst extension) was used to select the kriging type with the highest ranked prediction accuracy.</w:t>
      </w:r>
    </w:p>
    <w:p>
      <w:pPr>
        <w:pStyle w:val="TextBody"/>
      </w:pPr>
      <w:r>
        <w:t xml:space="preserve">A Digital Elevation Model (DEM) for the forested site was acquired from publicly available data</w:t>
      </w:r>
      <w:r>
        <w:t xml:space="preserve"> </w:t>
      </w:r>
      <w:r>
        <w:t xml:space="preserve">(</w:t>
      </w:r>
      <w:hyperlink w:anchor="ref-naturalresourcescanada2024">
        <w:r>
          <w:rPr>
            <w:rStyle w:val="InternetLink"/>
          </w:rPr>
          <w:t xml:space="preserve">Natural Resources Canada, 2024</w:t>
        </w:r>
      </w:hyperlink>
      <w:r>
        <w:t xml:space="preserve">)</w:t>
      </w:r>
      <w:r>
        <w:t xml:space="preserve">. A DEM for the agricultural site was generated by photogrammetry using UAV imagery, including the use of ground control and check points, with Agisoft Metashape Professional</w:t>
      </w:r>
      <w:r>
        <w:t xml:space="preserve"> </w:t>
      </w:r>
      <w:r>
        <w:t xml:space="preserve">(v1.8.2</w:t>
      </w:r>
      <w:r>
        <w:t xml:space="preserve"> </w:t>
      </w:r>
      <w:hyperlink w:anchor="ref-agisoft2021">
        <w:r>
          <w:rPr>
            <w:rStyle w:val="InternetLink"/>
          </w:rPr>
          <w:t xml:space="preserve">Agisoft, 2021</w:t>
        </w:r>
      </w:hyperlink>
      <w:r>
        <w:t xml:space="preserve">)</w:t>
      </w:r>
      <w:r>
        <w:t xml:space="preserve">. Ordinary kriging was used to calculate a 1 m gridded digital elevation model for each site. Geographic information software</w:t>
      </w:r>
      <w:r>
        <w:t xml:space="preserve"> </w:t>
      </w:r>
      <w:r>
        <w:t xml:space="preserve">(SAGA v2.1.4</w:t>
      </w:r>
      <w:r>
        <w:t xml:space="preserve"> </w:t>
      </w:r>
      <w:hyperlink w:anchor="ref-conrad2015">
        <w:r>
          <w:rPr>
            <w:rStyle w:val="InternetLink"/>
          </w:rPr>
          <w:t xml:space="preserve">Conrad et al., 2015</w:t>
        </w:r>
      </w:hyperlink>
      <w:r>
        <w:t xml:space="preserve">)</w:t>
      </w:r>
      <w:r>
        <w:t xml:space="preserve"> </w:t>
      </w:r>
      <w:r>
        <w:t xml:space="preserve">was used to calculate six additional terrain attributes and included plan and profile curvatures, saga wetness index, catchment area, relative slope position, vertical channel network distance.</w:t>
      </w:r>
    </w:p>
    <w:bookmarkEnd w:id="28"/>
    <w:bookmarkStart w:id="29" w:name="data-analysis"/>
    <w:p>
      <w:pPr>
        <w:pStyle w:val="Heading3"/>
      </w:pPr>
      <w:r>
        <w:t xml:space="preserve">2.4 Data analysis</w:t>
      </w:r>
    </w:p>
    <w:p>
      <w:pPr>
        <w:pStyle w:val="FirstParagraph"/>
      </w:pPr>
      <w:r>
        <w:t xml:space="preserve">All subsequent statistical analysis was undertaken using R statistical Software v4.4.0</w:t>
      </w:r>
      <w:r>
        <w:t xml:space="preserve"> </w:t>
      </w:r>
      <w:r>
        <w:t xml:space="preserve">(</w:t>
      </w:r>
      <w:hyperlink w:anchor="ref-rcoreteam2024">
        <w:r>
          <w:rPr>
            <w:rStyle w:val="InternetLink"/>
          </w:rPr>
          <w:t xml:space="preserve">R Core Team, 2024</w:t>
        </w:r>
      </w:hyperlink>
      <w:r>
        <w:t xml:space="preserve">)</w:t>
      </w:r>
      <w:r>
        <w:t xml:space="preserve"> </w:t>
      </w:r>
      <w:r>
        <w:t xml:space="preserve">through RStudio Integrated Development Environment v2024.04.2</w:t>
      </w:r>
      <w:r>
        <w:t xml:space="preserve"> </w:t>
      </w:r>
      <w:r>
        <w:t xml:space="preserve">(</w:t>
      </w:r>
      <w:hyperlink w:anchor="ref-rstudio2024">
        <w:r>
          <w:rPr>
            <w:rStyle w:val="InternetLink"/>
          </w:rPr>
          <w:t xml:space="preserve">RStudio, 2024</w:t>
        </w:r>
      </w:hyperlink>
      <w:r>
        <w:t xml:space="preserve">)</w:t>
      </w:r>
      <w:r>
        <w:t xml:space="preserve">. Plots and maps were created using the R package</w:t>
      </w:r>
      <w:r>
        <w:t xml:space="preserve"> </w:t>
      </w:r>
      <w:r>
        <w:rPr>
          <w:rStyle w:val="VerbatimChar"/>
        </w:rPr>
        <w:t xml:space="preserve">ggplot2</w:t>
      </w:r>
      <w:r>
        <w:t xml:space="preserve"> </w:t>
      </w:r>
      <w:r>
        <w:t xml:space="preserve">v 3.5.1</w:t>
      </w:r>
      <w:r>
        <w:t xml:space="preserve"> </w:t>
      </w:r>
      <w:r>
        <w:t xml:space="preserve">(</w:t>
      </w:r>
      <w:hyperlink w:anchor="ref-wickham2016">
        <w:r>
          <w:rPr>
            <w:rStyle w:val="InternetLink"/>
          </w:rPr>
          <w:t xml:space="preserve">Wickham, 2016</w:t>
        </w:r>
      </w:hyperlink>
      <w:r>
        <w:t xml:space="preserve">)</w:t>
      </w:r>
      <w:r>
        <w:t xml:space="preserve">. Skewness was categorized as values between -0.5 and 0.5 considered approximately symmetric, -1.0 to -0.5 or 0.5 to 1 as moderately skewed, and &lt; -1.0 or &gt; 1.0 as highly skewed. Coefficient of variation (CV) thresholds were categorized as low (&lt;15%), moderate (15–35%), high (35–75%), and very high (&gt;75%) .Interpolated soil property and terrain attribute data were resampled to a 10 m resolution prior to analysis</w:t>
      </w:r>
      <w:r>
        <w:t xml:space="preserve"> </w:t>
      </w:r>
      <w:r>
        <w:t xml:space="preserve">(</w:t>
      </w:r>
      <w:r>
        <w:rPr>
          <w:rStyle w:val="VerbatimChar"/>
        </w:rPr>
        <w:t xml:space="preserve">terra</w:t>
      </w:r>
      <w:r>
        <w:t xml:space="preserve"> </w:t>
      </w:r>
      <w:r>
        <w:t xml:space="preserve">v1.8.29</w:t>
      </w:r>
      <w:r>
        <w:t xml:space="preserve"> </w:t>
      </w:r>
      <w:hyperlink w:anchor="ref-hijmans2024">
        <w:r>
          <w:rPr>
            <w:rStyle w:val="InternetLink"/>
          </w:rPr>
          <w:t xml:space="preserve">Hijmans, 2024</w:t>
        </w:r>
      </w:hyperlink>
      <w:r>
        <w:t xml:space="preserve">)</w:t>
      </w:r>
      <w:r>
        <w:t xml:space="preserve">. Random Forest Regression</w:t>
      </w:r>
      <w:r>
        <w:t xml:space="preserve"> </w:t>
      </w:r>
      <w:r>
        <w:t xml:space="preserve">(</w:t>
      </w:r>
      <w:r>
        <w:rPr>
          <w:rStyle w:val="VerbatimChar"/>
        </w:rPr>
        <w:t xml:space="preserve">randomForest</w:t>
      </w:r>
      <w:r>
        <w:t xml:space="preserve"> </w:t>
      </w:r>
      <w:r>
        <w:t xml:space="preserve">v4.7.1.2</w:t>
      </w:r>
      <w:r>
        <w:t xml:space="preserve"> </w:t>
      </w:r>
      <w:hyperlink w:anchor="ref-liaw2002">
        <w:r>
          <w:rPr>
            <w:rStyle w:val="InternetLink"/>
          </w:rPr>
          <w:t xml:space="preserve">Liaw and Wiener, 2002</w:t>
        </w:r>
      </w:hyperlink>
      <w:r>
        <w:t xml:space="preserve">)</w:t>
      </w:r>
      <w:r>
        <w:t xml:space="preserve"> </w:t>
      </w:r>
      <w:r>
        <w:t xml:space="preserve">was used to assess the relative importance of the terrain attributes on the spatial distribution of soil properties. The dataset was randomly split into training, validation, and testing datasets. Multicollinearity among the terrain attributed was assessed using the Variance Inflation Factor with a threshold of eight and correlated terrain attributes were removed</w:t>
      </w:r>
      <w:r>
        <w:t xml:space="preserve"> </w:t>
      </w:r>
      <w:r>
        <w:t xml:space="preserve">(</w:t>
      </w:r>
      <w:r>
        <w:rPr>
          <w:rStyle w:val="VerbatimChar"/>
        </w:rPr>
        <w:t xml:space="preserve">usdm</w:t>
      </w:r>
      <w:r>
        <w:t xml:space="preserve"> </w:t>
      </w:r>
      <w:r>
        <w:t xml:space="preserve">v2.1.7</w:t>
      </w:r>
      <w:r>
        <w:t xml:space="preserve"> </w:t>
      </w:r>
      <w:hyperlink w:anchor="ref-Naimi2014">
        <w:r>
          <w:rPr>
            <w:rStyle w:val="InternetLink"/>
          </w:rPr>
          <w:t xml:space="preserve">Naimi et al., 2014</w:t>
        </w:r>
      </w:hyperlink>
      <w:r>
        <w:t xml:space="preserve">)</w:t>
      </w:r>
      <w:r>
        <w:t xml:space="preserve">. The number of variables randomly sampled as candidates at each split within the random forest model was tuned using the training and validation data sets</w:t>
      </w:r>
      <w:r>
        <w:t xml:space="preserve"> </w:t>
      </w:r>
      <w:r>
        <w:t xml:space="preserve">(</w:t>
      </w:r>
      <w:r>
        <w:rPr>
          <w:rStyle w:val="VerbatimChar"/>
        </w:rPr>
        <w:t xml:space="preserve">caret</w:t>
      </w:r>
      <w:r>
        <w:t xml:space="preserve"> </w:t>
      </w:r>
      <w:r>
        <w:t xml:space="preserve">v7.0.1</w:t>
      </w:r>
      <w:r>
        <w:t xml:space="preserve"> </w:t>
      </w:r>
      <w:hyperlink w:anchor="ref-kuhn2008">
        <w:r>
          <w:rPr>
            <w:rStyle w:val="InternetLink"/>
          </w:rPr>
          <w:t xml:space="preserve">Kuhn and Max, 2008</w:t>
        </w:r>
      </w:hyperlink>
      <w:r>
        <w:t xml:space="preserve">)</w:t>
      </w:r>
      <w:r>
        <w:t xml:space="preserve">. The number of trees to grow was set to 500 and assessed using the Root Mean Square Error for both the Out of Bag Error and the validation data sets. To test the model, actual and predicted values were plotted and the R</w:t>
      </w:r>
      <w:r>
        <w:rPr>
          <w:vertAlign w:val="subscript"/>
          <w:vertAlign w:val="superscript"/>
        </w:rPr>
        <w:t xml:space="preserve">2</w:t>
      </w:r>
      <w:r>
        <w:t xml:space="preserve"> </w:t>
      </w:r>
      <w:r>
        <w:t xml:space="preserve">was calculated.</w:t>
      </w:r>
    </w:p>
    <w:bookmarkEnd w:id="29"/>
    <w:bookmarkEnd w:id="30"/>
    <w:bookmarkStart w:id="56" w:name="results"/>
    <w:p>
      <w:pPr>
        <w:pStyle w:val="Heading2"/>
      </w:pPr>
      <w:r>
        <w:t xml:space="preserve">3 Results</w:t>
      </w:r>
    </w:p>
    <w:bookmarkStart w:id="35" w:name="univariate-summary"/>
    <w:p>
      <w:pPr>
        <w:pStyle w:val="Heading3"/>
      </w:pPr>
      <w:r>
        <w:t xml:space="preserve">3.1 Univariate summary</w:t>
      </w:r>
    </w:p>
    <w:p>
      <w:pPr>
        <w:pStyle w:val="FirstParagraph"/>
      </w:pPr>
      <w:r>
        <w:t xml:space="preserve">Overall, the agricultural site had soil colour and geochemical properties that exhibited lower variability and more symmetrical data distributions as compared to the forested site. Considering all 15 colour properties measured it was observed that all the colour properties for both sites exhibit an approximate symmetric distribution. All 15 colour properties for the agriculture site had a low CV and the forested site had slightly greater variability with 10 colour properties the a low CV and five with a moderate CV. Overall, the agricultural site had lower variability and the distribution of data for each element were generally more symmetrical as compared to the forest site. Of the 44 geochemical concentrations measured at the agricultural site, nine elements exhibited moderately skewed distributions, while five displayed highly skewed distributions. Additionally, 12 elements had moderate coefficients of variation (CV), and five had high CV. At the forested site, seven elements showed moderately skewed distributions and 14 exhibited highly skewed distributions. Furthermore, 28 elements had moderate CV, six had high CV, and two had very high CV.</w:t>
      </w:r>
    </w:p>
    <w:tbl>
      <w:tblPr>
        <w:tblStyle w:val="Table"/>
        <w:tblW w:type="pct" w:w="5000"/>
        <w:tblLayout w:type="fixed"/>
        <w:tblLook w:firstRow="0" w:lastRow="0" w:firstColumn="0" w:lastColumn="0" w:noHBand="0" w:noVBand="0" w:val="0000"/>
      </w:tblPr>
      <w:tblGrid>
        <w:gridCol w:w="7920"/>
      </w:tblGrid>
      <w:tr>
        <w:tc>
          <w:tcPr/>
          <w:bookmarkStart w:id="31"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31"/>
          <w:p/>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Univariate summary</w:t>
        </w:r>
      </w:hyperlink>
    </w:p>
    <w:p>
      <w:pPr>
        <w:pStyle w:val="TextBody"/>
      </w:pPr>
      <w:r>
        <w:t xml:space="preserve">The agricultural site has a relatively flat topography with an elevation change of approximately 3m, with the field draining toward a ditch in the northeast corner. The forested site has a relatively more complex topography, with a channel flowing from the southwest toward the northeast and an overall elevation difference of 18 m across the site. The mean plan and profile curvature measurements for both sites are near zero indicating a area of sediment transit and not accumulation or erosion. The agricultural site had a higher SAGA Wetness Index but the forested site had a larger range in values and exhibited a higher degree of variability. The forested site exhibited a smaller mean Relative Slope Position value (streams and depressional areas) and a smaller Vertical Distance to Channel Network, and for both terrain attributes a greater variability as compared to the agricultural reflecting the presence of the stream crossing the forested site.</w:t>
      </w:r>
    </w:p>
    <w:tbl>
      <w:tblPr>
        <w:tblStyle w:val="Table"/>
        <w:tblW w:type="pct" w:w="5000"/>
        <w:tblLayout w:type="fixed"/>
        <w:tblLook w:firstRow="0" w:lastRow="0" w:firstColumn="0" w:lastColumn="0" w:noHBand="0" w:noVBand="0" w:val="0000"/>
      </w:tblPr>
      <w:tblGrid>
        <w:gridCol w:w="7920"/>
      </w:tblGrid>
      <w:tr>
        <w:tc>
          <w:tcPr/>
          <w:bookmarkStart w:id="33"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Univariate summary</w:t>
        </w:r>
      </w:hyperlink>
    </w:p>
    <w:bookmarkEnd w:id="35"/>
    <w:bookmarkStart w:id="55" w:name="spatial-analysis"/>
    <w:p>
      <w:pPr>
        <w:pStyle w:val="Heading3"/>
      </w:pPr>
      <w:r>
        <w:t xml:space="preserve">3.2 Spatial analysis</w:t>
      </w:r>
    </w:p>
    <w:tbl>
      <w:tblPr>
        <w:tblStyle w:val="Table"/>
        <w:tblW w:type="pct" w:w="5000"/>
        <w:tblLayout w:type="fixed"/>
        <w:tblLook w:firstRow="0" w:lastRow="0" w:firstColumn="0" w:lastColumn="0" w:noHBand="0" w:noVBand="0" w:val="0000"/>
      </w:tblPr>
      <w:tblGrid>
        <w:gridCol w:w="7920"/>
      </w:tblGrid>
      <w:tr>
        <w:tc>
          <w:tcPr/>
          <w:bookmarkStart w:id="36"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91</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Strong</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6"/>
          <w:p/>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41" w:name="fig-ag_map"/>
          <w:p>
            <w:pPr>
              <w:pStyle w:val="Compact"/>
              <w:jc w:val="center"/>
            </w:pPr>
            <w:r>
              <w:drawing>
                <wp:inline>
                  <wp:extent cx="5943600" cy="11887200"/>
                  <wp:effectExtent b="0" l="0" r="0" t="0"/>
                  <wp:docPr descr="" title="" id="39" name="Picture"/>
                  <a:graphic>
                    <a:graphicData uri="http://schemas.openxmlformats.org/drawingml/2006/picture">
                      <pic:pic>
                        <pic:nvPicPr>
                          <pic:cNvPr descr="index_files/figure-docx/notebooks-property_maps-fig-ag_map-output-1.png" id="40" name="Picture"/>
                          <pic:cNvPicPr>
                            <a:picLocks noChangeArrowheads="1" noChangeAspect="1"/>
                          </pic:cNvPicPr>
                        </pic:nvPicPr>
                        <pic:blipFill>
                          <a:blip r:embed="rId38"/>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6" w:name="fig-forest_map"/>
          <w:p>
            <w:pPr>
              <w:pStyle w:val="Compact"/>
              <w:jc w:val="center"/>
            </w:pPr>
            <w:r>
              <w:drawing>
                <wp:inline>
                  <wp:extent cx="5943600" cy="7723584"/>
                  <wp:effectExtent b="0" l="0" r="0" t="0"/>
                  <wp:docPr descr="" title="" id="44" name="Picture"/>
                  <a:graphic>
                    <a:graphicData uri="http://schemas.openxmlformats.org/drawingml/2006/picture">
                      <pic:pic>
                        <pic:nvPicPr>
                          <pic:cNvPr descr="index_files/figure-docx/notebooks-property_maps-fig-forest_map-output-1.png" id="45" name="Picture"/>
                          <pic:cNvPicPr>
                            <a:picLocks noChangeArrowheads="1" noChangeAspect="1"/>
                          </pic:cNvPicPr>
                        </pic:nvPicPr>
                        <pic:blipFill>
                          <a:blip r:embed="rId43"/>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51" w:name="fig-rf-results"/>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RF_summary-fig-rf-results-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3"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t xml:space="preserve">Training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MSE</w:t>
                  </w:r>
                  <w:r>
                    <w:t xml:space="preserve">Testing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{{R^2}}</w:t>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3"/>
          <w:p/>
        </w:tc>
      </w:tr>
    </w:tbl>
    <w:p>
      <w:pPr>
        <w:pStyle w:val="TextBody"/>
      </w:pPr>
      <w:r>
        <w:rPr>
          <w:vertAlign w:val="subscript"/>
        </w:rPr>
        <w:t xml:space="preserve">Source:</w:t>
      </w:r>
      <w:r>
        <w:rPr>
          <w:vertAlign w:val="subscript"/>
        </w:rPr>
        <w:t xml:space="preserve"> </w:t>
      </w:r>
      <w:hyperlink r:id="rId54">
        <w:r>
          <w:rPr>
            <w:rStyle w:val="InternetLink"/>
            <w:vertAlign w:val="subscript"/>
          </w:rPr>
          <w:t xml:space="preserve">Random Forest summary</w:t>
        </w:r>
      </w:hyperlink>
    </w:p>
    <w:bookmarkEnd w:id="55"/>
    <w:bookmarkEnd w:id="56"/>
    <w:bookmarkStart w:id="134" w:name="references"/>
    <w:p>
      <w:pPr>
        <w:pStyle w:val="Heading2"/>
      </w:pPr>
      <w:r>
        <w:t xml:space="preserve">References</w:t>
      </w:r>
    </w:p>
    <w:bookmarkStart w:id="133" w:name="refs"/>
    <w:bookmarkStart w:id="58" w:name="ref-agisoft2021"/>
    <w:p>
      <w:pPr>
        <w:pStyle w:val="Bibliography"/>
      </w:pPr>
      <w:r>
        <w:t xml:space="preserve">Agisoft, 2021.</w:t>
      </w:r>
      <w:r>
        <w:t xml:space="preserve"> </w:t>
      </w:r>
      <w:hyperlink r:id="rId57">
        <w:r>
          <w:rPr>
            <w:rStyle w:val="InternetLink"/>
          </w:rPr>
          <w:t xml:space="preserve">Agisoft metashape: installer</w:t>
        </w:r>
      </w:hyperlink>
      <w:r>
        <w:t xml:space="preserve">.</w:t>
      </w:r>
    </w:p>
    <w:bookmarkEnd w:id="58"/>
    <w:bookmarkStart w:id="60" w:name="ref-beaudette2013"/>
    <w:p>
      <w:pPr>
        <w:pStyle w:val="Bibliography"/>
      </w:pPr>
      <w:r>
        <w:t xml:space="preserve">Beaudette, D.E., Dahlgren, R.A., O’Geen, A.T., 2013. Terrain-Shape Indices for Modeling Soil Moisture Dynamics. Soil Science Society of America Journal 77, 1696–1710.</w:t>
      </w:r>
      <w:r>
        <w:t xml:space="preserve"> </w:t>
      </w:r>
      <w:hyperlink r:id="rId59">
        <w:r>
          <w:rPr>
            <w:rStyle w:val="InternetLink"/>
          </w:rPr>
          <w:t xml:space="preserve">https://doi.org/10.2136/sssaj2013.02.0048</w:t>
        </w:r>
      </w:hyperlink>
    </w:p>
    <w:bookmarkEnd w:id="60"/>
    <w:bookmarkStart w:id="62" w:name="ref-beck2018"/>
    <w:p>
      <w:pPr>
        <w:pStyle w:val="Bibliography"/>
      </w:pPr>
      <w:r>
        <w:t xml:space="preserve">Beck, H.E., Zimmermann, N.E., McVicar, T.R., Vergopolan, N., Berg, A., Wood, E.F., 2018. Present and future Köppen-Geiger climate classification maps at 1-km resolution. Scientific Data 5, 180214.</w:t>
      </w:r>
      <w:r>
        <w:t xml:space="preserve"> </w:t>
      </w:r>
      <w:hyperlink r:id="rId61">
        <w:r>
          <w:rPr>
            <w:rStyle w:val="InternetLink"/>
          </w:rPr>
          <w:t xml:space="preserve">https://doi.org/10.1038/sdata.2018.214</w:t>
        </w:r>
      </w:hyperlink>
    </w:p>
    <w:bookmarkEnd w:id="62"/>
    <w:bookmarkStart w:id="64" w:name="ref-boudreault2018"/>
    <w:p>
      <w:pPr>
        <w:pStyle w:val="Bibliography"/>
      </w:pPr>
      <w:r>
        <w:t xml:space="preserve">Boudreault, M., Koiter, A.J., Lobb, D.A., Owens, P.N., Liu, K., Benoy, G., Danielescu, S., Li, S., 2018. Using colour, shape and radionuclide sediment fingerprints to identify sources of sediment in an agricultural watershed in atlantic canada. Canadian Water Resources Journal 43, 347–365. https://doi.org/</w:t>
      </w:r>
      <w:hyperlink r:id="rId63">
        <w:r>
          <w:rPr>
            <w:rStyle w:val="InternetLink"/>
          </w:rPr>
          <w:t xml:space="preserve">https://doi.org/10.1080/07011784.2018.1451781</w:t>
        </w:r>
      </w:hyperlink>
    </w:p>
    <w:bookmarkEnd w:id="64"/>
    <w:bookmarkStart w:id="66" w:name="ref-brown2004"/>
    <w:p>
      <w:pPr>
        <w:pStyle w:val="Bibliography"/>
      </w:pPr>
      <w:r>
        <w:t xml:space="preserve">Brown, D.J., Clayton, M.K., McSweeney, K., 2004. Potential terrain controls on soil color, texture contrast and grain-size deposition for the original catena landscape in uganda. Geoderma 122, 51–72.</w:t>
      </w:r>
      <w:r>
        <w:t xml:space="preserve"> </w:t>
      </w:r>
      <w:hyperlink r:id="rId65">
        <w:r>
          <w:rPr>
            <w:rStyle w:val="InternetLink"/>
          </w:rPr>
          <w:t xml:space="preserve">https://doi.org/10.1016/j.geoderma.2003.12.004</w:t>
        </w:r>
      </w:hyperlink>
    </w:p>
    <w:bookmarkEnd w:id="66"/>
    <w:bookmarkStart w:id="68" w:name="ref-collins2020"/>
    <w:p>
      <w:pPr>
        <w:pStyle w:val="Bibliography"/>
      </w:pPr>
      <w:r>
        <w:t xml:space="preserve">Collins, A.L., Blackwell, M., Boeckx, P., Chivers, C.-A., Emelko, M., Evrard, O., Foster, I., Gellis, A., Gholami, H., Granger, S., Harris, P., Horowitz, A.J., Laceby, J.P., Martinez-Carreras, N., Minella, J., Mol, L., Nosrati, K., Pulley, S., Silins, U., Silva, Y.J. da, Stone, M., Tiecher, T., Upadhayay, H.R., Zhang, Y., 2020. Sediment source fingerprinting: benchmarking recent outputs, remaining challenges and emerging themes. Journal of Soils and Sediments 20, 4160–4193.</w:t>
      </w:r>
      <w:r>
        <w:t xml:space="preserve"> </w:t>
      </w:r>
      <w:hyperlink r:id="rId67">
        <w:r>
          <w:rPr>
            <w:rStyle w:val="InternetLink"/>
          </w:rPr>
          <w:t xml:space="preserve">https://doi.org/10.1007/s11368-020-02755-4</w:t>
        </w:r>
      </w:hyperlink>
    </w:p>
    <w:bookmarkEnd w:id="68"/>
    <w:bookmarkStart w:id="70" w:name="ref-collins2019"/>
    <w:p>
      <w:pPr>
        <w:pStyle w:val="Bibliography"/>
      </w:pPr>
      <w:r>
        <w:t xml:space="preserve">Collins, A.L., Burak, E., Harris, P., Pulley, S., Cardenas, L., Tang, Q., 2019. Field scale temporal and spatial variability of δ13C, δ15N, TC and TN soil properties: Implications for sediment source tracing. Geoderma 333, 108–122.</w:t>
      </w:r>
      <w:r>
        <w:t xml:space="preserve"> </w:t>
      </w:r>
      <w:hyperlink r:id="rId69">
        <w:r>
          <w:rPr>
            <w:rStyle w:val="InternetLink"/>
          </w:rPr>
          <w:t xml:space="preserve">https://doi.org/10.1016/j.geoderma.2018.07.019</w:t>
        </w:r>
      </w:hyperlink>
    </w:p>
    <w:bookmarkEnd w:id="70"/>
    <w:bookmarkStart w:id="72" w:name="ref-collins1997"/>
    <w:p>
      <w:pPr>
        <w:pStyle w:val="Bibliography"/>
      </w:pPr>
      <w:r>
        <w:t xml:space="preserve">Collins, A.L., Walling, D.E., Leeks, G.J.L., 1997. Source type ascription for fluvial suspended sediment based on a quantitative composite fingerprinting technique. Catena 29, 1–27. https://doi.org/</w:t>
      </w:r>
      <w:hyperlink r:id="rId71">
        <w:r>
          <w:rPr>
            <w:rStyle w:val="InternetLink"/>
          </w:rPr>
          <w:t xml:space="preserve">https://doi.org/10.1016/S0341-8162(96)00064-1</w:t>
        </w:r>
      </w:hyperlink>
    </w:p>
    <w:bookmarkEnd w:id="72"/>
    <w:bookmarkStart w:id="74" w:name="ref-conrad2015"/>
    <w:p>
      <w:pPr>
        <w:pStyle w:val="Bibliography"/>
      </w:pPr>
      <w:r>
        <w:t xml:space="preserve">Conrad, O., Bechtel, B., Bock, M., Dietrich, H., Fischer, E., Gerlitz, L., Wehberg, J., Wichmann, V., Böhner, J., 2015. System for automated geoscientific analyses (SAGA) v. 2.1.4. Geoscientific Model Development 8, 1991–2007.</w:t>
      </w:r>
      <w:r>
        <w:t xml:space="preserve"> </w:t>
      </w:r>
      <w:hyperlink r:id="rId73">
        <w:r>
          <w:rPr>
            <w:rStyle w:val="InternetLink"/>
          </w:rPr>
          <w:t xml:space="preserve">https://doi.org/10.5194/gmd-8-1991-2015</w:t>
        </w:r>
      </w:hyperlink>
    </w:p>
    <w:bookmarkEnd w:id="74"/>
    <w:bookmarkStart w:id="76" w:name="ref-du2017"/>
    <w:p>
      <w:pPr>
        <w:pStyle w:val="Bibliography"/>
      </w:pPr>
      <w:r>
        <w:t xml:space="preserve">Du, P., Walling, D.E., 2017. Fingerprinting surficial sediment sources: Exploring some potential problems associated with the spatial variability of source material properties. Journal of Environmental Management 194, 4–15. https://doi.org/</w:t>
      </w:r>
      <w:hyperlink r:id="rId75">
        <w:r>
          <w:rPr>
            <w:rStyle w:val="InternetLink"/>
          </w:rPr>
          <w:t xml:space="preserve">https://doi.org/10.1016/j.jenvman.2016.05.066</w:t>
        </w:r>
      </w:hyperlink>
    </w:p>
    <w:bookmarkEnd w:id="76"/>
    <w:bookmarkStart w:id="77" w:name="ref-ehrlich1958"/>
    <w:p>
      <w:pPr>
        <w:pStyle w:val="Bibliography"/>
      </w:pPr>
      <w:r>
        <w:t xml:space="preserve">Ehrlich, W.A., Pratt, L.E., Leclaire, F.P., 1958. Reconnaissance soil survey of west-lake map sheet area.</w:t>
      </w:r>
    </w:p>
    <w:bookmarkEnd w:id="77"/>
    <w:bookmarkStart w:id="79" w:name="X8cec5fd8bc2ece12f5c0d2c19db91628ec2af3b"/>
    <w:p>
      <w:pPr>
        <w:pStyle w:val="Bibliography"/>
      </w:pPr>
      <w:r>
        <w:t xml:space="preserve">Environment, Climate Change Canada, 2024.</w:t>
      </w:r>
      <w:r>
        <w:t xml:space="preserve"> </w:t>
      </w:r>
      <w:hyperlink r:id="rId78">
        <w:r>
          <w:rPr>
            <w:rStyle w:val="InternetLink"/>
          </w:rPr>
          <w:t xml:space="preserve">Canadian Climate Normals</w:t>
        </w:r>
      </w:hyperlink>
      <w:r>
        <w:t xml:space="preserve">.</w:t>
      </w:r>
    </w:p>
    <w:bookmarkEnd w:id="79"/>
    <w:bookmarkStart w:id="81" w:name="ref-esri2024"/>
    <w:p>
      <w:pPr>
        <w:pStyle w:val="Bibliography"/>
      </w:pPr>
      <w:r>
        <w:t xml:space="preserve">Esri, 2024.</w:t>
      </w:r>
      <w:r>
        <w:t xml:space="preserve"> </w:t>
      </w:r>
      <w:hyperlink r:id="rId80">
        <w:r>
          <w:rPr>
            <w:rStyle w:val="InternetLink"/>
          </w:rPr>
          <w:t xml:space="preserve">ArcGIS pro</w:t>
        </w:r>
      </w:hyperlink>
      <w:r>
        <w:t xml:space="preserve">. Esri.</w:t>
      </w:r>
    </w:p>
    <w:bookmarkEnd w:id="81"/>
    <w:bookmarkStart w:id="83" w:name="ref-haddadchi2019"/>
    <w:p>
      <w:pPr>
        <w:pStyle w:val="Bibliography"/>
      </w:pPr>
      <w:r>
        <w:t xml:space="preserve">Haddadchi, A., Hicks, M., Olley, J.M., Singh, S., Srinivasan, M.s., 2019. Grid-based sediment tracing approach to determine sediment sources. Land Degradation and Development 30, 2088–2106.</w:t>
      </w:r>
      <w:r>
        <w:t xml:space="preserve"> </w:t>
      </w:r>
      <w:hyperlink r:id="rId82">
        <w:r>
          <w:rPr>
            <w:rStyle w:val="InternetLink"/>
          </w:rPr>
          <w:t xml:space="preserve">https://doi.org/10.1002/ldr.3407</w:t>
        </w:r>
      </w:hyperlink>
    </w:p>
    <w:bookmarkEnd w:id="83"/>
    <w:bookmarkStart w:id="85" w:name="ref-hijmans2024"/>
    <w:p>
      <w:pPr>
        <w:pStyle w:val="Bibliography"/>
      </w:pPr>
      <w:r>
        <w:t xml:space="preserve">Hijmans, R.J., 2024.</w:t>
      </w:r>
      <w:r>
        <w:t xml:space="preserve"> </w:t>
      </w:r>
      <w:hyperlink r:id="rId84">
        <w:r>
          <w:rPr>
            <w:rStyle w:val="InternetLink"/>
          </w:rPr>
          <w:t xml:space="preserve">Terra: Spatial data analysis</w:t>
        </w:r>
      </w:hyperlink>
      <w:r>
        <w:t xml:space="preserve">.</w:t>
      </w:r>
    </w:p>
    <w:bookmarkEnd w:id="85"/>
    <w:bookmarkStart w:id="87" w:name="ref-kariuki2009"/>
    <w:p>
      <w:pPr>
        <w:pStyle w:val="Bibliography"/>
      </w:pPr>
      <w:r>
        <w:t xml:space="preserve">Kariuki, S.K., Zhang, H., Schroder, J.L., Hanks, T., Payton, M., Morris, T., 2009.</w:t>
      </w:r>
      <w:r>
        <w:t xml:space="preserve"> </w:t>
      </w:r>
      <w:hyperlink r:id="rId86">
        <w:r>
          <w:rPr>
            <w:rStyle w:val="InternetLink"/>
          </w:rPr>
          <w:t xml:space="preserve">Spatial variability and soil sampling in a grazed pasture</w:t>
        </w:r>
      </w:hyperlink>
      <w:r>
        <w:t xml:space="preserve">. Communications in Soil Science and Plant Analysis 40, 16741687.</w:t>
      </w:r>
    </w:p>
    <w:bookmarkEnd w:id="87"/>
    <w:bookmarkStart w:id="89" w:name="ref-koiter2021"/>
    <w:p>
      <w:pPr>
        <w:pStyle w:val="Bibliography"/>
      </w:pPr>
      <w:r>
        <w:t xml:space="preserve">Koiter, A., 2021. Colour analysis scripts.</w:t>
      </w:r>
      <w:r>
        <w:t xml:space="preserve"> </w:t>
      </w:r>
      <w:hyperlink r:id="rId88">
        <w:r>
          <w:rPr>
            <w:rStyle w:val="InternetLink"/>
          </w:rPr>
          <w:t xml:space="preserve">https://doi.org/10.5281/zenodo.5123327</w:t>
        </w:r>
      </w:hyperlink>
    </w:p>
    <w:bookmarkEnd w:id="89"/>
    <w:bookmarkStart w:id="91" w:name="ref-koiter2013"/>
    <w:p>
      <w:pPr>
        <w:pStyle w:val="Bibliography"/>
      </w:pPr>
      <w:r>
        <w:t xml:space="preserve">Koiter, A.J., Owens, P.N., Petticrew, E.L., Lobb, D.A., 2013. The behavioural characteristics of sediment properties and their implications for sediment fingerprinting as an approach for identifying sediment sources in river basins. Earth-Science Reviews 125, 24–42. https://doi.org/</w:t>
      </w:r>
      <w:hyperlink r:id="rId90">
        <w:r>
          <w:rPr>
            <w:rStyle w:val="InternetLink"/>
          </w:rPr>
          <w:t xml:space="preserve">https://doi.org/10.1016/j.earscirev.2013.05.009</w:t>
        </w:r>
      </w:hyperlink>
    </w:p>
    <w:bookmarkEnd w:id="91"/>
    <w:bookmarkStart w:id="93" w:name="ref-kokulan2018"/>
    <w:p>
      <w:pPr>
        <w:pStyle w:val="Bibliography"/>
      </w:pPr>
      <w:r>
        <w:t xml:space="preserve">Kokulan, V., Akinremi, O., Moulin, A.P., Kumaragamage, D., 2018. Importance of terrain attributes in relation to the spatial distribution of soil properties at the micro scale: A case study. Canadian Journal of Soil Science 98, 292–305.</w:t>
      </w:r>
      <w:r>
        <w:t xml:space="preserve"> </w:t>
      </w:r>
      <w:hyperlink r:id="rId92">
        <w:r>
          <w:rPr>
            <w:rStyle w:val="InternetLink"/>
          </w:rPr>
          <w:t xml:space="preserve">https://doi.org/10.1139/cjss-2017-0128</w:t>
        </w:r>
      </w:hyperlink>
    </w:p>
    <w:bookmarkEnd w:id="93"/>
    <w:bookmarkStart w:id="95" w:name="ref-kuhn2008"/>
    <w:p>
      <w:pPr>
        <w:pStyle w:val="Bibliography"/>
      </w:pPr>
      <w:r>
        <w:t xml:space="preserve">Kuhn, Max, 2008. Building predictive models in r using the caret package. Journal of Statistical Software 28, 1–26.</w:t>
      </w:r>
      <w:r>
        <w:t xml:space="preserve"> </w:t>
      </w:r>
      <w:hyperlink r:id="rId94">
        <w:r>
          <w:rPr>
            <w:rStyle w:val="InternetLink"/>
          </w:rPr>
          <w:t xml:space="preserve">https://doi.org/10.18637/jss.v028.i05</w:t>
        </w:r>
      </w:hyperlink>
    </w:p>
    <w:bookmarkEnd w:id="95"/>
    <w:bookmarkStart w:id="97" w:name="ref-laceby2017"/>
    <w:p>
      <w:pPr>
        <w:pStyle w:val="Bibliography"/>
      </w:pPr>
      <w:r>
        <w:t xml:space="preserve">Laceby, J.P., Evrard, O., Smith, H.G., Blake, W.H., Olley, J.M., Minella, J.P.G., Owens, P.N., 2017. The challenges and opportunities of addressing particle size effects in sediment source fingerprinting: A review. Earth-Science Reviews 169, 85–103. https://doi.org/</w:t>
      </w:r>
      <w:hyperlink r:id="rId96">
        <w:r>
          <w:rPr>
            <w:rStyle w:val="InternetLink"/>
          </w:rPr>
          <w:t xml:space="preserve">https://doi.org/10.1016/j.earscirev.2017.04.009</w:t>
        </w:r>
      </w:hyperlink>
    </w:p>
    <w:bookmarkEnd w:id="97"/>
    <w:bookmarkStart w:id="99" w:name="ref-liaw2002"/>
    <w:p>
      <w:pPr>
        <w:pStyle w:val="Bibliography"/>
      </w:pPr>
      <w:r>
        <w:t xml:space="preserve">Liaw, A., Wiener, M., 2002.</w:t>
      </w:r>
      <w:r>
        <w:t xml:space="preserve"> </w:t>
      </w:r>
      <w:hyperlink r:id="rId98">
        <w:r>
          <w:rPr>
            <w:rStyle w:val="InternetLink"/>
          </w:rPr>
          <w:t xml:space="preserve">Classification and regression by randomForest</w:t>
        </w:r>
      </w:hyperlink>
      <w:r>
        <w:t xml:space="preserve">. R News 2, 18–22.</w:t>
      </w:r>
    </w:p>
    <w:bookmarkEnd w:id="99"/>
    <w:bookmarkStart w:id="101" w:name="ref-lima2023"/>
    <w:p>
      <w:pPr>
        <w:pStyle w:val="Bibliography"/>
      </w:pPr>
      <w:r>
        <w:t xml:space="preserve">Lima, F.R.D., Pereira, P., Vasques, I.C.F., Silva Junior, E.C., Mancini, M., Oliveira, J.R., Prianti, M.T.A., Windmöller, C.C., Weindorf, D.C., Curi, N., Ribeiro, B.T., Richardson, J., Marques, J.J., Guilherme, L.R.G., 2023. Predictive modeling of total hg background concentration in soils of the amazon rainforest biome with support of proximal sensors and auxiliary variables. Journal of South American Earth Sciences 129, 104510.</w:t>
      </w:r>
      <w:r>
        <w:t xml:space="preserve"> </w:t>
      </w:r>
      <w:hyperlink r:id="rId100">
        <w:r>
          <w:rPr>
            <w:rStyle w:val="InternetLink"/>
          </w:rPr>
          <w:t xml:space="preserve">https://doi.org/10.1016/j.jsames.2023.104510</w:t>
        </w:r>
      </w:hyperlink>
    </w:p>
    <w:bookmarkEnd w:id="101"/>
    <w:bookmarkStart w:id="103" w:name="ref-lunamiño2024"/>
    <w:p>
      <w:pPr>
        <w:pStyle w:val="Bibliography"/>
      </w:pPr>
      <w:r>
        <w:t xml:space="preserve">Luna Miño, M.A., Koiter, A.J., Lobb, D.A., 2024. Effect of sampling design on characterizing surface soil fingerprinting properties. Journal of Soils and Sediments 24, 2180–2198.</w:t>
      </w:r>
      <w:r>
        <w:t xml:space="preserve"> </w:t>
      </w:r>
      <w:hyperlink r:id="rId102">
        <w:r>
          <w:rPr>
            <w:rStyle w:val="InternetLink"/>
          </w:rPr>
          <w:t xml:space="preserve">https://doi.org/10.1007/s11368-024-03805-x</w:t>
        </w:r>
      </w:hyperlink>
    </w:p>
    <w:bookmarkEnd w:id="103"/>
    <w:bookmarkStart w:id="104" w:name="ref-mackay1970"/>
    <w:p>
      <w:pPr>
        <w:pStyle w:val="Bibliography"/>
      </w:pPr>
      <w:r>
        <w:t xml:space="preserve">MacKay, G.H., 1970. A quantitative study of geomorphology of the wilson creek watershed, manitoba (PhD thesis). Winnipeg, MB.</w:t>
      </w:r>
    </w:p>
    <w:bookmarkEnd w:id="104"/>
    <w:bookmarkStart w:id="106" w:name="ref-Naimi2014"/>
    <w:p>
      <w:pPr>
        <w:pStyle w:val="Bibliography"/>
      </w:pPr>
      <w:r>
        <w:t xml:space="preserve">Naimi, B., Hamm, N. a.s., Groen, T.A., Skidmore, A.K., Toxopeus, A.G., 2014. Where is positional uncertainty a problem for species distribution modelling. Ecography 37, 191–203.</w:t>
      </w:r>
      <w:r>
        <w:t xml:space="preserve"> </w:t>
      </w:r>
      <w:hyperlink r:id="rId105">
        <w:r>
          <w:rPr>
            <w:rStyle w:val="InternetLink"/>
          </w:rPr>
          <w:t xml:space="preserve">https://doi.org/10.1111/j.1600-0587.2013.00205.x</w:t>
        </w:r>
      </w:hyperlink>
    </w:p>
    <w:bookmarkEnd w:id="106"/>
    <w:bookmarkStart w:id="108" w:name="ref-naturalresourcescanada2024"/>
    <w:p>
      <w:pPr>
        <w:pStyle w:val="Bibliography"/>
      </w:pPr>
      <w:r>
        <w:t xml:space="preserve">Natural Resources Canada, 2024.</w:t>
      </w:r>
      <w:r>
        <w:t xml:space="preserve"> </w:t>
      </w:r>
      <w:hyperlink r:id="rId107">
        <w:r>
          <w:rPr>
            <w:rStyle w:val="InternetLink"/>
          </w:rPr>
          <w:t xml:space="preserve">High Resolution Digital Elevation Model Mosaic (HRDEM Mosaic) - CanElevation Series</w:t>
        </w:r>
      </w:hyperlink>
      <w:r>
        <w:t xml:space="preserve">.</w:t>
      </w:r>
    </w:p>
    <w:bookmarkEnd w:id="108"/>
    <w:bookmarkStart w:id="110" w:name="ref-pulley2018"/>
    <w:p>
      <w:pPr>
        <w:pStyle w:val="Bibliography"/>
      </w:pPr>
      <w:r>
        <w:t xml:space="preserve">Pulley, S., Collins, A.L., Van der Waal, B., 2018. Variability in the mineral magnetic properties of soils and sediments within a single field in the cape fold mountains, south africa: Implications for sediment source tracing. CATENA 163, 172–183.</w:t>
      </w:r>
      <w:r>
        <w:t xml:space="preserve"> </w:t>
      </w:r>
      <w:hyperlink r:id="rId109">
        <w:r>
          <w:rPr>
            <w:rStyle w:val="InternetLink"/>
          </w:rPr>
          <w:t xml:space="preserve">https://doi.org/10.1016/j.catena.2017.12.019</w:t>
        </w:r>
      </w:hyperlink>
    </w:p>
    <w:bookmarkEnd w:id="110"/>
    <w:bookmarkStart w:id="112" w:name="ref-pulley2017"/>
    <w:p>
      <w:pPr>
        <w:pStyle w:val="Bibliography"/>
      </w:pPr>
      <w:r>
        <w:t xml:space="preserve">Pulley, S., Foster, I., Collins, A.L., 2017.</w:t>
      </w:r>
      <w:r>
        <w:t xml:space="preserve"> </w:t>
      </w:r>
      <w:hyperlink r:id="rId111">
        <w:r>
          <w:rPr>
            <w:rStyle w:val="InternetLink"/>
          </w:rPr>
          <w:t xml:space="preserve">The impact of catchment source group classification on the accuracy of sediment fingerprinting outputs</w:t>
        </w:r>
      </w:hyperlink>
      <w:r>
        <w:t xml:space="preserve">. Journal of Environmental Management 194, 16–26.</w:t>
      </w:r>
    </w:p>
    <w:bookmarkEnd w:id="112"/>
    <w:bookmarkStart w:id="114" w:name="ref-rcoreteam2024"/>
    <w:p>
      <w:pPr>
        <w:pStyle w:val="Bibliography"/>
      </w:pPr>
      <w:r>
        <w:t xml:space="preserve">R Core Team, 2024.</w:t>
      </w:r>
      <w:r>
        <w:t xml:space="preserve"> </w:t>
      </w:r>
      <w:hyperlink r:id="rId113">
        <w:r>
          <w:rPr>
            <w:rStyle w:val="InternetLink"/>
          </w:rPr>
          <w:t xml:space="preserve">R: A language and environment for statistical computing</w:t>
        </w:r>
      </w:hyperlink>
      <w:r>
        <w:t xml:space="preserve">.</w:t>
      </w:r>
    </w:p>
    <w:bookmarkEnd w:id="114"/>
    <w:bookmarkStart w:id="116" w:name="ref-ritchie1970"/>
    <w:p>
      <w:pPr>
        <w:pStyle w:val="Bibliography"/>
      </w:pPr>
      <w:r>
        <w:t xml:space="preserve">Ritchie, J.C., Clebsch, E.E.C., Rudolph, W.K., 1970.</w:t>
      </w:r>
      <w:r>
        <w:t xml:space="preserve"> </w:t>
      </w:r>
      <w:hyperlink r:id="rId115">
        <w:r>
          <w:rPr>
            <w:rStyle w:val="InternetLink"/>
          </w:rPr>
          <w:t xml:space="preserve">Distribution of fallout and natural gamma radionuclides in litter, humus and surface mineral soil layers under natural vegetation in the great smoky mountains, north carolina-tennessee</w:t>
        </w:r>
      </w:hyperlink>
      <w:r>
        <w:t xml:space="preserve">. Health Physics 18, 479.</w:t>
      </w:r>
    </w:p>
    <w:bookmarkEnd w:id="116"/>
    <w:bookmarkStart w:id="118" w:name="ref-rstudio2024"/>
    <w:p>
      <w:pPr>
        <w:pStyle w:val="Bibliography"/>
      </w:pPr>
      <w:r>
        <w:t xml:space="preserve">RStudio, 2024.</w:t>
      </w:r>
      <w:r>
        <w:t xml:space="preserve"> </w:t>
      </w:r>
      <w:hyperlink r:id="rId117">
        <w:r>
          <w:rPr>
            <w:rStyle w:val="InternetLink"/>
          </w:rPr>
          <w:t xml:space="preserve">RStudio: Integrated development environment for r</w:t>
        </w:r>
      </w:hyperlink>
      <w:r>
        <w:t xml:space="preserve">.</w:t>
      </w:r>
    </w:p>
    <w:bookmarkEnd w:id="118"/>
    <w:bookmarkStart w:id="120" w:name="ref-starr1995"/>
    <w:p>
      <w:pPr>
        <w:pStyle w:val="Bibliography"/>
      </w:pPr>
      <w:r>
        <w:t xml:space="preserve">Starr, J.L., Meisinger, J.J., Parkin, T.B., 1995. Influence of sample size on chemical and physical soil measurements. Soil Science Society of America Journal 59, 713–719.</w:t>
      </w:r>
      <w:r>
        <w:t xml:space="preserve"> </w:t>
      </w:r>
      <w:hyperlink r:id="rId119">
        <w:r>
          <w:rPr>
            <w:rStyle w:val="InternetLink"/>
          </w:rPr>
          <w:t xml:space="preserve">https://doi.org/10.2136/sssaj1995.03615995005900030012x</w:t>
        </w:r>
      </w:hyperlink>
    </w:p>
    <w:bookmarkEnd w:id="120"/>
    <w:bookmarkStart w:id="122" w:name="ref-sun2021"/>
    <w:p>
      <w:pPr>
        <w:pStyle w:val="Bibliography"/>
      </w:pPr>
      <w:r>
        <w:t xml:space="preserve">Sun, Y., Guo, W., Weindorf, D.C., Sun, F., Deb, S., Cao, G., Neupane, J., Lin, Z., Raihan, A., 2021. Field-scale spatial variability of soil calcium in a semi-arid region: Implications for soil erosion and site-specific management. PEDOSPHERE 31, 705–714.</w:t>
      </w:r>
      <w:r>
        <w:t xml:space="preserve"> </w:t>
      </w:r>
      <w:hyperlink r:id="rId121">
        <w:r>
          <w:rPr>
            <w:rStyle w:val="InternetLink"/>
          </w:rPr>
          <w:t xml:space="preserve">https://doi.org/10.1016/S1002-0160(21)60019-X</w:t>
        </w:r>
      </w:hyperlink>
    </w:p>
    <w:bookmarkEnd w:id="122"/>
    <w:bookmarkStart w:id="124" w:name="ref-umali2012"/>
    <w:p>
      <w:pPr>
        <w:pStyle w:val="Bibliography"/>
      </w:pPr>
      <w:r>
        <w:t xml:space="preserve">Umali, B.P., Oliver, D.P., Forrester, S., Chittleborough, D.J., Hutson, J.L., Kookana, R.S., Ostendorf, B., 2012. The effect of terrain and management on the spatial variability of soil properties in an apple orchard. CATENA 93, 38–48.</w:t>
      </w:r>
      <w:r>
        <w:t xml:space="preserve"> </w:t>
      </w:r>
      <w:hyperlink r:id="rId123">
        <w:r>
          <w:rPr>
            <w:rStyle w:val="InternetLink"/>
          </w:rPr>
          <w:t xml:space="preserve">https://doi.org/10.1016/j.catena.2012.01.010</w:t>
        </w:r>
      </w:hyperlink>
    </w:p>
    <w:bookmarkEnd w:id="124"/>
    <w:bookmarkStart w:id="126" w:name="ref-vasu2017"/>
    <w:p>
      <w:pPr>
        <w:pStyle w:val="Bibliography"/>
      </w:pPr>
      <w:r>
        <w:t xml:space="preserve">Vasu, D., Singh, S.K., Sahu, N., Tiwary, P., Chandran, P., Duraisami, V.P., Ramamurthy, V., Lalitha, M., Kalaiselvi, B., 2017. Assessment of spatial variability of soil properties using geospatial techniques for farm level nutrient management. Soil and Tillage Research 169, 25–34.</w:t>
      </w:r>
      <w:r>
        <w:t xml:space="preserve"> </w:t>
      </w:r>
      <w:hyperlink r:id="rId125">
        <w:r>
          <w:rPr>
            <w:rStyle w:val="InternetLink"/>
          </w:rPr>
          <w:t xml:space="preserve">https://doi.org/10.1016/j.still.2017.01.006</w:t>
        </w:r>
      </w:hyperlink>
    </w:p>
    <w:bookmarkEnd w:id="126"/>
    <w:bookmarkStart w:id="127" w:name="ref-viscarrarossel2006"/>
    <w:p>
      <w:pPr>
        <w:pStyle w:val="Bibliography"/>
      </w:pPr>
      <w:r>
        <w:t xml:space="preserve">Viscarra Rossel, R.A., Minasny, B., Roudier, P., McBratney, A.B., 2006. Colour space models for soil science. Geoderma 133, 320337.</w:t>
      </w:r>
    </w:p>
    <w:bookmarkEnd w:id="127"/>
    <w:bookmarkStart w:id="128" w:name="ref-wickham2016"/>
    <w:p>
      <w:pPr>
        <w:pStyle w:val="Bibliography"/>
      </w:pPr>
      <w:r>
        <w:t xml:space="preserve">Wickham, H., 2016. ggplot2: Elegant graphics for data analysis. Springer-Verlag, New York NY U.S.A.</w:t>
      </w:r>
    </w:p>
    <w:bookmarkEnd w:id="128"/>
    <w:bookmarkStart w:id="130" w:name="ref-wilkinson2015"/>
    <w:p>
      <w:pPr>
        <w:pStyle w:val="Bibliography"/>
      </w:pPr>
      <w:r>
        <w:t xml:space="preserve">Wilkinson, S.N., Olley, J.M., Furuichi, T., Burton, J., Kinsey-Henderson, A.E., 2015. Sediment source tracing with stratified sampling and weightings based on spatial gradients in soil erosion. Journal of Soils and Sediments 15, 2038–2051.</w:t>
      </w:r>
      <w:r>
        <w:t xml:space="preserve"> </w:t>
      </w:r>
      <w:hyperlink r:id="rId129">
        <w:r>
          <w:rPr>
            <w:rStyle w:val="InternetLink"/>
          </w:rPr>
          <w:t xml:space="preserve">https://doi.org/10.1007/s11368-015-1134-2</w:t>
        </w:r>
      </w:hyperlink>
    </w:p>
    <w:bookmarkEnd w:id="130"/>
    <w:bookmarkStart w:id="132" w:name="ref-zhang2012"/>
    <w:p>
      <w:pPr>
        <w:pStyle w:val="Bibliography"/>
      </w:pPr>
      <w:r>
        <w:t xml:space="preserve">Zhang, S., Huang, Y., Shen, C., Ye, H., Du, Y., 2012. Spatial prediction of soil organic matter using terrain indices and categorical variables as auxiliary information. Geoderma, Entering the digital era: Special issue of pedometrics 2009, beijing 171-172, 35–43.</w:t>
      </w:r>
      <w:r>
        <w:t xml:space="preserve"> </w:t>
      </w:r>
      <w:hyperlink r:id="rId131">
        <w:r>
          <w:rPr>
            <w:rStyle w:val="InternetLink"/>
          </w:rPr>
          <w:t xml:space="preserve">https://doi.org/10.1016/j.geoderma.2011.07.012</w:t>
        </w:r>
      </w:hyperlink>
    </w:p>
    <w:bookmarkEnd w:id="132"/>
    <w:bookmarkEnd w:id="133"/>
    <w:bookmarkEnd w:id="134"/>
    <w:bookmarkStart w:id="143" w:name="supplemental-figures"/>
    <w:p>
      <w:pPr>
        <w:pStyle w:val="Heading2"/>
      </w:pPr>
      <w:r>
        <w:t xml:space="preserve">Supplemental figures</w:t>
      </w:r>
    </w:p>
    <w:tbl>
      <w:tblPr>
        <w:tblStyle w:val="Table"/>
        <w:tblW w:type="pct" w:w="5000"/>
        <w:tblLayout w:type="fixed"/>
        <w:tblLook w:firstRow="0" w:lastRow="0" w:firstColumn="0" w:lastColumn="0" w:noHBand="0" w:noVBand="0" w:val="0000"/>
      </w:tblPr>
      <w:tblGrid>
        <w:gridCol w:w="7920"/>
      </w:tblGrid>
      <w:tr>
        <w:tc>
          <w:tcPr/>
          <w:bookmarkStart w:id="138" w:name="suppfig-colour_summary"/>
          <w:p>
            <w:pPr>
              <w:pStyle w:val="Compact"/>
              <w:jc w:val="center"/>
            </w:pPr>
            <w:r>
              <w:drawing>
                <wp:inline>
                  <wp:extent cx="5943600" cy="5117265"/>
                  <wp:effectExtent b="0" l="0" r="0" t="0"/>
                  <wp:docPr descr="" title="" id="136" name="Picture"/>
                  <a:graphic>
                    <a:graphicData uri="http://schemas.openxmlformats.org/drawingml/2006/picture">
                      <pic:pic>
                        <pic:nvPicPr>
                          <pic:cNvPr descr="images/colour_summary.png" id="137" name="Picture"/>
                          <pic:cNvPicPr>
                            <a:picLocks noChangeArrowheads="1" noChangeAspect="1"/>
                          </pic:cNvPicPr>
                        </pic:nvPicPr>
                        <pic:blipFill>
                          <a:blip r:embed="rId135"/>
                          <a:stretch>
                            <a:fillRect/>
                          </a:stretch>
                        </pic:blipFill>
                        <pic:spPr bwMode="auto">
                          <a:xfrm>
                            <a:off x="0" y="0"/>
                            <a:ext cx="5943600" cy="51172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Summary statistics of all measured colour soil properties at both sites. Error bars represent 1SD and the numeric values indicate the CV.</w:t>
            </w:r>
          </w:p>
          <w:bookmarkEnd w:id="138"/>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42" w:name="suppfig-geo_summary"/>
          <w:p>
            <w:pPr>
              <w:pStyle w:val="Compact"/>
              <w:jc w:val="center"/>
            </w:pPr>
            <w:r>
              <w:drawing>
                <wp:inline>
                  <wp:extent cx="5943600" cy="4242598"/>
                  <wp:effectExtent b="0" l="0" r="0" t="0"/>
                  <wp:docPr descr="" title="" id="140" name="Picture"/>
                  <a:graphic>
                    <a:graphicData uri="http://schemas.openxmlformats.org/drawingml/2006/picture">
                      <pic:pic>
                        <pic:nvPicPr>
                          <pic:cNvPr descr="images/geo_summary.png" id="141" name="Picture"/>
                          <pic:cNvPicPr>
                            <a:picLocks noChangeArrowheads="1" noChangeAspect="1"/>
                          </pic:cNvPicPr>
                        </pic:nvPicPr>
                        <pic:blipFill>
                          <a:blip r:embed="rId139"/>
                          <a:stretch>
                            <a:fillRect/>
                          </a:stretch>
                        </pic:blipFill>
                        <pic:spPr bwMode="auto">
                          <a:xfrm>
                            <a:off x="0" y="0"/>
                            <a:ext cx="5943600" cy="42425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Summary statistics of all measured geochemical soil properties at both sites. Error bars represent 1SD and the numeric values indicate the CV.</w:t>
            </w:r>
          </w:p>
          <w:bookmarkEnd w:id="142"/>
        </w:tc>
      </w:tr>
    </w:tbl>
    <w:bookmarkEnd w:id="143"/>
    <w:bookmarkStart w:id="147" w:name="supplemental-tables"/>
    <w:p>
      <w:pPr>
        <w:pStyle w:val="Heading2"/>
      </w:pPr>
      <w:r>
        <w:t xml:space="preserve">Supplemental tables</w:t>
      </w:r>
    </w:p>
    <w:tbl>
      <w:tblPr>
        <w:tblStyle w:val="Table"/>
        <w:tblW w:type="pct" w:w="5000"/>
        <w:tblLayout w:type="fixed"/>
        <w:tblLook w:firstRow="0" w:lastRow="0" w:firstColumn="0" w:lastColumn="0" w:noHBand="0" w:noVBand="0" w:val="0000"/>
      </w:tblPr>
      <w:tblGrid>
        <w:gridCol w:w="7920"/>
      </w:tblGrid>
      <w:tr>
        <w:tc>
          <w:tcPr/>
          <w:bookmarkStart w:id="144" w:name="supptab-abbrev"/>
          <w:p>
            <w:pPr>
              <w:jc w:val="center"/>
            </w:pPr>
            <w:pPr>
              <w:jc w:val="start"/>
              <w:spacing w:before="200"/>
              <w:pStyle w:val="ImageCaption"/>
            </w:pPr>
            <w:r>
              <w:t xml:space="preserve">Table S1: Description of spectral reflectance colour coefficients used as fingerprints. Reproduced from Boudreault et al. (2018)</w:t>
            </w:r>
          </w:p>
          <w:tbl>
            <w:tblPr>
              <w:tblStyle w:val="Table"/>
              <w:tblW w:type="pct" w:w="5000"/>
              <w:tblLayout w:type="fixed"/>
              <w:tblLook w:firstRow="1" w:lastRow="0" w:firstColumn="0" w:lastColumn="0" w:noHBand="0" w:noVBand="0" w:val="0020"/>
            </w:tblPr>
            <w:tblGrid>
              <w:gridCol w:w="2310"/>
              <w:gridCol w:w="3630"/>
              <w:gridCol w:w="1980"/>
            </w:tblGrid>
            <w:tr>
              <w:trPr>
                <w:tblHeader w:val="on"/>
              </w:trPr>
              <w:tc>
                <w:tcPr/>
                <w:p>
                  <w:pPr>
                    <w:pStyle w:val="Compact"/>
                    <w:jc w:val="center"/>
                  </w:pPr>
                  <w:r>
                    <w:rPr>
                      <w:b/>
                      <w:bCs/>
                    </w:rPr>
                    <w:t xml:space="preserve">Colour space model</w:t>
                  </w:r>
                </w:p>
              </w:tc>
              <w:tc>
                <w:tcPr/>
                <w:p>
                  <w:pPr>
                    <w:pStyle w:val="Compact"/>
                    <w:jc w:val="center"/>
                  </w:pPr>
                  <w:r>
                    <w:t xml:space="preserve">Parameter</w:t>
                  </w:r>
                </w:p>
              </w:tc>
              <w:tc>
                <w:tcPr/>
                <w:p>
                  <w:pPr>
                    <w:pStyle w:val="Compact"/>
                    <w:jc w:val="center"/>
                  </w:pPr>
                  <w:r>
                    <w:t xml:space="preserve">Abbreviation</w:t>
                  </w:r>
                </w:p>
              </w:tc>
            </w:tr>
            <w:tr>
              <w:tc>
                <w:tcPr/>
                <w:p>
                  <w:pPr>
                    <w:pStyle w:val="Compact"/>
                    <w:jc w:val="center"/>
                  </w:pPr>
                  <w:r>
                    <w:t xml:space="preserve">RGB</w:t>
                  </w:r>
                </w:p>
              </w:tc>
              <w:tc>
                <w:tcPr/>
                <w:p>
                  <w:pPr>
                    <w:pStyle w:val="Compact"/>
                    <w:jc w:val="center"/>
                  </w:pPr>
                  <w:r>
                    <w:t xml:space="preserve">Red</w:t>
                  </w:r>
                </w:p>
              </w:tc>
              <w:tc>
                <w:tcPr/>
                <w:p>
                  <w:pPr>
                    <w:pStyle w:val="Compact"/>
                    <w:jc w:val="center"/>
                  </w:pPr>
                  <w:r>
                    <w:t xml:space="preserve">R</w:t>
                  </w:r>
                </w:p>
              </w:tc>
            </w:tr>
            <w:tr>
              <w:tc>
                <w:tcPr/>
                <w:p>
                  <w:pPr>
                    <w:pStyle w:val="Compact"/>
                    <w:jc w:val="center"/>
                  </w:pPr>
                  <w:r>
                    <w:t xml:space="preserve">RGB</w:t>
                  </w:r>
                </w:p>
              </w:tc>
              <w:tc>
                <w:tcPr/>
                <w:p>
                  <w:pPr>
                    <w:pStyle w:val="Compact"/>
                    <w:jc w:val="center"/>
                  </w:pPr>
                  <w:r>
                    <w:t xml:space="preserve">Green</w:t>
                  </w:r>
                </w:p>
              </w:tc>
              <w:tc>
                <w:tcPr/>
                <w:p>
                  <w:pPr>
                    <w:pStyle w:val="Compact"/>
                    <w:jc w:val="center"/>
                  </w:pPr>
                  <w:r>
                    <w:t xml:space="preserve">G</w:t>
                  </w:r>
                </w:p>
              </w:tc>
            </w:tr>
            <w:tr>
              <w:tc>
                <w:tcPr/>
                <w:p>
                  <w:pPr>
                    <w:pStyle w:val="Compact"/>
                    <w:jc w:val="center"/>
                  </w:pPr>
                  <w:r>
                    <w:t xml:space="preserve">RGB</w:t>
                  </w:r>
                </w:p>
              </w:tc>
              <w:tc>
                <w:tcPr/>
                <w:p>
                  <w:pPr>
                    <w:pStyle w:val="Compact"/>
                    <w:jc w:val="center"/>
                  </w:pPr>
                  <w:r>
                    <w:t xml:space="preserve">Blue</w:t>
                  </w:r>
                </w:p>
              </w:tc>
              <w:tc>
                <w:tcPr/>
                <w:p>
                  <w:pPr>
                    <w:pStyle w:val="Compact"/>
                    <w:jc w:val="center"/>
                  </w:pPr>
                  <w:r>
                    <w:t xml:space="preserve">B</w:t>
                  </w:r>
                </w:p>
              </w:tc>
            </w:tr>
            <w:tr>
              <w:tc>
                <w:tcPr/>
                <w:p>
                  <w:pPr>
                    <w:pStyle w:val="Compact"/>
                    <w:jc w:val="center"/>
                  </w:pPr>
                  <w:r>
                    <w:t xml:space="preserve">CIE xyY</w:t>
                  </w:r>
                </w:p>
              </w:tc>
              <w:tc>
                <w:tcPr/>
                <w:p>
                  <w:pPr>
                    <w:pStyle w:val="Compact"/>
                    <w:jc w:val="center"/>
                  </w:pPr>
                  <w:r>
                    <w:t xml:space="preserve">Chromatic Coordinate x</w:t>
                  </w:r>
                </w:p>
              </w:tc>
              <w:tc>
                <w:tcPr/>
                <w:p>
                  <w:pPr>
                    <w:pStyle w:val="Compact"/>
                    <w:jc w:val="center"/>
                  </w:pPr>
                  <w:r>
                    <w:t xml:space="preserve">x</w:t>
                  </w:r>
                </w:p>
              </w:tc>
            </w:tr>
            <w:tr>
              <w:tc>
                <w:tcPr/>
                <w:p>
                  <w:pPr>
                    <w:pStyle w:val="Compact"/>
                    <w:jc w:val="center"/>
                  </w:pPr>
                  <w:r>
                    <w:t xml:space="preserve">CIE xyY</w:t>
                  </w:r>
                </w:p>
              </w:tc>
              <w:tc>
                <w:tcPr/>
                <w:p>
                  <w:pPr>
                    <w:pStyle w:val="Compact"/>
                    <w:jc w:val="center"/>
                  </w:pPr>
                  <w:r>
                    <w:t xml:space="preserve">Chromatic Coordinate y</w:t>
                  </w:r>
                </w:p>
              </w:tc>
              <w:tc>
                <w:tcPr/>
                <w:p>
                  <w:pPr>
                    <w:pStyle w:val="Compact"/>
                    <w:jc w:val="center"/>
                  </w:pPr>
                  <w:r>
                    <w:t xml:space="preserve">y</w:t>
                  </w:r>
                </w:p>
              </w:tc>
            </w:tr>
            <w:tr>
              <w:tc>
                <w:tcPr/>
                <w:p>
                  <w:pPr>
                    <w:pStyle w:val="Compact"/>
                    <w:jc w:val="center"/>
                  </w:pPr>
                  <w:r>
                    <w:t xml:space="preserve">CIE xyY</w:t>
                  </w:r>
                </w:p>
              </w:tc>
              <w:tc>
                <w:tcPr/>
                <w:p>
                  <w:pPr>
                    <w:pStyle w:val="Compact"/>
                    <w:jc w:val="center"/>
                  </w:pPr>
                  <w:r>
                    <w:t xml:space="preserve">Brightness</w:t>
                  </w:r>
                </w:p>
              </w:tc>
              <w:tc>
                <w:tcPr/>
                <w:p>
                  <w:pPr>
                    <w:pStyle w:val="Compact"/>
                    <w:jc w:val="center"/>
                  </w:pPr>
                  <w:r>
                    <w:t xml:space="preserve">Y</w:t>
                  </w:r>
                </w:p>
              </w:tc>
            </w:tr>
            <w:tr>
              <w:tc>
                <w:tcPr/>
                <w:p>
                  <w:pPr>
                    <w:pStyle w:val="Compact"/>
                    <w:jc w:val="center"/>
                  </w:pPr>
                  <w:r>
                    <w:t xml:space="preserve">CIE XYZ</w:t>
                  </w:r>
                </w:p>
              </w:tc>
              <w:tc>
                <w:tcPr/>
                <w:p>
                  <w:pPr>
                    <w:pStyle w:val="Compact"/>
                    <w:jc w:val="center"/>
                  </w:pPr>
                  <w:r>
                    <w:t xml:space="preserve">Virtual component X</w:t>
                  </w:r>
                </w:p>
              </w:tc>
              <w:tc>
                <w:tcPr/>
                <w:p>
                  <w:pPr>
                    <w:pStyle w:val="Compact"/>
                    <w:jc w:val="center"/>
                  </w:pPr>
                  <w:r>
                    <w:t xml:space="preserve">X</w:t>
                  </w:r>
                </w:p>
              </w:tc>
            </w:tr>
            <w:tr>
              <w:tc>
                <w:tcPr/>
                <w:p>
                  <w:pPr>
                    <w:pStyle w:val="Compact"/>
                    <w:jc w:val="center"/>
                  </w:pPr>
                  <w:r>
                    <w:t xml:space="preserve">CIE XYZ</w:t>
                  </w:r>
                </w:p>
              </w:tc>
              <w:tc>
                <w:tcPr/>
                <w:p>
                  <w:pPr>
                    <w:pStyle w:val="Compact"/>
                    <w:jc w:val="center"/>
                  </w:pPr>
                  <w:r>
                    <w:t xml:space="preserve">Virtual component Z</w:t>
                  </w:r>
                </w:p>
              </w:tc>
              <w:tc>
                <w:tcPr/>
                <w:p>
                  <w:pPr>
                    <w:pStyle w:val="Compact"/>
                    <w:jc w:val="center"/>
                  </w:pPr>
                  <w:r>
                    <w:t xml:space="preserve">Z</w:t>
                  </w:r>
                </w:p>
              </w:tc>
            </w:tr>
            <w:tr>
              <w:tc>
                <w:tcPr/>
                <w:p>
                  <w:pPr>
                    <w:pStyle w:val="Compact"/>
                    <w:jc w:val="center"/>
                  </w:pPr>
                  <w:r>
                    <w:t xml:space="preserve">CIE LAB</w:t>
                  </w:r>
                </w:p>
              </w:tc>
              <w:tc>
                <w:tcPr/>
                <w:p>
                  <w:pPr>
                    <w:pStyle w:val="Compact"/>
                    <w:jc w:val="center"/>
                  </w:pPr>
                  <w:r>
                    <w:t xml:space="preserve">Metric lightness function</w:t>
                  </w:r>
                </w:p>
              </w:tc>
              <w:tc>
                <w:tcPr/>
                <w:p>
                  <w:pPr>
                    <w:pStyle w:val="Compact"/>
                    <w:jc w:val="center"/>
                  </w:pPr>
                  <w:r>
                    <w:t xml:space="preserve">L</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a*</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b*</w:t>
                  </w:r>
                </w:p>
              </w:tc>
            </w:tr>
            <w:tr>
              <w:tc>
                <w:tcPr/>
                <w:p>
                  <w:pPr>
                    <w:pStyle w:val="Compact"/>
                    <w:jc w:val="center"/>
                  </w:pPr>
                  <w:r>
                    <w:t xml:space="preserve">CIE LUV</w:t>
                  </w:r>
                </w:p>
              </w:tc>
              <w:tc>
                <w:tcPr/>
                <w:p>
                  <w:pPr>
                    <w:pStyle w:val="Compact"/>
                    <w:jc w:val="center"/>
                  </w:pPr>
                  <w:r>
                    <w:t xml:space="preserve">Chromatic coordinate opponent blue–yellow scales</w:t>
                  </w:r>
                </w:p>
              </w:tc>
              <w:tc>
                <w:tcPr/>
                <w:p>
                  <w:pPr>
                    <w:pStyle w:val="Compact"/>
                    <w:jc w:val="center"/>
                  </w:pPr>
                  <w:r>
                    <w:rPr>
                      <w:i/>
                      <w:iCs/>
                    </w:rPr>
                    <w:t xml:space="preserve">u*</w:t>
                  </w:r>
                </w:p>
              </w:tc>
            </w:tr>
            <w:tr>
              <w:tc>
                <w:tcPr/>
                <w:p>
                  <w:pPr>
                    <w:pStyle w:val="Compact"/>
                    <w:jc w:val="center"/>
                  </w:pPr>
                  <w:r>
                    <w:t xml:space="preserve">CIE LUV</w:t>
                  </w:r>
                </w:p>
              </w:tc>
              <w:tc>
                <w:tcPr/>
                <w:p>
                  <w:pPr>
                    <w:pStyle w:val="Compact"/>
                    <w:jc w:val="center"/>
                  </w:pPr>
                  <w:r>
                    <w:t xml:space="preserve">Chromatic oordinate opponent red–green scales</w:t>
                  </w:r>
                </w:p>
              </w:tc>
              <w:tc>
                <w:tcPr/>
                <w:p>
                  <w:pPr>
                    <w:pStyle w:val="Compact"/>
                    <w:jc w:val="center"/>
                  </w:pPr>
                  <w:r>
                    <w:rPr>
                      <w:i/>
                      <w:iCs/>
                    </w:rPr>
                    <w:t xml:space="preserve">v*</w:t>
                  </w:r>
                </w:p>
              </w:tc>
            </w:tr>
            <w:tr>
              <w:tc>
                <w:tcPr/>
                <w:p>
                  <w:pPr>
                    <w:pStyle w:val="Compact"/>
                    <w:jc w:val="center"/>
                  </w:pPr>
                  <w:r>
                    <w:t xml:space="preserve">CIE LCH</w:t>
                  </w:r>
                </w:p>
              </w:tc>
              <w:tc>
                <w:tcPr/>
                <w:p>
                  <w:pPr>
                    <w:pStyle w:val="Compact"/>
                    <w:jc w:val="center"/>
                  </w:pPr>
                  <w:r>
                    <w:t xml:space="preserve">CIE hue</w:t>
                  </w:r>
                </w:p>
              </w:tc>
              <w:tc>
                <w:tcPr/>
                <w:p>
                  <w:pPr>
                    <w:pStyle w:val="Compact"/>
                    <w:jc w:val="center"/>
                  </w:pPr>
                  <w:r>
                    <w:rPr>
                      <w:i/>
                      <w:iCs/>
                    </w:rPr>
                    <w:t xml:space="preserve">c*</w:t>
                  </w:r>
                </w:p>
              </w:tc>
            </w:tr>
            <w:tr>
              <w:tc>
                <w:tcPr/>
                <w:p>
                  <w:pPr>
                    <w:pStyle w:val="Compact"/>
                    <w:jc w:val="center"/>
                  </w:pPr>
                  <w:r>
                    <w:t xml:space="preserve">CIE LCH</w:t>
                  </w:r>
                </w:p>
              </w:tc>
              <w:tc>
                <w:tcPr/>
                <w:p>
                  <w:pPr>
                    <w:pStyle w:val="Compact"/>
                    <w:jc w:val="center"/>
                  </w:pPr>
                  <w:r>
                    <w:t xml:space="preserve">CIE chroma</w:t>
                  </w:r>
                </w:p>
              </w:tc>
              <w:tc>
                <w:tcPr/>
                <w:p>
                  <w:pPr>
                    <w:pStyle w:val="Compact"/>
                    <w:jc w:val="center"/>
                  </w:pPr>
                  <w:r>
                    <w:rPr>
                      <w:i/>
                      <w:iCs/>
                    </w:rPr>
                    <w:t xml:space="preserve">h*</w:t>
                  </w:r>
                </w:p>
              </w:tc>
            </w:tr>
          </w:tbl>
          <w:bookmarkEnd w:id="144"/>
          <w:p/>
        </w:tc>
      </w:tr>
    </w:tbl>
    <w:p/>
    <w:tbl>
      <w:tblPr>
        <w:tblStyle w:val="Table"/>
        <w:tblW w:type="pct" w:w="5000"/>
        <w:tblLayout w:type="fixed"/>
        <w:tblLook w:firstRow="0" w:lastRow="0" w:firstColumn="0" w:lastColumn="0" w:noHBand="0" w:noVBand="0" w:val="0000"/>
      </w:tblPr>
      <w:tblGrid>
        <w:gridCol w:w="7920"/>
      </w:tblGrid>
      <w:tr>
        <w:tc>
          <w:tcPr/>
          <w:bookmarkStart w:id="146" w:name="supptab-correlation2"/>
          <w:p>
            <w:pPr>
              <w:jc w:val="center"/>
            </w:pPr>
            <w:pPr>
              <w:jc w:val="start"/>
              <w:spacing w:before="200"/>
              <w:pStyle w:val="ImageCaption"/>
            </w:pPr>
            <w:r>
              <w:t xml:space="preserve">Table S2: Pearson’s correlation coefficients for soil properties and terrain attributes using interpolated values (10m resolution).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Compact"/>
              <w:jc w:val="center"/>
            </w:pPr>
            <w:r>
              <w:rPr>
                <w:vertAlign w:val="subscript"/>
              </w:rPr>
              <w:t xml:space="preserve">Source:</w:t>
            </w:r>
            <w:r>
              <w:rPr>
                <w:vertAlign w:val="subscript"/>
              </w:rPr>
              <w:t xml:space="preserve"> </w:t>
            </w:r>
            <w:hyperlink r:id="rId145">
              <w:r>
                <w:rPr>
                  <w:rStyle w:val="InternetLink"/>
                  <w:vertAlign w:val="subscript"/>
                </w:rPr>
                <w:t xml:space="preserve">Article Notebook</w:t>
              </w:r>
            </w:hyperlink>
          </w:p>
          <w:bookmarkEnd w:id="146"/>
        </w:tc>
      </w:tr>
    </w:tbl>
    <w:bookmarkEnd w:id="14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113" Target="http://www.R-project.org" TargetMode="External" /><Relationship Type="http://schemas.openxmlformats.org/officeDocument/2006/relationships/hyperlink" Id="rId117" Target="http://www.rstudio.org/" TargetMode="External" /><Relationship Type="http://schemas.openxmlformats.org/officeDocument/2006/relationships/hyperlink" Id="rId111" Target="http://www.sciencedirect.com/science/article/pii/S0301479716302195" TargetMode="External" /><Relationship Type="http://schemas.openxmlformats.org/officeDocument/2006/relationships/hyperlink" Id="rId86" Target="http://www.tandfonline.com/doi/abs/10.1080/00103620902832089" TargetMode="External" /><Relationship Type="http://schemas.openxmlformats.org/officeDocument/2006/relationships/hyperlink" Id="rId98" Target="https://CRAN.R-project.org/doc/Rnews/" TargetMode="External" /><Relationship Type="http://schemas.openxmlformats.org/officeDocument/2006/relationships/hyperlink" Id="rId84" Target="https://CRAN.R-project.org/package=terra" TargetMode="External" /><Relationship Type="http://schemas.openxmlformats.org/officeDocument/2006/relationships/hyperlink" Id="rId145" Target="https://alex-koiter.github.io/spatial-variability-soil-manuscript/index.qmd.html"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78" Target="https://climate.weather.gc.ca/climate_normals/index_e.html" TargetMode="External" /><Relationship Type="http://schemas.openxmlformats.org/officeDocument/2006/relationships/hyperlink" Id="rId82" Target="https://doi.org/10.1002/ldr.3407" TargetMode="External" /><Relationship Type="http://schemas.openxmlformats.org/officeDocument/2006/relationships/hyperlink" Id="rId129" Target="https://doi.org/10.1007/s11368-015-1134-2" TargetMode="External" /><Relationship Type="http://schemas.openxmlformats.org/officeDocument/2006/relationships/hyperlink" Id="rId67" Target="https://doi.org/10.1007/s11368-020-02755-4" TargetMode="External" /><Relationship Type="http://schemas.openxmlformats.org/officeDocument/2006/relationships/hyperlink" Id="rId102" Target="https://doi.org/10.1007/s11368-024-03805-x" TargetMode="External" /><Relationship Type="http://schemas.openxmlformats.org/officeDocument/2006/relationships/hyperlink" Id="rId71" Target="https://doi.org/10.1016/S0341-8162(96)00064-1" TargetMode="External" /><Relationship Type="http://schemas.openxmlformats.org/officeDocument/2006/relationships/hyperlink" Id="rId121" Target="https://doi.org/10.1016/S1002-0160(21)60019-X" TargetMode="External" /><Relationship Type="http://schemas.openxmlformats.org/officeDocument/2006/relationships/hyperlink" Id="rId123" Target="https://doi.org/10.1016/j.catena.2012.01.010" TargetMode="External" /><Relationship Type="http://schemas.openxmlformats.org/officeDocument/2006/relationships/hyperlink" Id="rId109" Target="https://doi.org/10.1016/j.catena.2017.12.019" TargetMode="External" /><Relationship Type="http://schemas.openxmlformats.org/officeDocument/2006/relationships/hyperlink" Id="rId90" Target="https://doi.org/10.1016/j.earscirev.2013.05.009" TargetMode="External" /><Relationship Type="http://schemas.openxmlformats.org/officeDocument/2006/relationships/hyperlink" Id="rId96" Target="https://doi.org/10.1016/j.earscirev.2017.04.009" TargetMode="External" /><Relationship Type="http://schemas.openxmlformats.org/officeDocument/2006/relationships/hyperlink" Id="rId65" Target="https://doi.org/10.1016/j.geoderma.2003.12.004" TargetMode="External" /><Relationship Type="http://schemas.openxmlformats.org/officeDocument/2006/relationships/hyperlink" Id="rId131" Target="https://doi.org/10.1016/j.geoderma.2011.07.012" TargetMode="External" /><Relationship Type="http://schemas.openxmlformats.org/officeDocument/2006/relationships/hyperlink" Id="rId69" Target="https://doi.org/10.1016/j.geoderma.2018.07.019" TargetMode="External" /><Relationship Type="http://schemas.openxmlformats.org/officeDocument/2006/relationships/hyperlink" Id="rId75" Target="https://doi.org/10.1016/j.jenvman.2016.05.066" TargetMode="External" /><Relationship Type="http://schemas.openxmlformats.org/officeDocument/2006/relationships/hyperlink" Id="rId100" Target="https://doi.org/10.1016/j.jsames.2023.104510" TargetMode="External" /><Relationship Type="http://schemas.openxmlformats.org/officeDocument/2006/relationships/hyperlink" Id="rId125" Target="https://doi.org/10.1016/j.still.2017.01.006" TargetMode="External" /><Relationship Type="http://schemas.openxmlformats.org/officeDocument/2006/relationships/hyperlink" Id="rId61" Target="https://doi.org/10.1038/sdata.2018.214" TargetMode="External" /><Relationship Type="http://schemas.openxmlformats.org/officeDocument/2006/relationships/hyperlink" Id="rId63" Target="https://doi.org/10.1080/07011784.2018.1451781" TargetMode="External" /><Relationship Type="http://schemas.openxmlformats.org/officeDocument/2006/relationships/hyperlink" Id="rId105" Target="https://doi.org/10.1111/j.1600-0587.2013.00205.x" TargetMode="External" /><Relationship Type="http://schemas.openxmlformats.org/officeDocument/2006/relationships/hyperlink" Id="rId92" Target="https://doi.org/10.1139/cjss-2017-0128" TargetMode="External" /><Relationship Type="http://schemas.openxmlformats.org/officeDocument/2006/relationships/hyperlink" Id="rId94" Target="https://doi.org/10.18637/jss.v028.i05" TargetMode="External" /><Relationship Type="http://schemas.openxmlformats.org/officeDocument/2006/relationships/hyperlink" Id="rId119" Target="https://doi.org/10.2136/sssaj1995.03615995005900030012x" TargetMode="External" /><Relationship Type="http://schemas.openxmlformats.org/officeDocument/2006/relationships/hyperlink" Id="rId59" Target="https://doi.org/10.2136/sssaj2013.02.0048" TargetMode="External" /><Relationship Type="http://schemas.openxmlformats.org/officeDocument/2006/relationships/hyperlink" Id="rId73" Target="https://doi.org/10.5194/gmd-8-1991-2015" TargetMode="External" /><Relationship Type="http://schemas.openxmlformats.org/officeDocument/2006/relationships/hyperlink" Id="rId88" Target="https://doi.org/10.5281/zenodo.5123327" TargetMode="External" /><Relationship Type="http://schemas.openxmlformats.org/officeDocument/2006/relationships/hyperlink" Id="rId115" Target="https://journals.lww.com/health-physics/Abstract/1970/05000/Distribution_of_Fallout_and_Natural_Gamma.3.aspx" TargetMode="External" /><Relationship Type="http://schemas.openxmlformats.org/officeDocument/2006/relationships/hyperlink" Id="rId107" Target="https://open.canada.ca/data/en/dataset/0fe65119-e96e-4a57-8bfe-9d9245fba06b" TargetMode="External" /><Relationship Type="http://schemas.openxmlformats.org/officeDocument/2006/relationships/hyperlink" Id="rId57" Target="https://www.agisoft.com/downloads/installer/" TargetMode="External" /><Relationship Type="http://schemas.openxmlformats.org/officeDocument/2006/relationships/hyperlink" Id="rId80" Target="https://www.esri.ca/" TargetMode="External" /></Relationships>
</file>

<file path=word/_rels/footnotes.xml.rels><?xml version="1.0" encoding="UTF-8"?><Relationships xmlns="http://schemas.openxmlformats.org/package/2006/relationships"><Relationship Type="http://schemas.openxmlformats.org/officeDocument/2006/relationships/hyperlink" Id="rId113" Target="http://www.R-project.org" TargetMode="External" /><Relationship Type="http://schemas.openxmlformats.org/officeDocument/2006/relationships/hyperlink" Id="rId117" Target="http://www.rstudio.org/" TargetMode="External" /><Relationship Type="http://schemas.openxmlformats.org/officeDocument/2006/relationships/hyperlink" Id="rId111" Target="http://www.sciencedirect.com/science/article/pii/S0301479716302195" TargetMode="External" /><Relationship Type="http://schemas.openxmlformats.org/officeDocument/2006/relationships/hyperlink" Id="rId86" Target="http://www.tandfonline.com/doi/abs/10.1080/00103620902832089" TargetMode="External" /><Relationship Type="http://schemas.openxmlformats.org/officeDocument/2006/relationships/hyperlink" Id="rId98" Target="https://CRAN.R-project.org/doc/Rnews/" TargetMode="External" /><Relationship Type="http://schemas.openxmlformats.org/officeDocument/2006/relationships/hyperlink" Id="rId84" Target="https://CRAN.R-project.org/package=terra" TargetMode="External" /><Relationship Type="http://schemas.openxmlformats.org/officeDocument/2006/relationships/hyperlink" Id="rId145" Target="https://alex-koiter.github.io/spatial-variability-soil-manuscript/index.qmd.html"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78" Target="https://climate.weather.gc.ca/climate_normals/index_e.html" TargetMode="External" /><Relationship Type="http://schemas.openxmlformats.org/officeDocument/2006/relationships/hyperlink" Id="rId82" Target="https://doi.org/10.1002/ldr.3407" TargetMode="External" /><Relationship Type="http://schemas.openxmlformats.org/officeDocument/2006/relationships/hyperlink" Id="rId129" Target="https://doi.org/10.1007/s11368-015-1134-2" TargetMode="External" /><Relationship Type="http://schemas.openxmlformats.org/officeDocument/2006/relationships/hyperlink" Id="rId67" Target="https://doi.org/10.1007/s11368-020-02755-4" TargetMode="External" /><Relationship Type="http://schemas.openxmlformats.org/officeDocument/2006/relationships/hyperlink" Id="rId102" Target="https://doi.org/10.1007/s11368-024-03805-x" TargetMode="External" /><Relationship Type="http://schemas.openxmlformats.org/officeDocument/2006/relationships/hyperlink" Id="rId71" Target="https://doi.org/10.1016/S0341-8162(96)00064-1" TargetMode="External" /><Relationship Type="http://schemas.openxmlformats.org/officeDocument/2006/relationships/hyperlink" Id="rId121" Target="https://doi.org/10.1016/S1002-0160(21)60019-X" TargetMode="External" /><Relationship Type="http://schemas.openxmlformats.org/officeDocument/2006/relationships/hyperlink" Id="rId123" Target="https://doi.org/10.1016/j.catena.2012.01.010" TargetMode="External" /><Relationship Type="http://schemas.openxmlformats.org/officeDocument/2006/relationships/hyperlink" Id="rId109" Target="https://doi.org/10.1016/j.catena.2017.12.019" TargetMode="External" /><Relationship Type="http://schemas.openxmlformats.org/officeDocument/2006/relationships/hyperlink" Id="rId90" Target="https://doi.org/10.1016/j.earscirev.2013.05.009" TargetMode="External" /><Relationship Type="http://schemas.openxmlformats.org/officeDocument/2006/relationships/hyperlink" Id="rId96" Target="https://doi.org/10.1016/j.earscirev.2017.04.009" TargetMode="External" /><Relationship Type="http://schemas.openxmlformats.org/officeDocument/2006/relationships/hyperlink" Id="rId65" Target="https://doi.org/10.1016/j.geoderma.2003.12.004" TargetMode="External" /><Relationship Type="http://schemas.openxmlformats.org/officeDocument/2006/relationships/hyperlink" Id="rId131" Target="https://doi.org/10.1016/j.geoderma.2011.07.012" TargetMode="External" /><Relationship Type="http://schemas.openxmlformats.org/officeDocument/2006/relationships/hyperlink" Id="rId69" Target="https://doi.org/10.1016/j.geoderma.2018.07.019" TargetMode="External" /><Relationship Type="http://schemas.openxmlformats.org/officeDocument/2006/relationships/hyperlink" Id="rId75" Target="https://doi.org/10.1016/j.jenvman.2016.05.066" TargetMode="External" /><Relationship Type="http://schemas.openxmlformats.org/officeDocument/2006/relationships/hyperlink" Id="rId100" Target="https://doi.org/10.1016/j.jsames.2023.104510" TargetMode="External" /><Relationship Type="http://schemas.openxmlformats.org/officeDocument/2006/relationships/hyperlink" Id="rId125" Target="https://doi.org/10.1016/j.still.2017.01.006" TargetMode="External" /><Relationship Type="http://schemas.openxmlformats.org/officeDocument/2006/relationships/hyperlink" Id="rId61" Target="https://doi.org/10.1038/sdata.2018.214" TargetMode="External" /><Relationship Type="http://schemas.openxmlformats.org/officeDocument/2006/relationships/hyperlink" Id="rId63" Target="https://doi.org/10.1080/07011784.2018.1451781" TargetMode="External" /><Relationship Type="http://schemas.openxmlformats.org/officeDocument/2006/relationships/hyperlink" Id="rId105" Target="https://doi.org/10.1111/j.1600-0587.2013.00205.x" TargetMode="External" /><Relationship Type="http://schemas.openxmlformats.org/officeDocument/2006/relationships/hyperlink" Id="rId92" Target="https://doi.org/10.1139/cjss-2017-0128" TargetMode="External" /><Relationship Type="http://schemas.openxmlformats.org/officeDocument/2006/relationships/hyperlink" Id="rId94" Target="https://doi.org/10.18637/jss.v028.i05" TargetMode="External" /><Relationship Type="http://schemas.openxmlformats.org/officeDocument/2006/relationships/hyperlink" Id="rId119" Target="https://doi.org/10.2136/sssaj1995.03615995005900030012x" TargetMode="External" /><Relationship Type="http://schemas.openxmlformats.org/officeDocument/2006/relationships/hyperlink" Id="rId59" Target="https://doi.org/10.2136/sssaj2013.02.0048" TargetMode="External" /><Relationship Type="http://schemas.openxmlformats.org/officeDocument/2006/relationships/hyperlink" Id="rId73" Target="https://doi.org/10.5194/gmd-8-1991-2015" TargetMode="External" /><Relationship Type="http://schemas.openxmlformats.org/officeDocument/2006/relationships/hyperlink" Id="rId88" Target="https://doi.org/10.5281/zenodo.5123327" TargetMode="External" /><Relationship Type="http://schemas.openxmlformats.org/officeDocument/2006/relationships/hyperlink" Id="rId115" Target="https://journals.lww.com/health-physics/Abstract/1970/05000/Distribution_of_Fallout_and_Natural_Gamma.3.aspx" TargetMode="External" /><Relationship Type="http://schemas.openxmlformats.org/officeDocument/2006/relationships/hyperlink" Id="rId107" Target="https://open.canada.ca/data/en/dataset/0fe65119-e96e-4a57-8bfe-9d9245fba06b" TargetMode="External" /><Relationship Type="http://schemas.openxmlformats.org/officeDocument/2006/relationships/hyperlink" Id="rId57" Target="https://www.agisoft.com/downloads/installer/" TargetMode="External" /><Relationship Type="http://schemas.openxmlformats.org/officeDocument/2006/relationships/hyperlink" Id="rId80" Target="https://www.es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Miño; Alexander J Koiter; Taras E Lychuk; Arnie Waddel; Alan Moulin</dc:creator>
  <cp:keywords>Soil geochemistry, Soil colour, Spatial analysis</cp:keywords>
  <dcterms:created xsi:type="dcterms:W3CDTF">2025-03-05T20:22:20Z</dcterms:created>
  <dcterms:modified xsi:type="dcterms:W3CDTF">2025-03-05T20:22:20Z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2025-03-05</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suppplot-cap-location">
    <vt:lpwstr>bottom</vt:lpwstr>
  </property>
  <property fmtid="{D5CDD505-2E9C-101B-9397-08002B2CF9AE}" pid="29" name="supptab-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