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79.png" ContentType="image/png"/>
  <Override PartName="/word/media/rId53.png" ContentType="image/png"/>
  <Override PartName="/word/media/rId22.png" ContentType="image/png"/>
  <Override PartName="/word/media/rId3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20"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End w:id="20"/>
    <w:bookmarkStart w:id="21"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 (Kariuki et al., 2009; Starr et al., 1995).</w:t>
      </w:r>
      <w:r>
        <w:t xml:space="preserve"> </w:t>
      </w:r>
      <w:r>
        <w:t xml:space="preserve">Similarly, accounting for spatial variability extends to sediment source fingerprinting, as unaccounted spatial heterogeneity within sources of sediment can compromise the source apportionment results (Du and Walling, 2017).</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 (Pulley et al., 2017).</w:t>
      </w:r>
      <w:r>
        <w:t xml:space="preserve"> </w:t>
      </w:r>
      <w:r>
        <w:t xml:space="preserve">However, investigating spatial variability at smaller scales is less common (e.g., Du and Walling, 2017; Pulley et al., 2018; Collins et al., 2019; Luna Miño et al., 2024) and remains a research priority (Collins et al., 2020).</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 (Wilkinson et al., 2015).</w:t>
      </w:r>
      <w:r>
        <w:t xml:space="preserve"> </w:t>
      </w:r>
      <w:r>
        <w:t xml:space="preserve">Designing and implementing source sampling campaigns must consider this, as the sampling design used has been shown to influence the characterization of a wide range of commonly used fingerprints (Luna Miño et al., 2024).</w:t>
      </w:r>
      <w:r>
        <w:t xml:space="preserve"> </w:t>
      </w:r>
      <w:r>
        <w:t xml:space="preserve">The lack of standardization in sediment source sampling designs makes it difficult to compare results across studies and creates uncertainties in the interpretation of results (Luna Miño et al., 2024)</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 (Wilkinson et al., 2015; Du and Walling, 2017) and using spatially interpolated maps of fingerprint values to provide a finer resolution of the fingerprint variability within each source (Haddadchi et al., 2019).</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use a statistical-based approach (Collins et al., 1997) to select suitable fingerprints there are concerns that this approach may result in the inclusion of false positives (i.e., type I error) in which a fingerprint is incorrectly identified as having discriminatory power between sources when it does not, or non-conservative fingerprints (Koiter et al., 2013a).</w:t>
      </w:r>
      <w:r>
        <w:t xml:space="preserve"> </w:t>
      </w:r>
      <w:r>
        <w:t xml:space="preserve">Consequently, there has been a call for the inclusion of a process-based (e.g., weathering, erosion) or geologic-based explanation of the fingerprints selected to address these concerns (Collins et al., 2020).</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 (e.g.,</w:t>
      </w:r>
      <w:r>
        <w:t xml:space="preserve"> </w:t>
      </w:r>
      <w:r>
        <w:rPr>
          <w:vertAlign w:val="superscript"/>
        </w:rPr>
        <w:t xml:space="preserve">137</w:t>
      </w:r>
      <w:r>
        <w:t xml:space="preserve">Cs, 7Be; Ritchie et al. 1970), plant nutrients (e.g., N, P; Vasu et al. 2017), soil colour (e.g., hue, value; Viscarra Rossel et al. 2006), major non-acid forming cations (e.g., Ca, Na; Sun et al. 2021a).</w:t>
      </w:r>
      <w:r>
        <w:t xml:space="preserve"> </w:t>
      </w:r>
      <w:r>
        <w:t xml:space="preserve">In contrast, the processes that control the distribution of rare earth elements and trace metals, are less well studied or tend to be site-specific, making it difficult to draw generalizations.</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 (Beaudette et al., 2013), texture (Kokulan et al., 2018), colour (Brown et al., 2004), organic matter (Zhang et al., 2012), conductivity (Umali et al., 2012), and geochemistry (Lima et al., 2023).</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This study builds on the previous work of Luna Miño (2024) where the impact of three different sampling designs on the characterization of source materials, within the framework of the sediment fingerprinting approach, was assessed.</w:t>
      </w:r>
      <w:r>
        <w:t xml:space="preserve"> </w:t>
      </w:r>
      <w:r>
        <w:t xml:space="preserve">This study expands that study by using the data from grid sampling approach to assess the spatial autocorrelation, and identify important terrain attributes driving the observed patterns.</w:t>
      </w:r>
      <w:r>
        <w:t xml:space="preserve"> </w:t>
      </w:r>
      <w:r>
        <w:t xml:space="preserve">The objectives of this study were to: (1) quantify the spatial variability and spatial dependence of 15 fingerprint-relevant soil properties across an agricultural and forested field site; and (2) test the relation between these soil properties and seven terrain attributes (derived from DEMs), using correlation and Random Forest regression to identify terrain controls and their relative importance.</w:t>
      </w:r>
      <w:r>
        <w:t xml:space="preserve"> </w:t>
      </w:r>
      <w:r>
        <w:t xml:space="preserve">Together, these objectives address how terrain attributes may be used to understand spatial distributions of soil properties and help guide sampling design.</w:t>
      </w:r>
    </w:p>
    <w:bookmarkEnd w:id="21"/>
    <w:bookmarkStart w:id="31" w:name="methods"/>
    <w:p>
      <w:pPr>
        <w:pStyle w:val="Heading2"/>
      </w:pPr>
      <w:r>
        <w:t xml:space="preserve">2 Methods</w:t>
      </w:r>
    </w:p>
    <w:bookmarkStart w:id="27"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(Picea glauca), black spruce (Picea mariana), balsam fir (Abies balsamea), larch (Larix laricina), and trembling aspen (Populus tremuloides), with soils likely part of the Grey Wooded soil association (Luvisol) developed on boulder till of mostly shale with some limestone and granitic rocks (Ehrlich et al., 1958).</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 (Ehrlich et al., 1958).</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 (Beck et al., 2018), with a mean annual temperature of 3.0°C, annual precipitation of 539 mm (~27% as snow) (Environment and Canada, 2024), and snowmelt-dominated runoff, with about 80% occurring in May and June (MacKay, 1970).</w:t>
      </w:r>
    </w:p>
    <w:tbl>
      <w:tblPr>
        <w:tblStyle w:val="Table"/>
        <w:tblW w:type="pct" w:w="5000"/>
        <w:tblLayout w:type="fixed"/>
        <w:tblLook w:firstRow="0" w:lastRow="0" w:firstColumn="0" w:lastColumn="0" w:noHBand="0" w:noVBand="0" w:val="0000"/>
      </w:tblPr>
      <w:tblGrid>
        <w:gridCol w:w="7920"/>
      </w:tblGrid>
      <w:tr>
        <w:tc>
          <w:tcPr/>
          <w:bookmarkStart w:id="25" w:name="fig-location_map"/>
          <w:p>
            <w:pPr>
              <w:pStyle w:val="Compact"/>
              <w:jc w:val="center"/>
            </w:pPr>
            <w:r>
              <w:drawing>
                <wp:inline>
                  <wp:extent cx="5943600" cy="4245428"/>
                  <wp:effectExtent b="0" l="0" r="0" t="0"/>
                  <wp:docPr descr="" title="" id="23" name="Picture"/>
                  <a:graphic>
                    <a:graphicData uri="http://schemas.openxmlformats.org/drawingml/2006/picture">
                      <pic:pic>
                        <pic:nvPicPr>
                          <pic:cNvPr descr="index_files/figure-docx/notebooks-location_map-fig-location_map-output-2.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Research Site Locations</w:t>
        </w:r>
      </w:hyperlink>
    </w:p>
    <w:bookmarkEnd w:id="27"/>
    <w:bookmarkStart w:id="28"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(Koiter, 2021; Boudreault et al. (2018).</w:t>
      </w:r>
      <w:r>
        <w:t xml:space="preserve"> </w:t>
      </w:r>
      <w:r>
        <w:t xml:space="preserve">Based on the results of Luna Miño (2024),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28"/>
    <w:bookmarkStart w:id="29" w:name="geospatial-and-terrain-analysis"/>
    <w:p>
      <w:pPr>
        <w:pStyle w:val="Heading3"/>
      </w:pPr>
      <w:r>
        <w:t xml:space="preserve">2.3 Geospatial and terrain analysis</w:t>
      </w:r>
    </w:p>
    <w:p>
      <w:pPr>
        <w:pStyle w:val="FirstParagraph"/>
      </w:pPr>
      <w:r>
        <w:t xml:space="preserve">All geostatistics were performed with ArcGIS Pro (v 3.3.0 Esri, 2024).</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ensure the automated fits were reasonable.</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 (Natural Resources Canada, 2024), while the agricultural DEM was generated using UAV photogrammetry processed in Agisoft Metashape (v1.8.2 Agisoft, 2021) with ground control points.</w:t>
      </w:r>
      <w:r>
        <w:t xml:space="preserve"> </w:t>
      </w:r>
      <w:r>
        <w:t xml:space="preserve">Both DEMs were interpolated 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 (SAGA v2.1.4 Conrad et al., 2015) (</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All rasters were resampled to 10 m resolution (terra v1.8.29 Hijmans, 2024) prior to statistical analysis to harmonize spatial support.</w:t>
      </w:r>
    </w:p>
    <w:bookmarkEnd w:id="29"/>
    <w:bookmarkStart w:id="30" w:name="data-analysis"/>
    <w:p>
      <w:pPr>
        <w:pStyle w:val="Heading3"/>
      </w:pPr>
      <w:r>
        <w:t xml:space="preserve">2.4 Data analysis</w:t>
      </w:r>
    </w:p>
    <w:p>
      <w:pPr>
        <w:pStyle w:val="FirstParagraph"/>
      </w:pPr>
      <w:r>
        <w:t xml:space="preserve">All subsequent statistical analysis was undertaken using R statistical Software v4.4.0 (R Core Team, 2024) through RStudio Integrated Development Environment v2024.04.2 (RStudio, 2024).</w:t>
      </w:r>
      <w:r>
        <w:t xml:space="preserve"> </w:t>
      </w:r>
      <w:r>
        <w:t xml:space="preserve">Plots and maps were created using the R package ggplot2 v 3.5.2 (Wickham, 2016).</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 (randomForest v4.7.1.2 Liaw and Wiener, 2002) 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 (usdm v2.1.7 Naimi et al., 2014).</w:t>
      </w:r>
      <w:r>
        <w:t xml:space="preserve"> </w:t>
      </w:r>
      <w:r>
        <w:t xml:space="preserve">The number of variables randomly sampled as candidates (mtry) at each split within the RF model was tuned using the training data set (caret v7.0.1 Kuhn and Max, 2008).</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To test the model, measured and predicted values were plotted and the r</w:t>
      </w:r>
      <w:r>
        <w:rPr>
          <w:vertAlign w:val="superscript"/>
        </w:rPr>
        <w:t xml:space="preserve">2</w:t>
      </w:r>
      <w:r>
        <w:t xml:space="preserve"> </w:t>
      </w:r>
      <w:r>
        <w:t xml:space="preserve">and MSE were calculated using the testing data set.</w:t>
      </w:r>
      <w:r>
        <w:t xml:space="preserve"> </w:t>
      </w:r>
      <w:r>
        <w:t xml:space="preserve">Variable importance is reported as percent increase in MSE.</w:t>
      </w:r>
    </w:p>
    <w:bookmarkEnd w:id="30"/>
    <w:bookmarkEnd w:id="31"/>
    <w:bookmarkStart w:id="59" w:name="results"/>
    <w:p>
      <w:pPr>
        <w:pStyle w:val="Heading2"/>
      </w:pPr>
      <w:r>
        <w:t xml:space="preserve">3 Results</w:t>
      </w:r>
    </w:p>
    <w:bookmarkStart w:id="36"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32"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34"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Univariate summary</w:t>
        </w:r>
      </w:hyperlink>
    </w:p>
    <w:bookmarkEnd w:id="36"/>
    <w:bookmarkStart w:id="58"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 c</w:t>
      </w:r>
      <w:r>
        <w:rPr>
          <w:i/>
          <w:iCs/>
        </w:rPr>
        <w:t xml:space="preserve">, h). Within the forested site nine properties showed spatial dependence (moderate to strong) with ranges 176–298 m; Fe, Rb and colour a</w:t>
      </w:r>
      <w:r>
        <w:t xml:space="preserve">, b</w:t>
      </w:r>
      <w:r>
        <w:rPr>
          <w:i/>
          <w:iCs/>
        </w:rPr>
        <w:t xml:space="preserve">, c</w:t>
      </w:r>
      <w:r>
        <w:t xml:space="preserve">, x 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geocol-semivariogram"/>
          <w:p>
            <w:pPr>
              <w:jc w:val="center"/>
            </w:pPr>
            <w:pPr>
              <w:jc w:val="star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37"/>
          <w:p/>
        </w:tc>
      </w:tr>
    </w:tbl>
    <w:p>
      <w:pPr>
        <w:pStyle w:val="TextBody"/>
      </w:pPr>
      <w:r>
        <w:rPr>
          <w:vertAlign w:val="subscript"/>
        </w:rPr>
        <w:t xml:space="preserve">Source:</w:t>
      </w:r>
      <w:r>
        <w:rPr>
          <w:vertAlign w:val="subscript"/>
        </w:rPr>
        <w:t xml:space="preserve"> </w:t>
      </w:r>
      <w:hyperlink r:id="rId38">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42" w:name="fig-ag_map"/>
          <w:p>
            <w:pPr>
              <w:pStyle w:val="Compact"/>
              <w:jc w:val="center"/>
            </w:pPr>
            <w:r>
              <w:drawing>
                <wp:inline>
                  <wp:extent cx="5943600" cy="11887200"/>
                  <wp:effectExtent b="0" l="0" r="0" t="0"/>
                  <wp:docPr descr="" title="" id="40" name="Picture"/>
                  <a:graphic>
                    <a:graphicData uri="http://schemas.openxmlformats.org/drawingml/2006/picture">
                      <pic:pic>
                        <pic:nvPicPr>
                          <pic:cNvPr descr="index_files/figure-docx/notebooks-property_maps-fig-ag_map-output-1.png" id="41" name="Picture"/>
                          <pic:cNvPicPr>
                            <a:picLocks noChangeArrowheads="1" noChangeAspect="1"/>
                          </pic:cNvPicPr>
                        </pic:nvPicPr>
                        <pic:blipFill>
                          <a:blip r:embed="rId39"/>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Kriged maps of select colour and geochemical properties and elevation across the agricultural site.</w:t>
            </w:r>
          </w:p>
          <w:bookmarkEnd w:id="42"/>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47" w:name="fig-forest_map"/>
          <w:p>
            <w:pPr>
              <w:pStyle w:val="Compact"/>
              <w:jc w:val="center"/>
            </w:pPr>
            <w:r>
              <w:drawing>
                <wp:inline>
                  <wp:extent cx="5943600" cy="7723584"/>
                  <wp:effectExtent b="0" l="0" r="0" t="0"/>
                  <wp:docPr descr="" title="" id="45" name="Picture"/>
                  <a:graphic>
                    <a:graphicData uri="http://schemas.openxmlformats.org/drawingml/2006/picture">
                      <pic:pic>
                        <pic:nvPicPr>
                          <pic:cNvPr descr="index_files/figure-docx/notebooks-property_maps-fig-forest_map-output-1.png" id="46" name="Picture"/>
                          <pic:cNvPicPr>
                            <a:picLocks noChangeArrowheads="1" noChangeAspect="1"/>
                          </pic:cNvPicPr>
                        </pic:nvPicPr>
                        <pic:blipFill>
                          <a:blip r:embed="rId44"/>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Kriged map of select colour and geochemical properties and elevation across the forested site.</w:t>
            </w:r>
          </w:p>
          <w:bookmarkEnd w:id="47"/>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correlation"/>
          <w:p>
            <w:pPr>
              <w:jc w:val="center"/>
            </w:pPr>
            <w:pPr>
              <w:jc w:val="star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49"/>
          <w:p/>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 variation explained the suggesting that using the average value is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 Additional details on variable importance are provided in</w:t>
      </w:r>
      <w:r>
        <w:t xml:space="preserve"> </w:t>
      </w:r>
      <w:hyperlink w:anchor="suppfig-ag_RF_summary">
        <w:r>
          <w:rPr>
            <w:rStyle w:val="Internet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51"/>
          <w:p/>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56" w:name="fig-rf-results"/>
          <w:p>
            <w:pPr>
              <w:pStyle w:val="Compact"/>
              <w:jc w:val="center"/>
            </w:pPr>
            <w:r>
              <w:drawing>
                <wp:inline>
                  <wp:extent cx="5943600" cy="4245428"/>
                  <wp:effectExtent b="0" l="0" r="0" t="0"/>
                  <wp:docPr descr="" title="" id="54" name="Picture"/>
                  <a:graphic>
                    <a:graphicData uri="http://schemas.openxmlformats.org/drawingml/2006/picture">
                      <pic:pic>
                        <pic:nvPicPr>
                          <pic:cNvPr descr="index_files/figure-docx/notebooks-RF_summary-fig-rf-results-output-1.png" id="55" name="Picture"/>
                          <pic:cNvPicPr>
                            <a:picLocks noChangeArrowheads="1" noChangeAspect="1"/>
                          </pic:cNvPicPr>
                        </pic:nvPicPr>
                        <pic:blipFill>
                          <a:blip r:embed="rId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56"/>
        </w:tc>
      </w:tr>
    </w:tbl>
    <w:p>
      <w:pPr>
        <w:pStyle w:val="TextBody"/>
      </w:pPr>
      <w:r>
        <w:rPr>
          <w:vertAlign w:val="subscript"/>
        </w:rPr>
        <w:t xml:space="preserve">Source:</w:t>
      </w:r>
      <w:r>
        <w:rPr>
          <w:vertAlign w:val="subscript"/>
        </w:rPr>
        <w:t xml:space="preserve"> </w:t>
      </w:r>
      <w:hyperlink r:id="rId57">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r>
        <w:t xml:space="preserve"> </w:t>
      </w:r>
      <w:r>
        <w:t xml:space="preserve"> </w:t>
      </w:r>
      <w:r>
        <w:t xml:space="preserve"> </w:t>
      </w:r>
    </w:p>
    <w:bookmarkEnd w:id="58"/>
    <w:bookmarkEnd w:id="59"/>
    <w:bookmarkStart w:id="64" w:name="discussion"/>
    <w:p>
      <w:pPr>
        <w:pStyle w:val="Heading2"/>
      </w:pPr>
      <w:r>
        <w:t xml:space="preserve">4 Discussion</w:t>
      </w:r>
    </w:p>
    <w:bookmarkStart w:id="60"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 (Drew et al., 2010), regional (Rattenbury et al., 2018), watershed (Nanos and Rodríguez Martín, 2012), hillslope/catena, and farm field (Sun et al., 2021b).</w:t>
      </w:r>
      <w:r>
        <w:t xml:space="preserve"> </w:t>
      </w:r>
      <w:r>
        <w:t xml:space="preserve">The objectives of these studies included addressing issues of pollution/contamination, providing benchmark/baseline information, investigating pedological and weathering properties and processes, and soil surveying and mapping (Wilson et al., 2008).</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 (e.g., Vidon et al., 2010).</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 (Pennock et al., 2008).</w:t>
      </w:r>
      <w:r>
        <w:t xml:space="preserve"> </w:t>
      </w:r>
      <w:r>
        <w:t xml:space="preserve">These data distribution properties are ideal for statistical and environmental modeling as it typically meets the model assumptions with out requiring transformations.</w:t>
      </w:r>
      <w:r>
        <w:t xml:space="preserve"> </w:t>
      </w:r>
      <w:r>
        <w:t xml:space="preserve">Soil colour coefficients (*a**, *b**, *c**, *h**, x) showed near-normal distributions and low CVs (Table 1),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 (Horowitz, 1991).</w:t>
      </w:r>
      <w:r>
        <w:t xml:space="preserve"> </w:t>
      </w:r>
      <w:r>
        <w:t xml:space="preserve">Removing sand-sized material reduced grain-size effects, likely resulting in lower variability than in bulk soil studies (&lt;2 mm).</w:t>
      </w:r>
      <w:r>
        <w:t xml:space="preserve"> </w:t>
      </w:r>
      <w:r>
        <w:t xml:space="preserve">In particular, the forest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 (Nicolas and Bamburak, 2011).</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8.5 %, CV = 51.9 %) as compared to the agricultural site (x̄ = 11.6 %, CV = 16.1 %), which similarly to the grain size distribution, can influence the concentration of many major and trace elements (Horowitz, 1991).</w:t>
      </w:r>
      <w:r>
        <w:t xml:space="preserve"> </w:t>
      </w:r>
      <w:r>
        <w:t xml:space="preserve">These results provide evidence that land use and landscape complexity play a role in driving soil property variability that can be considered when developing a strategic sampling design.</w:t>
      </w:r>
    </w:p>
    <w:bookmarkEnd w:id="60"/>
    <w:bookmarkStart w:id="61"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 (Lark and Marchant, 2018).</w:t>
      </w:r>
      <w:r>
        <w:t xml:space="preserve"> </w:t>
      </w:r>
      <w:r>
        <w:t xml:space="preserve">Properties lacking spatial autocorrelation at the forest site (Fe, Rb,</w:t>
      </w:r>
      <w:r>
        <w:t xml:space="preserve"> </w:t>
      </w:r>
      <w:r>
        <w:rPr>
          <w:i/>
          <w:iCs/>
        </w:rPr>
        <w:t xml:space="preserve">a*, b*</w:t>
      </w:r>
      <w:r>
        <w:t xml:space="preserve">, c*, x)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 (2013) 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 (e.g., Mzuku et al., 2005) or is used for soil classification (e.g., Soil Classification Working Group, 1998).</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w:t>
      </w:r>
    </w:p>
    <w:bookmarkEnd w:id="61"/>
    <w:bookmarkStart w:id="62"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r>
        <w:t xml:space="preserve"> </w:t>
      </w:r>
      <w:r>
        <w:t xml:space="preserve">The results of this study are consistent with the findings of Mashalaba et al. (2020) 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 and conditions (Libohova et al., 2024; Mello et al., 2022).</w:t>
      </w:r>
      <w:r>
        <w:t xml:space="preserve"> </w:t>
      </w:r>
      <w:r>
        <w:t xml:space="preserve">For example, in eroded landscapes in the Prairie region of Canada, Ca concentrations have been found to be higher in upper slope positions from erosion and subsequent exposure of high-carbonate subsoil (Papiernik et al., 2005).</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r>
        <w:t xml:space="preserve"> </w:t>
      </w:r>
      <w:r>
        <w:t xml:space="preserve">Landscape position can also have a strong influence on pedogenic process; for example, the translocation of Fe and clay down the soil profile is a diagnostic criteria used in classifying soils (Stonehouse and St. Arnaud, 1971).</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 (Papiernik et al., 2005).</w:t>
      </w:r>
      <w:r>
        <w:t xml:space="preserve"> </w:t>
      </w:r>
      <w:r>
        <w:t xml:space="preserve">Moisture availability is also greater in the lower slope and depressional areas resulting in increased organic matter production resulting in darker organic-rich topsoil as compared to the upper slope positions.</w:t>
      </w:r>
      <w:r>
        <w:t xml:space="preserve"> </w:t>
      </w:r>
      <w:r>
        <w:t xml:space="preserve">There is also evidence that suggests that soil texture varies with elevation and slope position, with coarser material on upper slopes and finer material accumulating in lower positions (Cox et al., 2003; Kokulan et al., 2018).</w:t>
      </w:r>
      <w:r>
        <w:t xml:space="preserve"> </w:t>
      </w:r>
      <w:r>
        <w:t xml:space="preserve">Given the strong correlation of organic matter and texture with soil geochemistry (Horowitz, 1991) and colour (Viscarra Rossel et al., 2009), these properties may also help explain the observed spatial patterns .</w:t>
      </w:r>
      <w:r>
        <w:t xml:space="preserve"> </w:t>
      </w:r>
      <w:r>
        <w:t xml:space="preserve">Compared to the forest site, the RF regression model showed greater explanatory power and predictive performance for the agricultural site, likely due to its simpler topography.</w:t>
      </w:r>
      <w:r>
        <w:t xml:space="preserve"> </w:t>
      </w:r>
      <w:r>
        <w:t xml:space="preserve">In these settings, terrain attributes can serve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This integration ensures adequate representation of key geomorphic and topographic features.</w:t>
      </w:r>
      <w:r>
        <w:t xml:space="preserve"> </w:t>
      </w:r>
      <w:r>
        <w:t xml:space="preserve">However, at the forested site, the RF model showed poor fit, and terrain variables were largely uninformative;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p>
    <w:bookmarkEnd w:id="62"/>
    <w:bookmarkStart w:id="63" w:name="limitations-and-future-work"/>
    <w:p>
      <w:pPr>
        <w:pStyle w:val="Heading3"/>
      </w:pPr>
      <w:r>
        <w:t xml:space="preserve">4.4 Limitations and Future Work</w:t>
      </w:r>
    </w:p>
    <w:p>
      <w:pPr>
        <w:pStyle w:val="FirstParagraph"/>
      </w:pPr>
      <w:r>
        <w:t xml:space="preserve">The impact of sampling design the characterization of fingerprints can be substantial (Luna Miño et al., 2024),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 (Evrard et al. 2022).</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 (Rizzo et al. 2016).</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misses fine-scale heterogeneity limiting the semivariogram models ability to capture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 (Evrard et al. 2022).</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p>
    <w:bookmarkEnd w:id="63"/>
    <w:bookmarkEnd w:id="64"/>
    <w:bookmarkStart w:id="65"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Random forest regression demonstrated that many fingerprint-relevant properties exhibit usable spatial dependence at the field scale and are structured by terrain attributes.</w:t>
      </w:r>
      <w:r>
        <w:t xml:space="preserve"> </w:t>
      </w:r>
      <w:r>
        <w:t xml:space="preserve">Elevation, wetness, and slope position explained a substantial portion of the observed variability, ssupporting the use of DEM-guided sampling strategies.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65"/>
    <w:bookmarkStart w:id="66"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6"/>
    <w:bookmarkStart w:id="72" w:name="statements-and-declarations"/>
    <w:p>
      <w:pPr>
        <w:pStyle w:val="Heading2"/>
      </w:pPr>
      <w:r>
        <w:t xml:space="preserve">Statements and declarations</w:t>
      </w:r>
    </w:p>
    <w:bookmarkStart w:id="67"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7"/>
    <w:bookmarkStart w:id="6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8"/>
    <w:bookmarkStart w:id="70"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9">
        <w:r>
          <w:rPr>
            <w:rStyle w:val="InternetLink"/>
          </w:rPr>
          <w:t xml:space="preserve">https://github.com/alex-koiter/sampling-design-manuscript</w:t>
        </w:r>
      </w:hyperlink>
    </w:p>
    <w:bookmarkEnd w:id="70"/>
    <w:bookmarkStart w:id="71"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71"/>
    <w:bookmarkEnd w:id="72"/>
    <w:bookmarkStart w:id="74" w:name="references"/>
    <w:p>
      <w:pPr>
        <w:pStyle w:val="Heading2"/>
      </w:pPr>
      <w:r>
        <w:t xml:space="preserve">References</w:t>
      </w:r>
    </w:p>
    <w:bookmarkStart w:id="73" w:name="refs"/>
    <w:bookmarkEnd w:id="73"/>
    <w:bookmarkEnd w:id="74"/>
    <w:bookmarkStart w:id="83"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78" w:name="suppfig-ag_RF_summary"/>
          <w:p>
            <w:pPr>
              <w:pStyle w:val="Compact"/>
              <w:jc w:val="center"/>
            </w:pPr>
            <w:r>
              <w:drawing>
                <wp:inline>
                  <wp:extent cx="5943600" cy="5943600"/>
                  <wp:effectExtent b="0" l="0" r="0" t="0"/>
                  <wp:docPr descr="" title="" id="76" name="Picture"/>
                  <a:graphic>
                    <a:graphicData uri="http://schemas.openxmlformats.org/drawingml/2006/picture">
                      <pic:pic>
                        <pic:nvPicPr>
                          <pic:cNvPr descr="images/Ag_RF_summary.png" id="77" name="Picture"/>
                          <pic:cNvPicPr>
                            <a:picLocks noChangeArrowheads="1" noChangeAspect="1"/>
                          </pic:cNvPicPr>
                        </pic:nvPicPr>
                        <pic:blipFill>
                          <a:blip r:embed="rId7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7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82" w:name="suppfig-ag_RF_summary"/>
          <w:p>
            <w:pPr>
              <w:pStyle w:val="Compact"/>
              <w:jc w:val="center"/>
            </w:pPr>
            <w:r>
              <w:drawing>
                <wp:inline>
                  <wp:extent cx="5943600" cy="2971800"/>
                  <wp:effectExtent b="0" l="0" r="0" t="0"/>
                  <wp:docPr descr="" title="" id="80" name="Picture"/>
                  <a:graphic>
                    <a:graphicData uri="http://schemas.openxmlformats.org/drawingml/2006/picture">
                      <pic:pic>
                        <pic:nvPicPr>
                          <pic:cNvPr descr="images/Forest_RF_summary.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Variable importance, expressed as the percentage increase in Mean Squared Error, for soil colour and geochemical fingerprint properties derived from random forest models using terrain attributes as predictorsat the forest site.</w:t>
            </w:r>
          </w:p>
          <w:bookmarkEnd w:id="82"/>
        </w:tc>
      </w:tr>
    </w:tbl>
    <w:bookmarkEnd w:id="83"/>
    <w:bookmarkStart w:id="86"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84" w:name="supptab-abbrev"/>
          <w:p>
            <w:pPr>
              <w:jc w:val="center"/>
            </w:pPr>
            <w:pPr>
              <w:jc w:val="star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84"/>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85" w:name="supptab-terrain"/>
          <w:p>
            <w:pPr>
              <w:jc w:val="center"/>
            </w:pPr>
            <w:pPr>
              <w:jc w:val="star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85"/>
          <w:p/>
        </w:tc>
      </w:tr>
    </w:tbl>
    <w:bookmarkEnd w:id="86"/>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69" Target="https://github.com/alex-koiter/sampling-design-manuscript" TargetMode="External" /></Relationships>
</file>

<file path=word/_rels/footnotes.xml.rels><?xml version="1.0" encoding="UTF-8"?><Relationships xmlns="http://schemas.openxmlformats.org/package/2006/relationships"><Relationship Type="http://schemas.openxmlformats.org/officeDocument/2006/relationships/hyperlink" Id="rId57" Target="https://alex-koiter.github.io/terrain-attributes/notebooks/RF_summary.qmd.html#cell-fig-rf-results" TargetMode="External" /><Relationship Type="http://schemas.openxmlformats.org/officeDocument/2006/relationships/hyperlink" Id="rId52" Target="https://alex-koiter.github.io/terrain-attributes/notebooks/RF_summary.qmd.html#cell-tbl-rf-summary" TargetMode="External" /><Relationship Type="http://schemas.openxmlformats.org/officeDocument/2006/relationships/hyperlink" Id="rId26" Target="https://alex-koiter.github.io/terrain-attributes/notebooks/location_map.qmd.html#cell-fig-location_map" TargetMode="External" /><Relationship Type="http://schemas.openxmlformats.org/officeDocument/2006/relationships/hyperlink" Id="rId43" Target="https://alex-koiter.github.io/terrain-attributes/notebooks/property_maps.qmd.html#cell-fig-ag_map" TargetMode="External" /><Relationship Type="http://schemas.openxmlformats.org/officeDocument/2006/relationships/hyperlink" Id="rId48" Target="https://alex-koiter.github.io/terrain-attributes/notebooks/property_maps.qmd.html#cell-fig-forest_map" TargetMode="External" /><Relationship Type="http://schemas.openxmlformats.org/officeDocument/2006/relationships/hyperlink" Id="rId38" Target="https://alex-koiter.github.io/terrain-attributes/notebooks/semivariogram.qmd.html#cell-tbl-geocol-semivariogram" TargetMode="External" /><Relationship Type="http://schemas.openxmlformats.org/officeDocument/2006/relationships/hyperlink" Id="rId50" Target="https://alex-koiter.github.io/terrain-attributes/notebooks/univariate_analysis.qmd.html#cell-tbl-correlation" TargetMode="External" /><Relationship Type="http://schemas.openxmlformats.org/officeDocument/2006/relationships/hyperlink" Id="rId33" Target="https://alex-koiter.github.io/terrain-attributes/notebooks/univariate_analysis.qmd.html#cell-tbl-univariate-summary" TargetMode="External" /><Relationship Type="http://schemas.openxmlformats.org/officeDocument/2006/relationships/hyperlink" Id="rId35" Target="https://alex-koiter.github.io/terrain-attributes/notebooks/univariate_analysis.qmd.html#cell-tbl-univariate-summary2" TargetMode="External" /><Relationship Type="http://schemas.openxmlformats.org/officeDocument/2006/relationships/hyperlink" Id="rId69" Target="https://github.com/alex-koiter/sampling-design-manuscri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2026-05-04T19:59:12Z</dcterms:created>
  <dcterms:modified xsi:type="dcterms:W3CDTF">2026-05-04T19:59:12Z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