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2.png" ContentType="image/png"/>
  <Override PartName="/word/media/rId54.png" ContentType="image/png"/>
  <Override PartName="/word/media/rId23.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2"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hyperlink r:id="rId21">
        <w:r>
          <w:rPr>
            <w:rStyle w:val="InternetLink"/>
          </w:rPr>
          <w:t xml:space="preserve">Kariuki et al. (</w:t>
        </w:r>
        <w:hyperlink w:anchor="ref-kariuki2009">
          <w:r>
            <w:rPr>
              <w:rStyle w:val="InternetLink"/>
            </w:rPr>
            <w:t xml:space="preserve">2009</w:t>
          </w:r>
        </w:hyperlink>
        <w:r>
          <w:rPr>
            <w:rStyle w:val="InternetLink"/>
          </w:rPr>
          <w:t xml:space="preserve">)</w:t>
        </w:r>
      </w:hyperlink>
      <w:r>
        <w:t xml:space="preserve">.</w:t>
      </w:r>
      <w:r>
        <w:t xml:space="preserve"> </w:t>
      </w:r>
      <w:r>
        <w:t xml:space="preserve">Similarly, accounting for spatial variability extends to sediment source fingerprinting, as unaccounted spatial heterogeneity within sources of sediment can compromise the source apportionment results (Du and Walling, 2017).</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 (Pulley et al., 2017).</w:t>
      </w:r>
      <w:r>
        <w:t xml:space="preserve"> </w:t>
      </w:r>
      <w:r>
        <w:t xml:space="preserve">However, investigating spatial variability at smaller scales is less common (e.g., Du and Walling, 2017; Pulley et al., 2018; Collins et al., 2019; Luna Miño et al., 2024) and remains a research priority (Collins et al., 2020).</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 (Wilkinson et al., 2015).</w:t>
      </w:r>
      <w:r>
        <w:t xml:space="preserve"> </w:t>
      </w:r>
      <w:r>
        <w:t xml:space="preserve">Designing and implementing source sampling campaigns must consider this, as the sampling design used has been shown to influence the characterization of a wide range of commonly used fingerprints (Luna Miño et al., 2024).</w:t>
      </w:r>
      <w:r>
        <w:t xml:space="preserve"> </w:t>
      </w:r>
      <w:r>
        <w:t xml:space="preserve">The lack of standardization in sediment source sampling designs makes it difficult to compare results across studies and creates uncertainties in the interpretation of results (Luna Miño et al., 2024)</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 (Wilkinson et al., 2015; Du and Walling, 2017) and using spatially interpolated maps of fingerprint values to provide a finer resolution of the fingerprint variability within each source (Haddadchi et al., 2019).</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 (Collins et al., 1997) to select suitable fingerprints there are concerns that this approach may result in the inclusion of false positives (i.e., type I error) in which a fingerprint is incorrectly identified as having discriminatory power between sources when it does not, or non-conservative fingerprints (Koiter et al., 2013a).</w:t>
      </w:r>
      <w:r>
        <w:t xml:space="preserve"> </w:t>
      </w:r>
      <w:r>
        <w:t xml:space="preserve">Consequently, there has been a call for the inclusion of a process-based (e.g., weathering, erosion) or geologic-based explanation of the fingerprints selected to address these concerns (Collins et al., 2020).</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 (e.g.,</w:t>
      </w:r>
      <w:r>
        <w:t xml:space="preserve"> </w:t>
      </w:r>
      <w:r>
        <w:rPr>
          <w:vertAlign w:val="superscript"/>
        </w:rPr>
        <w:t xml:space="preserve">137</w:t>
      </w:r>
      <w:r>
        <w:t xml:space="preserve">Cs, 7Be; Ritchie et al. 1970), plant nutrients (e.g., N, P; Vasu et al. 2017), soil colour (e.g., hue, value; Viscarra Rossel et al. 2006), major non-acid forming cations (e.g., Ca, Na; Sun et al. 2021a).</w:t>
      </w:r>
      <w:r>
        <w:t xml:space="preserve"> </w:t>
      </w:r>
      <w:r>
        <w:t xml:space="preserve">In contrast, the processes that control the distribution of rare earth elements and trace metals, are less well studied or tend to be site-specific, making it difficult to draw generalizations.</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 (Beaudette et al., 2013), texture (Kokulan et al., 2018), colour (Brown et al., 2004), organic matter (Zhang et al., 2012), conductivity (Umali et al., 2012), and geochemistry (Lima et al., 2023).</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 (2024) 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22"/>
    <w:bookmarkStart w:id="32" w:name="methods"/>
    <w:p>
      <w:pPr>
        <w:pStyle w:val="Heading2"/>
      </w:pPr>
      <w:r>
        <w:t xml:space="preserve">2 Methods</w:t>
      </w:r>
    </w:p>
    <w:bookmarkStart w:id="28"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(Picea glauca), black spruce (Picea mariana), balsam fir (Abies balsamea), larch (Larix laricina), and trembling aspen (Populus tremuloides), with soils likely part of the Grey Wooded soil association (Luvisol) developed on boulder till of mostly shale with some limestone and granitic rocks (Ehrlich et al., 1958).</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 (Ehrlich et al., 1958).</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 (Beck et al., 2018), with a mean annual temperature of 3.0°C, annual precipitation of 539 mm (~27% as snow) (Environment and Canada, 2024), and snowmelt-dominated runoff, with about 80% occurring in May and June (MacKay, 1970).</w:t>
      </w:r>
    </w:p>
    <w:tbl>
      <w:tblPr>
        <w:tblStyle w:val="Table"/>
        <w:tblW w:type="pct" w:w="5000"/>
        <w:tblLayout w:type="fixed"/>
        <w:tblLook w:firstRow="0" w:lastRow="0" w:firstColumn="0" w:lastColumn="0" w:noHBand="0" w:noVBand="0" w:val="0000"/>
      </w:tblPr>
      <w:tblGrid>
        <w:gridCol w:w="7920"/>
      </w:tblGrid>
      <w:tr>
        <w:tc>
          <w:tcPr/>
          <w:bookmarkStart w:id="26" w:name="fig-location_map"/>
          <w:p>
            <w:pPr>
              <w:pStyle w:val="Compact"/>
              <w:jc w:val="center"/>
            </w:pPr>
            <w:r>
              <w:drawing>
                <wp:inline>
                  <wp:extent cx="5943600" cy="4245428"/>
                  <wp:effectExtent b="0" l="0" r="0" t="0"/>
                  <wp:docPr descr="" title="" id="24" name="Picture"/>
                  <a:graphic>
                    <a:graphicData uri="http://schemas.openxmlformats.org/drawingml/2006/picture">
                      <pic:pic>
                        <pic:nvPicPr>
                          <pic:cNvPr descr="index_files/figure-docx/notebooks-location_map-fig-location_map-output-2.png" id="25" name="Picture"/>
                          <pic:cNvPicPr>
                            <a:picLocks noChangeArrowheads="1" noChangeAspect="1"/>
                          </pic:cNvPicPr>
                        </pic:nvPicPr>
                        <pic:blipFill>
                          <a:blip r:embed="rId2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6"/>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Research Site Locations</w:t>
        </w:r>
      </w:hyperlink>
    </w:p>
    <w:bookmarkEnd w:id="28"/>
    <w:bookmarkStart w:id="29"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(Koiter, 2021; Boudreault et al. (2018).</w:t>
      </w:r>
      <w:r>
        <w:t xml:space="preserve"> </w:t>
      </w:r>
      <w:r>
        <w:t xml:space="preserve">Based on the results of Luna Miño (2024),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9"/>
    <w:bookmarkStart w:id="30" w:name="geospatial-and-terrain-analysis"/>
    <w:p>
      <w:pPr>
        <w:pStyle w:val="Heading3"/>
      </w:pPr>
      <w:r>
        <w:t xml:space="preserve">2.3 Geospatial and terrain analysis</w:t>
      </w:r>
    </w:p>
    <w:p>
      <w:pPr>
        <w:pStyle w:val="FirstParagraph"/>
      </w:pPr>
      <w:r>
        <w:t xml:space="preserve">All geostatistics were performed with ArcGIS Pro (v 3.3.0 Esri, 2024).</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 (Natural Resources Canada, 2024), while the agricultural DEM was generated using UAV photogrammetry processed in Agisoft Metashape (v1.8.2 Agisoft, 2021) 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 (SAGA v2.1.4 Conrad et al., 2015) (</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 (terra v1.8.29 Hijmans, 2024) prior to statistical analysis to harmonize spatial support.</w:t>
      </w:r>
    </w:p>
    <w:bookmarkEnd w:id="30"/>
    <w:bookmarkStart w:id="31" w:name="data-analysis"/>
    <w:p>
      <w:pPr>
        <w:pStyle w:val="Heading3"/>
      </w:pPr>
      <w:r>
        <w:t xml:space="preserve">2.4 Data analysis</w:t>
      </w:r>
    </w:p>
    <w:p>
      <w:pPr>
        <w:pStyle w:val="FirstParagraph"/>
      </w:pPr>
      <w:r>
        <w:t xml:space="preserve">All subsequent statistical analysis was undertaken using R statistical Software v4.4.0 (R Core Team, 2024) through RStudio Integrated Development Environment v2024.04.2 (RStudio, 2024).</w:t>
      </w:r>
      <w:r>
        <w:t xml:space="preserve"> </w:t>
      </w:r>
      <w:r>
        <w:t xml:space="preserve">Plots and maps were created using the R package ggplot2 v 3.5.2 (Wickham, 2016).</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 (randomForest v4.7.1.2 Liaw and Wiener, 2002) 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 (usdm v2.1.7 Naimi et al., 2014).</w:t>
      </w:r>
      <w:r>
        <w:t xml:space="preserve"> </w:t>
      </w:r>
      <w:r>
        <w:t xml:space="preserve">The number of variables randomly sampled as candidates (mtry) at each split within the RF model was tuned using the training data set (caret v7.0.1 Kuhn and Max, 2008).</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31"/>
    <w:bookmarkEnd w:id="32"/>
    <w:bookmarkStart w:id="60" w:name="results"/>
    <w:p>
      <w:pPr>
        <w:pStyle w:val="Heading2"/>
      </w:pPr>
      <w:r>
        <w:t xml:space="preserve">3 Results</w:t>
      </w:r>
    </w:p>
    <w:bookmarkStart w:id="37"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3"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3"/>
          <w:p/>
        </w:tc>
      </w:tr>
    </w:tbl>
    <w:p>
      <w:pPr>
        <w:pStyle w:val="TextBody"/>
      </w:pPr>
      <w:r>
        <w:rPr>
          <w:vertAlign w:val="subscript"/>
        </w:rPr>
        <w:t xml:space="preserve">Source:</w:t>
      </w:r>
      <w:r>
        <w:rPr>
          <w:vertAlign w:val="subscript"/>
        </w:rPr>
        <w:t xml:space="preserve"> </w:t>
      </w:r>
      <w:hyperlink r:id="rId34">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5"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5"/>
          <w:p/>
        </w:tc>
      </w:tr>
    </w:tbl>
    <w:p>
      <w:pPr>
        <w:pStyle w:val="TextBody"/>
      </w:pPr>
      <w:r>
        <w:rPr>
          <w:vertAlign w:val="subscript"/>
        </w:rPr>
        <w:t xml:space="preserve">Source:</w:t>
      </w:r>
      <w:r>
        <w:rPr>
          <w:vertAlign w:val="subscript"/>
        </w:rPr>
        <w:t xml:space="preserve"> </w:t>
      </w:r>
      <w:hyperlink r:id="rId36">
        <w:r>
          <w:rPr>
            <w:rStyle w:val="InternetLink"/>
            <w:vertAlign w:val="subscript"/>
          </w:rPr>
          <w:t xml:space="preserve">Univariate summary</w:t>
        </w:r>
      </w:hyperlink>
    </w:p>
    <w:bookmarkEnd w:id="37"/>
    <w:bookmarkStart w:id="59"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 c</w:t>
      </w:r>
      <w:r>
        <w:rPr>
          <w:i/>
          <w:iCs/>
        </w:rPr>
        <w:t xml:space="preserve">, h). Within the forested site nine properties showed spatial dependence (moderate to strong) with ranges 176–298 m; Fe, Rb and colour a</w:t>
      </w:r>
      <w:r>
        <w:t xml:space="preserve">, b</w:t>
      </w:r>
      <w:r>
        <w:rPr>
          <w:i/>
          <w:iCs/>
        </w:rPr>
        <w:t xml:space="preserve">, c</w:t>
      </w:r>
      <w:r>
        <w:t xml:space="preserve">, x 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geocol-semivariogram"/>
          <w:p>
            <w:pPr>
              <w:jc w:val="center"/>
            </w:pPr>
            <w:pPr>
              <w:jc w:val="star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3" w:name="fig-ag_map"/>
          <w:p>
            <w:pPr>
              <w:pStyle w:val="Compact"/>
              <w:jc w:val="center"/>
            </w:pPr>
            <w:r>
              <w:drawing>
                <wp:inline>
                  <wp:extent cx="5943600" cy="11887200"/>
                  <wp:effectExtent b="0" l="0" r="0" t="0"/>
                  <wp:docPr descr="" title="" id="41" name="Picture"/>
                  <a:graphic>
                    <a:graphicData uri="http://schemas.openxmlformats.org/drawingml/2006/picture">
                      <pic:pic>
                        <pic:nvPicPr>
                          <pic:cNvPr descr="index_files/figure-docx/notebooks-property_maps-fig-ag_map-output-1.png" id="42" name="Picture"/>
                          <pic:cNvPicPr>
                            <a:picLocks noChangeArrowheads="1" noChangeAspect="1"/>
                          </pic:cNvPicPr>
                        </pic:nvPicPr>
                        <pic:blipFill>
                          <a:blip r:embed="rId40"/>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select colour and geochemical properties and elevation across the agricultural site.</w:t>
            </w:r>
          </w:p>
          <w:bookmarkEnd w:id="43"/>
        </w:tc>
      </w:tr>
    </w:tbl>
    <w:p>
      <w:pPr>
        <w:pStyle w:val="TextBody"/>
      </w:pPr>
      <w:r>
        <w:rPr>
          <w:vertAlign w:val="subscript"/>
        </w:rPr>
        <w:t xml:space="preserve">Source:</w:t>
      </w:r>
      <w:r>
        <w:rPr>
          <w:vertAlign w:val="subscript"/>
        </w:rPr>
        <w:t xml:space="preserve"> </w:t>
      </w:r>
      <w:hyperlink r:id="rId44">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8" w:name="fig-forest_map"/>
          <w:p>
            <w:pPr>
              <w:pStyle w:val="Compact"/>
              <w:jc w:val="center"/>
            </w:pPr>
            <w:r>
              <w:drawing>
                <wp:inline>
                  <wp:extent cx="5943600" cy="7723584"/>
                  <wp:effectExtent b="0" l="0" r="0" t="0"/>
                  <wp:docPr descr="" title="" id="46" name="Picture"/>
                  <a:graphic>
                    <a:graphicData uri="http://schemas.openxmlformats.org/drawingml/2006/picture">
                      <pic:pic>
                        <pic:nvPicPr>
                          <pic:cNvPr descr="index_files/figure-docx/notebooks-property_maps-fig-forest_map-output-1.png" id="47" name="Picture"/>
                          <pic:cNvPicPr>
                            <a:picLocks noChangeArrowheads="1" noChangeAspect="1"/>
                          </pic:cNvPicPr>
                        </pic:nvPicPr>
                        <pic:blipFill>
                          <a:blip r:embed="rId45"/>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select colour and geochemical properties and elevation across the forested site.</w:t>
            </w:r>
          </w:p>
          <w:bookmarkEnd w:id="48"/>
        </w:tc>
      </w:tr>
    </w:tbl>
    <w:p>
      <w:pPr>
        <w:pStyle w:val="TextBody"/>
      </w:pPr>
      <w:r>
        <w:rPr>
          <w:vertAlign w:val="subscript"/>
        </w:rPr>
        <w:t xml:space="preserve">Source:</w:t>
      </w:r>
      <w:r>
        <w:rPr>
          <w:vertAlign w:val="subscript"/>
        </w:rPr>
        <w:t xml:space="preserve"> </w:t>
      </w:r>
      <w:hyperlink r:id="rId49">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correlation"/>
          <w:p>
            <w:pPr>
              <w:jc w:val="center"/>
            </w:pPr>
            <w:pPr>
              <w:jc w:val="star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50"/>
          <w:p/>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52"/>
          <w:p/>
        </w:tc>
      </w:tr>
    </w:tbl>
    <w:p>
      <w:pPr>
        <w:pStyle w:val="TextBody"/>
      </w:pPr>
      <w:r>
        <w:rPr>
          <w:vertAlign w:val="subscript"/>
        </w:rPr>
        <w:t xml:space="preserve">Source:</w:t>
      </w:r>
      <w:r>
        <w:rPr>
          <w:vertAlign w:val="subscript"/>
        </w:rPr>
        <w:t xml:space="preserve"> </w:t>
      </w:r>
      <w:hyperlink r:id="rId53">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7" w:name="fig-rf-results"/>
          <w:p>
            <w:pPr>
              <w:pStyle w:val="Compact"/>
              <w:jc w:val="center"/>
            </w:pPr>
            <w:r>
              <w:drawing>
                <wp:inline>
                  <wp:extent cx="5943600" cy="4245428"/>
                  <wp:effectExtent b="0" l="0" r="0" t="0"/>
                  <wp:docPr descr="" title="" id="55" name="Picture"/>
                  <a:graphic>
                    <a:graphicData uri="http://schemas.openxmlformats.org/drawingml/2006/picture">
                      <pic:pic>
                        <pic:nvPicPr>
                          <pic:cNvPr descr="index_files/figure-docx/notebooks-RF_summary-fig-rf-results-output-1.png" id="56" name="Picture"/>
                          <pic:cNvPicPr>
                            <a:picLocks noChangeArrowheads="1" noChangeAspect="1"/>
                          </pic:cNvPicPr>
                        </pic:nvPicPr>
                        <pic:blipFill>
                          <a:blip r:embed="rId5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57"/>
        </w:tc>
      </w:tr>
    </w:tbl>
    <w:p>
      <w:pPr>
        <w:pStyle w:val="TextBody"/>
      </w:pPr>
      <w:r>
        <w:rPr>
          <w:vertAlign w:val="subscript"/>
        </w:rPr>
        <w:t xml:space="preserve">Source:</w:t>
      </w:r>
      <w:r>
        <w:rPr>
          <w:vertAlign w:val="subscript"/>
        </w:rPr>
        <w:t xml:space="preserve"> </w:t>
      </w:r>
      <w:hyperlink r:id="rId58">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59"/>
    <w:bookmarkEnd w:id="60"/>
    <w:bookmarkStart w:id="65" w:name="discussion"/>
    <w:p>
      <w:pPr>
        <w:pStyle w:val="Heading2"/>
      </w:pPr>
      <w:r>
        <w:t xml:space="preserve">4 Discussion</w:t>
      </w:r>
    </w:p>
    <w:bookmarkStart w:id="61"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 (Drew et al., 2010), regional (Rattenbury et al., 2018), watershed (Nanos and Rodríguez Martín, 2012), hillslope/catena, and farm field (Sun et al., 2021b).</w:t>
      </w:r>
      <w:r>
        <w:t xml:space="preserve"> </w:t>
      </w:r>
      <w:r>
        <w:t xml:space="preserve">The objectives of these studies included addressing issues of pollution/contamination, providing benchmark/baseline information, investigating pedological and weathering properties and processes, and soil surveying and mapping (Wilson et al., 2008).</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 (e.g., Vidon et al., 2010).</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 (Pennock et al., 2008).</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(*a**, *b**, *c**, *h**, x) showed near-normal distributions and low CVs (Table 1),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 (Horowitz, 1991).</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 (Nicolas and Bamburak, 2011).</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 (Horowitz, 1991).</w:t>
      </w:r>
      <w:r>
        <w:t xml:space="preserve"> </w:t>
      </w:r>
      <w:r>
        <w:t xml:space="preserve">These results provide evidence that land use and landscape complexity play a role in driving soil property variability that can be considered when developing a strategic sampling design.</w:t>
      </w:r>
    </w:p>
    <w:bookmarkEnd w:id="61"/>
    <w:bookmarkStart w:id="62"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 (Lark and Marchant, 2018).</w:t>
      </w:r>
      <w:r>
        <w:t xml:space="preserve"> </w:t>
      </w:r>
      <w:r>
        <w:t xml:space="preserve">Properties lacking spatial autocorrelation at the forest site (Fe, Rb,</w:t>
      </w:r>
      <w:r>
        <w:t xml:space="preserve"> </w:t>
      </w:r>
      <w:r>
        <w:rPr>
          <w:i/>
          <w:iCs/>
        </w:rPr>
        <w:t xml:space="preserve">a*, b*</w:t>
      </w:r>
      <w:r>
        <w:t xml:space="preserve">, c*, x)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 (2013) 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 (e.g., Mzuku et al., 2005) or is used for soil classification (e.g., Soil Classification Working Group, 1998).</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62"/>
    <w:bookmarkStart w:id="63"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 (2020) 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 (Libohova et al., 2024; Mello et al., 2022).</w:t>
      </w:r>
      <w:r>
        <w:t xml:space="preserve"> </w:t>
      </w:r>
      <w:r>
        <w:t xml:space="preserve">For example, in eroded landscapes in the Prairie region of Canada, Ca concentrations have been found to be higher in upper slope positions from erosion and subsequent exposure of high-carbonate subsoil (Papiernik et al., 2005).</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 (Stonehouse and St. Arnaud, 1971).</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 (Papiernik et al., 2005).</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 (Cox et al., 2003; Kokulan et al., 2018).</w:t>
      </w:r>
      <w:r>
        <w:t xml:space="preserve"> </w:t>
      </w:r>
      <w:r>
        <w:t xml:space="preserve">Given the strong correlation of organic matter and texture with soil geochemistry (Horowitz, 1991) and colour (Viscarra Rossel et al., 2009),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63"/>
    <w:bookmarkStart w:id="64" w:name="limitations-and-future-work"/>
    <w:p>
      <w:pPr>
        <w:pStyle w:val="Heading3"/>
      </w:pPr>
      <w:r>
        <w:t xml:space="preserve">4.4 Limitations and Future Work</w:t>
      </w:r>
    </w:p>
    <w:p>
      <w:pPr>
        <w:pStyle w:val="FirstParagraph"/>
      </w:pPr>
      <w:r>
        <w:t xml:space="preserve">The impact of sampling design the characterization of fingerprints can be substantial (Luna Miño et al., 2024),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 (Evrard et al. 2022).</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 (Rizzo et al. 2016).</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 (Evrard et al. 2022).</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p>
    <w:bookmarkEnd w:id="64"/>
    <w:bookmarkEnd w:id="65"/>
    <w:bookmarkStart w:id="66"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66"/>
    <w:bookmarkStart w:id="67"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7"/>
    <w:bookmarkStart w:id="73" w:name="statements-and-declarations"/>
    <w:p>
      <w:pPr>
        <w:pStyle w:val="Heading2"/>
      </w:pPr>
      <w:r>
        <w:t xml:space="preserve">Statements and declarations</w:t>
      </w:r>
    </w:p>
    <w:bookmarkStart w:id="68"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8"/>
    <w:bookmarkStart w:id="69"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9"/>
    <w:bookmarkStart w:id="71"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70">
        <w:r>
          <w:rPr>
            <w:rStyle w:val="InternetLink"/>
          </w:rPr>
          <w:t xml:space="preserve">https://github.com/alex-koiter/sampling-design-manuscript</w:t>
        </w:r>
      </w:hyperlink>
    </w:p>
    <w:bookmarkEnd w:id="71"/>
    <w:bookmarkStart w:id="72"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2"/>
    <w:bookmarkEnd w:id="73"/>
    <w:bookmarkStart w:id="77" w:name="references"/>
    <w:p>
      <w:pPr>
        <w:pStyle w:val="Heading2"/>
      </w:pPr>
      <w:r>
        <w:t xml:space="preserve">References</w:t>
      </w:r>
    </w:p>
    <w:bookmarkStart w:id="76" w:name="refs"/>
    <w:bookmarkStart w:id="75" w:name="ref-kariuki2009"/>
    <w:p>
      <w:pPr>
        <w:pStyle w:val="Bibliography"/>
      </w:pPr>
      <w:r>
        <w:t xml:space="preserve">Kariuki, S.K., Zhang, H., Schroder, J.L., Hanks, T., Payton, M., Morris, T., 2009.</w:t>
      </w:r>
      <w:r>
        <w:t xml:space="preserve"> </w:t>
      </w:r>
      <w:hyperlink r:id="rId74">
        <w:r>
          <w:rPr>
            <w:rStyle w:val="InternetLink"/>
          </w:rPr>
          <w:t xml:space="preserve">Spatial variability and soil sampling in a grazed pasture</w:t>
        </w:r>
      </w:hyperlink>
      <w:r>
        <w:t xml:space="preserve">. Communications in Soil Science and Plant Analysis 40, 16741687.</w:t>
      </w:r>
    </w:p>
    <w:bookmarkEnd w:id="75"/>
    <w:bookmarkEnd w:id="76"/>
    <w:bookmarkEnd w:id="77"/>
    <w:bookmarkStart w:id="85"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81" w:name="suppfig-ag_RF_summary"/>
          <w:p>
            <w:pPr>
              <w:pStyle w:val="Compact"/>
              <w:jc w:val="center"/>
            </w:pPr>
            <w:r>
              <w:drawing>
                <wp:inline>
                  <wp:extent cx="5943600" cy="5943600"/>
                  <wp:effectExtent b="0" l="0" r="0" t="0"/>
                  <wp:docPr descr="" title="" id="79" name="Picture"/>
                  <a:graphic>
                    <a:graphicData uri="http://schemas.openxmlformats.org/drawingml/2006/picture">
                      <pic:pic>
                        <pic:nvPicPr>
                          <pic:cNvPr descr="images/Ag_RF_summary.png" id="80" name="Picture"/>
                          <pic:cNvPicPr>
                            <a:picLocks noChangeArrowheads="1" noChangeAspect="1"/>
                          </pic:cNvPicPr>
                        </pic:nvPicPr>
                        <pic:blipFill>
                          <a:blip r:embed="rId7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81"/>
        </w:tc>
      </w:tr>
    </w:tbl>
    <w:p>
      <w:pPr>
        <w:pStyle w:val="TextBody"/>
      </w:pPr>
      <w:r>
        <w:drawing>
          <wp:inline>
            <wp:extent cx="5943600" cy="2971800"/>
            <wp:effectExtent b="0" l="0" r="0" t="0"/>
            <wp:docPr descr="" title="" id="83" name="Picture"/>
            <a:graphic>
              <a:graphicData uri="http://schemas.openxmlformats.org/drawingml/2006/picture">
                <pic:pic>
                  <pic:nvPicPr>
                    <pic:cNvPr descr="images/Forest_RF_summary.png" id="84" name="Picture"/>
                    <pic:cNvPicPr>
                      <a:picLocks noChangeArrowheads="1" noChangeAspect="1"/>
                    </pic:cNvPicPr>
                  </pic:nvPicPr>
                  <pic:blipFill>
                    <a:blip r:embed="rId82"/>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85"/>
    <w:bookmarkStart w:id="88"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86"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86"/>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87"/>
          <w:p/>
        </w:tc>
      </w:tr>
    </w:tbl>
    <w:bookmarkEnd w:id="88"/>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54" Target="media/rId54.png" /><Relationship Type="http://schemas.openxmlformats.org/officeDocument/2006/relationships/image" Id="rId23" Target="media/rId23.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21" Target="Kariuki%20et%20al.,%202009;%20Starr%20et%20al.,%201995" TargetMode="External" /><Relationship Type="http://schemas.openxmlformats.org/officeDocument/2006/relationships/hyperlink" Id="rId74" Target="http://www.tandfonline.com/doi/abs/10.1080/00103620902832089" TargetMode="External" /><Relationship Type="http://schemas.openxmlformats.org/officeDocument/2006/relationships/hyperlink" Id="rId58" Target="https://alex-koiter.github.io/terrain-attributes/notebooks/RF_summary.qmd.html#cell-fig-rf-results" TargetMode="External" /><Relationship Type="http://schemas.openxmlformats.org/officeDocument/2006/relationships/hyperlink" Id="rId53" Target="https://alex-koiter.github.io/terrain-attributes/notebooks/RF_summary.qmd.html#cell-tbl-rf-summary" TargetMode="External" /><Relationship Type="http://schemas.openxmlformats.org/officeDocument/2006/relationships/hyperlink" Id="rId27" Target="https://alex-koiter.github.io/terrain-attributes/notebooks/location_map.qmd.html#cell-fig-location_map" TargetMode="External" /><Relationship Type="http://schemas.openxmlformats.org/officeDocument/2006/relationships/hyperlink" Id="rId44" Target="https://alex-koiter.github.io/terrain-attributes/notebooks/property_maps.qmd.html#cell-fig-ag_map" TargetMode="External" /><Relationship Type="http://schemas.openxmlformats.org/officeDocument/2006/relationships/hyperlink" Id="rId49" Target="https://alex-koiter.github.io/terrain-attributes/notebooks/property_maps.qmd.html#cell-fig-forest_map" TargetMode="External" /><Relationship Type="http://schemas.openxmlformats.org/officeDocument/2006/relationships/hyperlink" Id="rId39" Target="https://alex-koiter.github.io/terrain-attributes/notebooks/semivariogram.qmd.html#cell-tbl-geocol-semivariogram" TargetMode="External" /><Relationship Type="http://schemas.openxmlformats.org/officeDocument/2006/relationships/hyperlink" Id="rId51" Target="https://alex-koiter.github.io/terrain-attributes/notebooks/univariate_analysis.qmd.html#cell-tbl-correlation" TargetMode="External" /><Relationship Type="http://schemas.openxmlformats.org/officeDocument/2006/relationships/hyperlink" Id="rId34" Target="https://alex-koiter.github.io/terrain-attributes/notebooks/univariate_analysis.qmd.html#cell-tbl-univariate-summary" TargetMode="External" /><Relationship Type="http://schemas.openxmlformats.org/officeDocument/2006/relationships/hyperlink" Id="rId36" Target="https://alex-koiter.github.io/terrain-attributes/notebooks/univariate_analysis.qmd.html#cell-tbl-univariate-summary2" TargetMode="External" /><Relationship Type="http://schemas.openxmlformats.org/officeDocument/2006/relationships/hyperlink" Id="rId70" Target="https://github.com/alex-koiter/sampling-design-manuscript" TargetMode="External" /></Relationships>
</file>

<file path=word/_rels/footnotes.xml.rels><?xml version="1.0" encoding="UTF-8"?><Relationships xmlns="http://schemas.openxmlformats.org/package/2006/relationships"><Relationship Type="http://schemas.openxmlformats.org/officeDocument/2006/relationships/hyperlink" Id="rId21" Target="Kariuki%20et%20al.,%202009;%20Starr%20et%20al.,%201995" TargetMode="External" /><Relationship Type="http://schemas.openxmlformats.org/officeDocument/2006/relationships/hyperlink" Id="rId74" Target="http://www.tandfonline.com/doi/abs/10.1080/00103620902832089" TargetMode="External" /><Relationship Type="http://schemas.openxmlformats.org/officeDocument/2006/relationships/hyperlink" Id="rId58" Target="https://alex-koiter.github.io/terrain-attributes/notebooks/RF_summary.qmd.html#cell-fig-rf-results" TargetMode="External" /><Relationship Type="http://schemas.openxmlformats.org/officeDocument/2006/relationships/hyperlink" Id="rId53" Target="https://alex-koiter.github.io/terrain-attributes/notebooks/RF_summary.qmd.html#cell-tbl-rf-summary" TargetMode="External" /><Relationship Type="http://schemas.openxmlformats.org/officeDocument/2006/relationships/hyperlink" Id="rId27" Target="https://alex-koiter.github.io/terrain-attributes/notebooks/location_map.qmd.html#cell-fig-location_map" TargetMode="External" /><Relationship Type="http://schemas.openxmlformats.org/officeDocument/2006/relationships/hyperlink" Id="rId44" Target="https://alex-koiter.github.io/terrain-attributes/notebooks/property_maps.qmd.html#cell-fig-ag_map" TargetMode="External" /><Relationship Type="http://schemas.openxmlformats.org/officeDocument/2006/relationships/hyperlink" Id="rId49" Target="https://alex-koiter.github.io/terrain-attributes/notebooks/property_maps.qmd.html#cell-fig-forest_map" TargetMode="External" /><Relationship Type="http://schemas.openxmlformats.org/officeDocument/2006/relationships/hyperlink" Id="rId39" Target="https://alex-koiter.github.io/terrain-attributes/notebooks/semivariogram.qmd.html#cell-tbl-geocol-semivariogram" TargetMode="External" /><Relationship Type="http://schemas.openxmlformats.org/officeDocument/2006/relationships/hyperlink" Id="rId51" Target="https://alex-koiter.github.io/terrain-attributes/notebooks/univariate_analysis.qmd.html#cell-tbl-correlation" TargetMode="External" /><Relationship Type="http://schemas.openxmlformats.org/officeDocument/2006/relationships/hyperlink" Id="rId34" Target="https://alex-koiter.github.io/terrain-attributes/notebooks/univariate_analysis.qmd.html#cell-tbl-univariate-summary" TargetMode="External" /><Relationship Type="http://schemas.openxmlformats.org/officeDocument/2006/relationships/hyperlink" Id="rId36" Target="https://alex-koiter.github.io/terrain-attributes/notebooks/univariate_analysis.qmd.html#cell-tbl-univariate-summary2" TargetMode="External" /><Relationship Type="http://schemas.openxmlformats.org/officeDocument/2006/relationships/hyperlink" Id="rId70" Target="https://github.com/alex-koiter/sampling-design-manuscri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2026-05-04T20:26:56Z</dcterms:created>
  <dcterms:modified xsi:type="dcterms:W3CDTF">2026-05-04T20:26:56Z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