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1.png" ContentType="image/png"/>
  <Override PartName="/word/media/rId205.png" ContentType="image/png"/>
  <Override PartName="/word/media/rId42.png" ContentType="image/png"/>
  <Override PartName="/word/media/rId47.png" ContentType="image/png"/>
  <Override PartName="/word/media/rId11.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2) assess how seven terrain attributes (elevation, SAGA wetness index, relative slope position, catchment area, vertical distance to channel network, plan curvature, profile curvature) relate to these properties through correlation and Random Forest (RF) regression; and 3) identify patterns the data, using unsupervised Random Forest regression and hierarchical clustering to guide stratified sampling.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where elevation, wetness, and slope position were the top predictors for most properties. These results support DEM-based sampling in less complex agricultural terrain but not in forested sites with complex terrain. In practice, sample spacing on the order of the semivariogram range (∼200–230 m) can suffice for mapping in simple agricultural settings, whereas stratified designs (e.g., near-stream vs. hillslope) may be preferable in more complex forested terrains.</w:t>
      </w:r>
    </w:p>
    <w:bookmarkStart w:id="9"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2) assess how seven terrain attributes (elevation, SAGA wetness index, relative slope position, catchment area, vertical distance to channel network, plan curvature, profile curvature) relate to these properties through correlation and Random Forest (RF) regression; and 3) identify patterns the data, using unsupervised Random Forest regression and hierarchical clustering to guide stratified sampling.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where elevation, wetness, and slope position were the top predictors for most properties. These results support DEM-based sampling in less complex agricultural terrain but not in forested sites with complex terrain. In practice, sample spacing on the order of the semivariogram range (∼200–230 m) can suffice for mapping in simple agricultural settings, whereas stratified designs (e.g., near-stream vs. hillslope) may be preferable in more complex forested terrains.</w:t>
      </w:r>
    </w:p>
    <w:bookmarkEnd w:id="9"/>
    <w:bookmarkStart w:id="10"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Developing a sampling design that adequately characterizes the patterns and drivers of this variation is an important component of many agricultural and environmental studies</w:t>
      </w:r>
      <w:r>
        <w:t xml:space="preserve"> </w:t>
      </w:r>
      <w:r>
        <w:t xml:space="preserve">(</w:t>
      </w:r>
      <w:hyperlink w:anchor="ref-lark2018">
        <w:r>
          <w:rPr>
            <w:rStyle w:val="InternetLink"/>
          </w:rPr>
          <w:t xml:space="preserve">Lark and Marchant, 2018</w:t>
        </w:r>
      </w:hyperlink>
      <w:r>
        <w:t xml:space="preserve">;</w:t>
      </w:r>
      <w:r>
        <w:t xml:space="preserve"> </w:t>
      </w:r>
      <w:hyperlink w:anchor="ref-soligo2023">
        <w:r>
          <w:rPr>
            <w:rStyle w:val="InternetLink"/>
          </w:rPr>
          <w:t xml:space="preserve">Soligo et al., 2023</w:t>
        </w:r>
      </w:hyperlink>
      <w:r>
        <w:t xml:space="preserve">)</w:t>
      </w:r>
      <w:r>
        <w:t xml:space="preserve">.</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these patterns,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employ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concerns remain that this method may lead to the inclusion of false positives (i.e., type I errors), whereby a fingerprint is incorrectly identified as having discriminatory power between sources when it does not, resulting in the selection of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 </w:t>
      </w:r>
      <w:hyperlink w:anchor="ref-nosrati2020">
        <w:r>
          <w:rPr>
            <w:rStyle w:val="InternetLink"/>
          </w:rPr>
          <w:t xml:space="preserve">Nosrati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p>
    <w:p>
      <w:pPr>
        <w:pStyle w:val="TextBody"/>
      </w:pP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r>
        <w:t xml:space="preserve"> </w:t>
      </w:r>
      <w:r>
        <w:t xml:space="preserve">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enzyme activity</w:t>
      </w:r>
      <w:r>
        <w:t xml:space="preserve"> </w:t>
      </w:r>
      <w:r>
        <w:t xml:space="preserve">(</w:t>
      </w:r>
      <w:hyperlink w:anchor="ref-tajik2012">
        <w:r>
          <w:rPr>
            <w:rStyle w:val="InternetLink"/>
          </w:rPr>
          <w:t xml:space="preserve">Tajik et al., 2012</w:t>
        </w:r>
      </w:hyperlink>
      <w:r>
        <w:t xml:space="preserve">)</w:t>
      </w:r>
      <w:r>
        <w:t xml:space="preserve">, soil depth</w:t>
      </w:r>
      <w:r>
        <w:t xml:space="preserve"> </w:t>
      </w:r>
      <w:r>
        <w:t xml:space="preserve">(</w:t>
      </w:r>
      <w:hyperlink w:anchor="ref-mehnatkesh2013">
        <w:r>
          <w:rPr>
            <w:rStyle w:val="InternetLink"/>
          </w:rPr>
          <w:t xml:space="preserve">Mehnatkesh et al., 2013</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w:t>
      </w:r>
      <w:hyperlink w:anchor="ref-degruijter2006">
        <w:r>
          <w:rPr>
            <w:rStyle w:val="InternetLink"/>
          </w:rPr>
          <w:t xml:space="preserve">Gruijter et al., 2006</w:t>
        </w:r>
      </w:hyperlink>
      <w:r>
        <w:t xml:space="preserve">;</w:t>
      </w:r>
      <w:r>
        <w:t xml:space="preserve"> </w:t>
      </w:r>
      <w:hyperlink w:anchor="ref-minasny2006">
        <w:r>
          <w:rPr>
            <w:rStyle w:val="InternetLink"/>
          </w:rPr>
          <w:t xml:space="preserve">Minasny and McBratney, 2006</w:t>
        </w:r>
      </w:hyperlink>
      <w:r>
        <w:t xml:space="preserve">)</w:t>
      </w:r>
      <w:r>
        <w:t xml:space="preserve">.</w:t>
      </w:r>
      <w:r>
        <w:t xml:space="preserve"> </w:t>
      </w:r>
      <w:r>
        <w:t xml:space="preserve">These DEM-based sampling designs include conditioned Latin hypercube</w:t>
      </w:r>
      <w:r>
        <w:t xml:space="preserve"> </w:t>
      </w:r>
      <w:r>
        <w:t xml:space="preserve">(</w:t>
      </w:r>
      <w:hyperlink w:anchor="ref-minasny2006">
        <w:r>
          <w:rPr>
            <w:rStyle w:val="InternetLink"/>
          </w:rPr>
          <w:t xml:space="preserve">Minasny and McBratney, 2006</w:t>
        </w:r>
      </w:hyperlink>
      <w:r>
        <w:t xml:space="preserve">)</w:t>
      </w:r>
      <w:r>
        <w:t xml:space="preserve">, feature space coverage</w:t>
      </w:r>
      <w:r>
        <w:t xml:space="preserve"> </w:t>
      </w:r>
      <w:r>
        <w:t xml:space="preserve">(</w:t>
      </w:r>
      <w:hyperlink w:anchor="ref-ma2020">
        <w:r>
          <w:rPr>
            <w:rStyle w:val="InternetLink"/>
          </w:rPr>
          <w:t xml:space="preserve">Ma et al., 2020</w:t>
        </w:r>
      </w:hyperlink>
      <w:r>
        <w:t xml:space="preserve">)</w:t>
      </w:r>
      <w:r>
        <w:t xml:space="preserve">, and covariate-wise</w:t>
      </w:r>
      <w:r>
        <w:t xml:space="preserve"> </w:t>
      </w:r>
      <w:r>
        <w:t xml:space="preserve">(</w:t>
      </w:r>
      <w:hyperlink w:anchor="ref-zízala2024">
        <w:r>
          <w:rPr>
            <w:rStyle w:val="InternetLink"/>
          </w:rPr>
          <w:t xml:space="preserve">Žížala et al., 2024</w:t>
        </w:r>
      </w:hyperlink>
      <w:r>
        <w:t xml:space="preserve">)</w:t>
      </w:r>
      <w:r>
        <w:t xml:space="preserve"> </w:t>
      </w:r>
      <w:r>
        <w:t xml:space="preserve">sampling methods.</w:t>
      </w:r>
    </w:p>
    <w:p>
      <w:pPr>
        <w:pStyle w:val="TextBody"/>
      </w:pP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Although the designs produced numerically different results, they led to the same overall conclusions.</w:t>
      </w:r>
      <w:r>
        <w:t xml:space="preserve"> </w:t>
      </w:r>
      <w:r>
        <w:t xml:space="preserve">This study expands upon that previous work by using data obtained from a grid sampling approach to assess spatial autocorrelation and identify important terrain attributes driving the observed patterns.</w:t>
      </w:r>
      <w:r>
        <w:t xml:space="preserve"> </w:t>
      </w:r>
      <w:r>
        <w:t xml:space="preserve">The overall goal of this research is to apply DEM-derived terrain attributes and a non-parametric importance ranking to guide the sampling process.</w:t>
      </w:r>
      <w:r>
        <w:t xml:space="preserve"> </w:t>
      </w:r>
      <w:r>
        <w:t xml:space="preserve">The objectives of this study were to: (1) quantify the spatial variability and spatial dependence of 15 fingerprint-relevant soil properties across an agricultural and forested field site; (2) test the relation between these soil properties and seven terrain attributes, using correlation and Random Forest regression to identify terrain controls and their relative importance; and (3) identify patterns or groups in the data, using unsupervised Random Forest regression and hierarchical clustering to guide stratified sampling.</w:t>
      </w:r>
      <w:r>
        <w:t xml:space="preserve"> </w:t>
      </w:r>
      <w:r>
        <w:t xml:space="preserve">Together, these objectives address how terrain attributes may be used to understand spatial distributions of soil properties and help guide sampling design.</w:t>
      </w:r>
    </w:p>
    <w:bookmarkEnd w:id="10"/>
    <w:bookmarkStart w:id="20" w:name="methods"/>
    <w:p>
      <w:pPr>
        <w:pStyle w:val="Heading2"/>
      </w:pPr>
      <w:r>
        <w:t xml:space="preserve">2 Methods</w:t>
      </w:r>
    </w:p>
    <w:bookmarkStart w:id="16"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w:t>
      </w:r>
      <w:r>
        <w:t xml:space="preserve"> </w:t>
      </w:r>
      <w:r>
        <w:t xml:space="preserve">(</w:t>
      </w:r>
      <w:hyperlink w:anchor="X314a104b7afaf0862b1b73f26445508a1e6fc28">
        <w:r>
          <w:rPr>
            <w:rStyle w:val="InternetLink"/>
          </w:rPr>
          <w:t xml:space="preserve">Environment and Climate Change Canada, 2026</w:t>
        </w:r>
      </w:hyperlink>
      <w:r>
        <w:t xml:space="preserve">)</w:t>
      </w:r>
      <w:r>
        <w:t xml:space="preserve">,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4" w:name="fig-location_map"/>
          <w:p>
            <w:pPr>
              <w:pStyle w:val="Compact"/>
              <w:jc w:val="center"/>
            </w:pPr>
            <w:r>
              <w:drawing>
                <wp:inline>
                  <wp:extent cx="5943600" cy="4245428"/>
                  <wp:effectExtent b="0" l="0" r="0" t="0"/>
                  <wp:docPr descr="" title="" id="12" name="Picture"/>
                  <a:graphic>
                    <a:graphicData uri="http://schemas.openxmlformats.org/drawingml/2006/picture">
                      <pic:pic>
                        <pic:nvPicPr>
                          <pic:cNvPr descr="index_files/figure-docx/notebooks-location_map-fig-location_map-output-2.png" id="13" name="Picture"/>
                          <pic:cNvPicPr>
                            <a:picLocks noChangeArrowheads="1" noChangeAspect="1"/>
                          </pic:cNvPicPr>
                        </pic:nvPicPr>
                        <pic:blipFill>
                          <a:blip r:embed="rId1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14"/>
        </w:tc>
      </w:tr>
    </w:tbl>
    <w:p>
      <w:pPr>
        <w:pStyle w:val="TextBody"/>
      </w:pPr>
      <w:r>
        <w:rPr>
          <w:vertAlign w:val="subscript"/>
        </w:rPr>
        <w:t xml:space="preserve">Source:</w:t>
      </w:r>
      <w:r>
        <w:rPr>
          <w:vertAlign w:val="subscript"/>
        </w:rPr>
        <w:t xml:space="preserve"> </w:t>
      </w:r>
      <w:hyperlink r:id="rId15">
        <w:r>
          <w:rPr>
            <w:rStyle w:val="InternetLink"/>
            <w:vertAlign w:val="subscript"/>
          </w:rPr>
          <w:t xml:space="preserve">Research Site Locations</w:t>
        </w:r>
      </w:hyperlink>
    </w:p>
    <w:bookmarkEnd w:id="16"/>
    <w:bookmarkStart w:id="17"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17"/>
    <w:bookmarkStart w:id="18"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verify the suitability of the automated fits.</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to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into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The rasters were resampled to 10 m resolution</w:t>
      </w:r>
      <w:r>
        <w:t xml:space="preserve"> </w:t>
      </w:r>
      <w:r>
        <w:t xml:space="preserve">(</w:t>
      </w:r>
      <w:r>
        <w:rPr>
          <w:rStyle w:val="VerbatimChar"/>
        </w:rPr>
        <w:t xml:space="preserve">terra</w:t>
      </w:r>
      <w:r>
        <w:t xml:space="preserve">v1.8.42</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18"/>
    <w:bookmarkStart w:id="19"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w:t>
      </w:r>
      <w:r>
        <w:t xml:space="preserve"> </w:t>
      </w:r>
      <w:r>
        <w:t xml:space="preserve">(</w:t>
      </w:r>
      <w:hyperlink w:anchor="ref-pennock2008">
        <w:r>
          <w:rPr>
            <w:rStyle w:val="InternetLink"/>
          </w:rPr>
          <w:t xml:space="preserve">Pennock et al., 2008</w:t>
        </w:r>
      </w:hyperlink>
      <w:r>
        <w:t xml:space="preserve">)</w:t>
      </w:r>
      <w:r>
        <w:t xml:space="preserve"> </w:t>
      </w:r>
      <w:r>
        <w:t xml:space="preserve">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Additionally, the variable importance stability of the top three predictors was assessed using using the measure_stability() function from the R package optRF (v1.2.1,</w:t>
      </w:r>
      <w:r>
        <w:t xml:space="preserve"> </w:t>
      </w:r>
      <w:r>
        <w:t xml:space="preserve">Lange et al. (</w:t>
      </w:r>
      <w:hyperlink w:anchor="ref-lange2025">
        <w:r>
          <w:rPr>
            <w:rStyle w:val="InternetLink"/>
          </w:rPr>
          <w:t xml:space="preserve">2025</w:t>
        </w:r>
      </w:hyperlink>
      <w:r>
        <w:t xml:space="preserve">)</w:t>
      </w:r>
      <w:r>
        <w:t xml:space="preserve">), where values range from 0 (unstable) to 1 stable).</w:t>
      </w:r>
      <w:r>
        <w:t xml:space="preserve"> </w:t>
      </w:r>
      <w:r>
        <w:t xml:space="preserve">To evaluate the model, measured and predicted values were plotted, and the R² and MSE were computed using the test dataset.</w:t>
      </w:r>
      <w:r>
        <w:t xml:space="preserve"> </w:t>
      </w:r>
      <w:r>
        <w:t xml:space="preserve">Given the small test sample size, bootstrapping with 1,000 replicates (boot v1.3-32</w:t>
      </w:r>
      <w:r>
        <w:t xml:space="preserve"> </w:t>
      </w:r>
      <w:r>
        <w:t xml:space="preserve">Davison and Hinkley (</w:t>
      </w:r>
      <w:hyperlink w:anchor="ref-davison1997">
        <w:r>
          <w:rPr>
            <w:rStyle w:val="InternetLink"/>
          </w:rPr>
          <w:t xml:space="preserve">1997</w:t>
        </w:r>
      </w:hyperlink>
      <w:r>
        <w:t xml:space="preserve">)</w:t>
      </w:r>
      <w:r>
        <w:t xml:space="preserve">;</w:t>
      </w:r>
      <w:r>
        <w:t xml:space="preserve"> </w:t>
      </w:r>
      <w:r>
        <w:t xml:space="preserve">Canty and Ripley (</w:t>
      </w:r>
      <w:hyperlink w:anchor="ref-canty2025">
        <w:r>
          <w:rPr>
            <w:rStyle w:val="InternetLink"/>
          </w:rPr>
          <w:t xml:space="preserve">2025</w:t>
        </w:r>
      </w:hyperlink>
      <w:r>
        <w:t xml:space="preserve">)</w:t>
      </w:r>
      <w:r>
        <w:t xml:space="preserve">) was employed to estimate these metrics along with their 95% confidence intervals to support interpretation.Variable importance is reported as percent increase in MSE.</w:t>
      </w:r>
    </w:p>
    <w:p>
      <w:pPr>
        <w:pStyle w:val="TextBody"/>
      </w:pPr>
      <w:r>
        <w:t xml:space="preserve">Unsupervised RF regression of the seven terrain attributes, followed by hierarchical clustering, was used to group similar areas of landscape for each site based on their terrain characteristics.</w:t>
      </w:r>
      <w:r>
        <w:t xml:space="preserve"> </w:t>
      </w:r>
      <w:r>
        <w:t xml:space="preserve">The clustering method (e.g., Ward’s, minimum linkage) and number of clusters were chosen by assessing data structure through Principal Component Analysis plots and spatial coherence on maps, selecting the solution that produced the most meaningful and coherent regions for sampling.</w:t>
      </w:r>
    </w:p>
    <w:bookmarkEnd w:id="19"/>
    <w:bookmarkEnd w:id="20"/>
    <w:bookmarkStart w:id="53" w:name="results"/>
    <w:p>
      <w:pPr>
        <w:pStyle w:val="Heading2"/>
      </w:pPr>
      <w:r>
        <w:t xml:space="preserve">3 Results</w:t>
      </w:r>
    </w:p>
    <w:bookmarkStart w:id="25"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forested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21" w:name="tbl-univariate-summary"/>
          <w:p>
            <w:pPr>
              <w:jc w:val="center"/>
            </w:pPr>
            <w:pPr>
              <w:jc w:val="left"/>
              <w:spacing w:before="200"/>
              <w:pStyle w:val="ImageCaption"/>
            </w:pPr>
            <w:r>
              <w:t xml:space="preserve">Table 1: Summary univariate statistics of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1"/>
          <w:p/>
        </w:tc>
      </w:tr>
    </w:tbl>
    <w:p>
      <w:pPr>
        <w:pStyle w:val="TextBody"/>
      </w:pPr>
      <w:r>
        <w:rPr>
          <w:vertAlign w:val="subscript"/>
        </w:rPr>
        <w:t xml:space="preserve">Source:</w:t>
      </w:r>
      <w:r>
        <w:rPr>
          <w:vertAlign w:val="subscript"/>
        </w:rPr>
        <w:t xml:space="preserve"> </w:t>
      </w:r>
      <w:hyperlink r:id="rId22">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3" w:name="tbl-univariate-summary2"/>
          <w:p>
            <w:pPr>
              <w:jc w:val="center"/>
            </w:pPr>
            <w:pPr>
              <w:jc w:val="lef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3"/>
          <w:p/>
        </w:tc>
      </w:tr>
    </w:tbl>
    <w:p>
      <w:pPr>
        <w:pStyle w:val="TextBody"/>
      </w:pPr>
      <w:r>
        <w:rPr>
          <w:vertAlign w:val="subscript"/>
        </w:rPr>
        <w:t xml:space="preserve">Source:</w:t>
      </w:r>
      <w:r>
        <w:rPr>
          <w:vertAlign w:val="subscript"/>
        </w:rPr>
        <w:t xml:space="preserve"> </w:t>
      </w:r>
      <w:hyperlink r:id="rId24">
        <w:r>
          <w:rPr>
            <w:rStyle w:val="InternetLink"/>
            <w:vertAlign w:val="subscript"/>
          </w:rPr>
          <w:t xml:space="preserve">Univariate summary</w:t>
        </w:r>
      </w:hyperlink>
    </w:p>
    <w:bookmarkEnd w:id="25"/>
    <w:bookmarkStart w:id="52"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geocol-semivariogram"/>
          <w:p>
            <w:pPr>
              <w:jc w:val="center"/>
            </w:pPr>
            <w:pPr>
              <w:jc w:val="left"/>
              <w:spacing w:before="200"/>
              <w:pStyle w:val="ImageCaption"/>
            </w:pPr>
            <w:r>
              <w:t xml:space="preserve">Table 3: Geostatistical parameters of the fitted semivariogram models of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26"/>
          <w:p/>
        </w:tc>
      </w:tr>
    </w:tbl>
    <w:p>
      <w:pPr>
        <w:pStyle w:val="TextBody"/>
      </w:pPr>
      <w:r>
        <w:rPr>
          <w:vertAlign w:val="subscript"/>
        </w:rPr>
        <w:t xml:space="preserve">Source:</w:t>
      </w:r>
      <w:r>
        <w:rPr>
          <w:vertAlign w:val="subscript"/>
        </w:rPr>
        <w:t xml:space="preserve"> </w:t>
      </w:r>
      <w:hyperlink r:id="rId27">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31" w:name="fig-ag_map"/>
          <w:p>
            <w:pPr>
              <w:pStyle w:val="Compact"/>
              <w:jc w:val="center"/>
            </w:pPr>
            <w:r>
              <w:drawing>
                <wp:inline>
                  <wp:extent cx="5943600" cy="11887200"/>
                  <wp:effectExtent b="0" l="0" r="0" t="0"/>
                  <wp:docPr descr="" title="" id="29" name="Picture"/>
                  <a:graphic>
                    <a:graphicData uri="http://schemas.openxmlformats.org/drawingml/2006/picture">
                      <pic:pic>
                        <pic:nvPicPr>
                          <pic:cNvPr descr="index_files/figure-docx/notebooks-property_maps-fig-ag_map-output-1.png" id="30" name="Picture"/>
                          <pic:cNvPicPr>
                            <a:picLocks noChangeArrowheads="1" noChangeAspect="1"/>
                          </pic:cNvPicPr>
                        </pic:nvPicPr>
                        <pic:blipFill>
                          <a:blip r:embed="rId28"/>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Kriged maps of colour and geochemical properties and elevation across the agricultural site.</w:t>
            </w:r>
          </w:p>
          <w:bookmarkEnd w:id="31"/>
        </w:tc>
      </w:tr>
    </w:tbl>
    <w:p>
      <w:pPr>
        <w:pStyle w:val="TextBody"/>
      </w:pPr>
      <w:r>
        <w:rPr>
          <w:vertAlign w:val="subscript"/>
        </w:rPr>
        <w:t xml:space="preserve">Source:</w:t>
      </w:r>
      <w:r>
        <w:rPr>
          <w:vertAlign w:val="subscript"/>
        </w:rPr>
        <w:t xml:space="preserve"> </w:t>
      </w:r>
      <w:hyperlink r:id="rId32">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36" w:name="fig-forest_map"/>
          <w:p>
            <w:pPr>
              <w:pStyle w:val="Compact"/>
              <w:jc w:val="center"/>
            </w:pPr>
            <w:r>
              <w:drawing>
                <wp:inline>
                  <wp:extent cx="5943600" cy="7723584"/>
                  <wp:effectExtent b="0" l="0" r="0" t="0"/>
                  <wp:docPr descr="" title="" id="34" name="Picture"/>
                  <a:graphic>
                    <a:graphicData uri="http://schemas.openxmlformats.org/drawingml/2006/picture">
                      <pic:pic>
                        <pic:nvPicPr>
                          <pic:cNvPr descr="index_files/figure-docx/notebooks-property_maps-fig-forest_map-output-1.png" id="35" name="Picture"/>
                          <pic:cNvPicPr>
                            <a:picLocks noChangeArrowheads="1" noChangeAspect="1"/>
                          </pic:cNvPicPr>
                        </pic:nvPicPr>
                        <pic:blipFill>
                          <a:blip r:embed="rId33"/>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Kriged map of colour and geochemical properties and elevation across the forested site.</w:t>
            </w:r>
          </w:p>
          <w:bookmarkEnd w:id="36"/>
        </w:tc>
      </w:tr>
    </w:tbl>
    <w:p>
      <w:pPr>
        <w:pStyle w:val="TextBody"/>
      </w:pPr>
      <w:r>
        <w:rPr>
          <w:vertAlign w:val="subscript"/>
        </w:rPr>
        <w:t xml:space="preserve">Source:</w:t>
      </w:r>
      <w:r>
        <w:rPr>
          <w:vertAlign w:val="subscript"/>
        </w:rPr>
        <w:t xml:space="preserve"> </w:t>
      </w:r>
      <w:hyperlink r:id="rId37">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to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correlation"/>
          <w:p>
            <w:pPr>
              <w:jc w:val="center"/>
            </w:pPr>
            <w:pPr>
              <w:jc w:val="left"/>
              <w:spacing w:before="200"/>
              <w:pStyle w:val="ImageCaption"/>
            </w:pPr>
            <w:r>
              <w:t xml:space="preserve">Table 4: Pearson’s correlation coefficients for soil colour and geochemical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38"/>
          <w:p/>
        </w:tc>
      </w:tr>
    </w:tbl>
    <w:p>
      <w:pPr>
        <w:pStyle w:val="TextBody"/>
      </w:pPr>
      <w:r>
        <w:rPr>
          <w:vertAlign w:val="subscript"/>
        </w:rPr>
        <w:t xml:space="preserve">Source:</w:t>
      </w:r>
      <w:r>
        <w:rPr>
          <w:vertAlign w:val="subscript"/>
        </w:rPr>
        <w:t xml:space="preserve"> </w:t>
      </w:r>
      <w:hyperlink r:id="rId39">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percentage of variation explained, suggesting that the mean value provided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variable importance stability for the top three predictors was high (</w:t>
      </w:r>
      <w:hyperlink w:anchor="tbl-rf-summary">
        <w:r>
          <w:rPr>
            <w:rStyle w:val="InternetLink"/>
          </w:rPr>
          <w:t xml:space="preserve">Table 5</w:t>
        </w:r>
      </w:hyperlink>
      <w:r>
        <w:t xml:space="preserve">), indicating a consistent ranking across model runs.</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 </w:t>
      </w:r>
      <w:r>
        <w:t xml:space="preserve">and</w:t>
      </w:r>
      <w:r>
        <w:t xml:space="preserve"> </w:t>
      </w:r>
      <w:hyperlink w:anchor="suppfig-forest_RF_summar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rf-summary"/>
          <w:p>
            <w:pPr>
              <w:jc w:val="center"/>
            </w:pPr>
            <w:pPr>
              <w:jc w:val="lef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left"/>
                    <w:jc w:val="center"/>
                  </w:pPr>
                  <w:r>
                    <w:t xml:space="preserve">Property</w:t>
                  </w:r>
                </w:p>
              </w:tc>
              <w:tc>
                <w:tcPr>
                  <w:gridSpan w:val="3"/>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w:t>
                  </w:r>
                </w:p>
              </w:tc>
              <w:tc>
                <w:tcPr/>
                <w:p>
                  <w:pPr>
                    <w:pStyle w:val="Compact"/>
                    <w:jc w:val="left"/>
                    <w:jc w:val="center"/>
                  </w:pPr>
                  <w:r>
                    <w:t xml:space="preserve">MSE</w:t>
                  </w:r>
                  <w:r>
                    <w:rPr>
                      <w:vertAlign w:val="superscript"/>
                    </w:rPr>
                    <w:t xml:space="preserve">†</w:t>
                  </w:r>
                </w:p>
              </w:tc>
              <w:tc>
                <w:tcPr/>
                <w:p>
                  <w:pPr>
                    <w:pStyle w:val="Compact"/>
                    <w:jc w:val="left"/>
                    <w:jc w:val="center"/>
                  </w:pPr>
                  <w:r>
                    <w:t xml:space="preserve">VI Satability</w:t>
                  </w:r>
                  <w:r>
                    <w:rPr>
                      <w:vertAlign w:val="superscript"/>
                    </w:rPr>
                    <w:t xml:space="preserve">‡</w:t>
                  </w:r>
                </w:p>
              </w:tc>
              <w:tc>
                <w:tcPr/>
                <w:p>
                  <w:pPr>
                    <w:pStyle w:val="Compact"/>
                    <w:jc w:val="left"/>
                    <w:jc w:val="center"/>
                  </w:pPr>
                  <w:r>
                    <w:t xml:space="preserve">r</w:t>
                  </w:r>
                  <w:r>
                    <w:rPr>
                      <w:vertAlign w:val="superscript"/>
                    </w:rPr>
                    <w:t xml:space="preserve">2</w:t>
                  </w:r>
                  <w:r>
                    <w:rPr>
                      <w:vertAlign w:val="superscript"/>
                    </w:rPr>
                    <w:t xml:space="preserve">§</w:t>
                  </w:r>
                </w:p>
              </w:tc>
              <w:tc>
                <w:tcPr/>
                <w:p>
                  <w:pPr>
                    <w:pStyle w:val="Compact"/>
                    <w:jc w:val="left"/>
                    <w:jc w:val="center"/>
                  </w:pPr>
                  <w:r>
                    <w:t xml:space="preserve">MSE</w:t>
                  </w:r>
                  <w:r>
                    <w:rPr>
                      <w:vertAlign w:val="superscript"/>
                    </w:rPr>
                    <w:t xml:space="preserve">**</w:t>
                  </w:r>
                </w:p>
              </w:tc>
            </w:tr>
            <w:tr>
              <w:tc>
                <w:tcPr>
                  <w:gridSpan w:val="6"/>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0.98</w:t>
                  </w:r>
                </w:p>
              </w:tc>
              <w:tc>
                <w:tcPr/>
                <w:p>
                  <w:pPr>
                    <w:pStyle w:val="Compact"/>
                    <w:jc w:val="left"/>
                    <w:jc w:val="center"/>
                  </w:pPr>
                  <w:r>
                    <w:t xml:space="preserve">0.11 (0, 0.52)</w:t>
                  </w:r>
                </w:p>
              </w:tc>
              <w:tc>
                <w:tcPr/>
                <w:p>
                  <w:pPr>
                    <w:pStyle w:val="Compact"/>
                    <w:jc w:val="left"/>
                    <w:jc w:val="center"/>
                  </w:pPr>
                  <w:r>
                    <w:t xml:space="preserve">0.52 (0.18, 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0.29 (0.03, 0.64)</w:t>
                  </w:r>
                </w:p>
              </w:tc>
              <w:tc>
                <w:tcPr/>
                <w:p>
                  <w:pPr>
                    <w:pStyle w:val="Compact"/>
                    <w:jc w:val="left"/>
                    <w:jc w:val="center"/>
                  </w:pPr>
                  <w:r>
                    <w:t xml:space="preserve">0.01 (0.01, 0.02)</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0.01 (0, 0.43)</w:t>
                  </w:r>
                </w:p>
              </w:tc>
              <w:tc>
                <w:tcPr/>
                <w:p>
                  <w:pPr>
                    <w:pStyle w:val="Compact"/>
                    <w:jc w:val="left"/>
                    <w:jc w:val="center"/>
                  </w:pPr>
                  <w:r>
                    <w:t xml:space="preserve">0.01 (0.01, 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0.85</w:t>
                  </w:r>
                </w:p>
              </w:tc>
              <w:tc>
                <w:tcPr/>
                <w:p>
                  <w:pPr>
                    <w:pStyle w:val="Compact"/>
                    <w:jc w:val="left"/>
                    <w:jc w:val="center"/>
                  </w:pPr>
                  <w:r>
                    <w:t xml:space="preserve">0.43 (0.24, 0.71)</w:t>
                  </w:r>
                </w:p>
              </w:tc>
              <w:tc>
                <w:tcPr/>
                <w:p>
                  <w:pPr>
                    <w:pStyle w:val="Compact"/>
                    <w:jc w:val="left"/>
                    <w:jc w:val="center"/>
                  </w:pPr>
                  <w:r>
                    <w:t xml:space="preserve">0.84 (0.35, 1.54)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0.99</w:t>
                  </w:r>
                </w:p>
              </w:tc>
              <w:tc>
                <w:tcPr/>
                <w:p>
                  <w:pPr>
                    <w:pStyle w:val="Compact"/>
                    <w:jc w:val="left"/>
                    <w:jc w:val="center"/>
                  </w:pPr>
                  <w:r>
                    <w:t xml:space="preserve">0.81 (0.57, 0.92)</w:t>
                  </w:r>
                </w:p>
              </w:tc>
              <w:tc>
                <w:tcPr/>
                <w:p>
                  <w:pPr>
                    <w:pStyle w:val="Compact"/>
                    <w:jc w:val="left"/>
                    <w:jc w:val="center"/>
                  </w:pPr>
                  <w:r>
                    <w:t xml:space="preserve">0.38 (0.22, 0.56)</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0.95</w:t>
                  </w:r>
                </w:p>
              </w:tc>
              <w:tc>
                <w:tcPr/>
                <w:p>
                  <w:pPr>
                    <w:pStyle w:val="Compact"/>
                    <w:jc w:val="left"/>
                    <w:jc w:val="center"/>
                  </w:pPr>
                  <w:r>
                    <w:t xml:space="preserve">0 (0, 0.31)</w:t>
                  </w:r>
                </w:p>
              </w:tc>
              <w:tc>
                <w:tcPr/>
                <w:p>
                  <w:pPr>
                    <w:pStyle w:val="Compact"/>
                    <w:jc w:val="left"/>
                    <w:jc w:val="center"/>
                  </w:pPr>
                  <w:r>
                    <w:t xml:space="preserve">0 (0, 0.01)</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0.99</w:t>
                  </w:r>
                </w:p>
              </w:tc>
              <w:tc>
                <w:tcPr/>
                <w:p>
                  <w:pPr>
                    <w:pStyle w:val="Compact"/>
                    <w:jc w:val="left"/>
                    <w:jc w:val="center"/>
                  </w:pPr>
                  <w:r>
                    <w:t xml:space="preserve">0.7 (0.48, 0.88)</w:t>
                  </w:r>
                </w:p>
              </w:tc>
              <w:tc>
                <w:tcPr/>
                <w:p>
                  <w:pPr>
                    <w:pStyle w:val="Compact"/>
                    <w:jc w:val="left"/>
                    <w:jc w:val="center"/>
                  </w:pPr>
                  <w:r>
                    <w:t xml:space="preserve">1.49 (0.62, 2.65)</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1.00</w:t>
                  </w:r>
                </w:p>
              </w:tc>
              <w:tc>
                <w:tcPr/>
                <w:p>
                  <w:pPr>
                    <w:pStyle w:val="Compact"/>
                    <w:jc w:val="left"/>
                    <w:jc w:val="center"/>
                  </w:pPr>
                  <w:r>
                    <w:t xml:space="preserve">0.85 (0.73, 0.95)</w:t>
                  </w:r>
                </w:p>
              </w:tc>
              <w:tc>
                <w:tcPr/>
                <w:p>
                  <w:pPr>
                    <w:pStyle w:val="Compact"/>
                    <w:jc w:val="left"/>
                    <w:jc w:val="center"/>
                  </w:pPr>
                  <w:r>
                    <w:t xml:space="preserve">2.73 (1.19, 4.56)</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1.00</w:t>
                  </w:r>
                </w:p>
              </w:tc>
              <w:tc>
                <w:tcPr/>
                <w:p>
                  <w:pPr>
                    <w:pStyle w:val="Compact"/>
                    <w:jc w:val="left"/>
                    <w:jc w:val="center"/>
                  </w:pPr>
                  <w:r>
                    <w:t xml:space="preserve">0.85 (0.75, 0.94)</w:t>
                  </w:r>
                </w:p>
              </w:tc>
              <w:tc>
                <w:tcPr/>
                <w:p>
                  <w:pPr>
                    <w:pStyle w:val="Compact"/>
                    <w:jc w:val="left"/>
                    <w:jc w:val="center"/>
                  </w:pPr>
                  <w:r>
                    <w:t xml:space="preserve">370.87 (131.19, 657.81)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0.97</w:t>
                  </w:r>
                </w:p>
              </w:tc>
              <w:tc>
                <w:tcPr/>
                <w:p>
                  <w:pPr>
                    <w:pStyle w:val="Compact"/>
                    <w:jc w:val="left"/>
                    <w:jc w:val="center"/>
                  </w:pPr>
                  <w:r>
                    <w:t xml:space="preserve">0.48 (0.22, 0.79)</w:t>
                  </w:r>
                </w:p>
              </w:tc>
              <w:tc>
                <w:tcPr/>
                <w:p>
                  <w:pPr>
                    <w:pStyle w:val="Compact"/>
                    <w:jc w:val="left"/>
                    <w:jc w:val="center"/>
                  </w:pPr>
                  <w:r>
                    <w:t xml:space="preserve">0.02 (0.01, 0.04)</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0.90</w:t>
                  </w:r>
                </w:p>
              </w:tc>
              <w:tc>
                <w:tcPr/>
                <w:p>
                  <w:pPr>
                    <w:pStyle w:val="Compact"/>
                    <w:jc w:val="left"/>
                    <w:jc w:val="center"/>
                  </w:pPr>
                  <w:r>
                    <w:t xml:space="preserve">0.09 (0, 0.5)</w:t>
                  </w:r>
                </w:p>
              </w:tc>
              <w:tc>
                <w:tcPr/>
                <w:p>
                  <w:pPr>
                    <w:pStyle w:val="Compact"/>
                    <w:jc w:val="left"/>
                    <w:jc w:val="center"/>
                  </w:pPr>
                  <w:r>
                    <w:t xml:space="preserve">0.41 (0.12, 0.84)</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0.93</w:t>
                  </w:r>
                </w:p>
              </w:tc>
              <w:tc>
                <w:tcPr/>
                <w:p>
                  <w:pPr>
                    <w:pStyle w:val="Compact"/>
                    <w:jc w:val="left"/>
                    <w:jc w:val="center"/>
                  </w:pPr>
                  <w:r>
                    <w:t xml:space="preserve">0.1 (0, 0.51)</w:t>
                  </w:r>
                </w:p>
              </w:tc>
              <w:tc>
                <w:tcPr/>
                <w:p>
                  <w:pPr>
                    <w:pStyle w:val="Compact"/>
                    <w:jc w:val="left"/>
                    <w:jc w:val="center"/>
                  </w:pPr>
                  <w:r>
                    <w:t xml:space="preserve">0.5 (0.14, 1.03)</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0.94</w:t>
                  </w:r>
                </w:p>
              </w:tc>
              <w:tc>
                <w:tcPr/>
                <w:p>
                  <w:pPr>
                    <w:pStyle w:val="Compact"/>
                    <w:jc w:val="left"/>
                    <w:jc w:val="center"/>
                  </w:pPr>
                  <w:r>
                    <w:t xml:space="preserve">0.03 (0, 0.42)</w:t>
                  </w:r>
                </w:p>
              </w:tc>
              <w:tc>
                <w:tcPr/>
                <w:p>
                  <w:pPr>
                    <w:pStyle w:val="Compact"/>
                    <w:jc w:val="left"/>
                    <w:jc w:val="center"/>
                  </w:pPr>
                  <w:r>
                    <w:t xml:space="preserve">0 (0, 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0.96</w:t>
                  </w:r>
                </w:p>
              </w:tc>
              <w:tc>
                <w:tcPr/>
                <w:p>
                  <w:pPr>
                    <w:pStyle w:val="Compact"/>
                    <w:jc w:val="left"/>
                    <w:jc w:val="center"/>
                  </w:pPr>
                  <w:r>
                    <w:t xml:space="preserve">0.31 (0.02, 0.67)</w:t>
                  </w:r>
                </w:p>
              </w:tc>
              <w:tc>
                <w:tcPr/>
                <w:p>
                  <w:pPr>
                    <w:pStyle w:val="Compact"/>
                    <w:jc w:val="left"/>
                    <w:jc w:val="center"/>
                  </w:pPr>
                  <w:r>
                    <w:t xml:space="preserve">0 (0, 0)</w:t>
                  </w:r>
                </w:p>
              </w:tc>
            </w:tr>
            <w:tr>
              <w:tc>
                <w:tcPr>
                  <w:gridSpan w:val="6"/>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0.98</w:t>
                  </w:r>
                </w:p>
              </w:tc>
              <w:tc>
                <w:tcPr/>
                <w:p>
                  <w:pPr>
                    <w:pStyle w:val="Compact"/>
                    <w:jc w:val="left"/>
                    <w:jc w:val="center"/>
                  </w:pPr>
                  <w:r>
                    <w:t xml:space="preserve">0.25 (0.01, 0.65)</w:t>
                  </w:r>
                </w:p>
              </w:tc>
              <w:tc>
                <w:tcPr/>
                <w:p>
                  <w:pPr>
                    <w:pStyle w:val="Compact"/>
                    <w:jc w:val="left"/>
                    <w:jc w:val="center"/>
                  </w:pPr>
                  <w:r>
                    <w:t xml:space="preserve">0.58 (0.37, 0.82)</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0.93</w:t>
                  </w:r>
                </w:p>
              </w:tc>
              <w:tc>
                <w:tcPr/>
                <w:p>
                  <w:pPr>
                    <w:pStyle w:val="Compact"/>
                    <w:jc w:val="left"/>
                    <w:jc w:val="center"/>
                  </w:pPr>
                  <w:r>
                    <w:t xml:space="preserve">0.01 (0, 0.26)</w:t>
                  </w:r>
                </w:p>
              </w:tc>
              <w:tc>
                <w:tcPr/>
                <w:p>
                  <w:pPr>
                    <w:pStyle w:val="Compact"/>
                    <w:jc w:val="left"/>
                    <w:jc w:val="center"/>
                  </w:pPr>
                  <w:r>
                    <w:t xml:space="preserve">1.03 (0.62, 1.53)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0.90</w:t>
                  </w:r>
                </w:p>
              </w:tc>
              <w:tc>
                <w:tcPr/>
                <w:p>
                  <w:pPr>
                    <w:pStyle w:val="Compact"/>
                    <w:jc w:val="left"/>
                    <w:jc w:val="center"/>
                  </w:pPr>
                  <w:r>
                    <w:t xml:space="preserve">0.02 (0, 0.51)</w:t>
                  </w:r>
                </w:p>
              </w:tc>
              <w:tc>
                <w:tcPr/>
                <w:p>
                  <w:pPr>
                    <w:pStyle w:val="Compact"/>
                    <w:jc w:val="left"/>
                    <w:jc w:val="center"/>
                  </w:pPr>
                  <w:r>
                    <w:t xml:space="preserve">0.01 (0, 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0.61</w:t>
                  </w:r>
                </w:p>
              </w:tc>
              <w:tc>
                <w:tcPr/>
                <w:p>
                  <w:pPr>
                    <w:pStyle w:val="Compact"/>
                    <w:jc w:val="left"/>
                    <w:jc w:val="center"/>
                  </w:pPr>
                  <w:r>
                    <w:t xml:space="preserve">0.05 (0, 0.39)</w:t>
                  </w:r>
                </w:p>
              </w:tc>
              <w:tc>
                <w:tcPr/>
                <w:p>
                  <w:pPr>
                    <w:pStyle w:val="Compact"/>
                    <w:jc w:val="left"/>
                    <w:jc w:val="center"/>
                  </w:pPr>
                  <w:r>
                    <w:t xml:space="preserve">1.33 (0.66, 2.28)</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0.88</w:t>
                  </w:r>
                </w:p>
              </w:tc>
              <w:tc>
                <w:tcPr/>
                <w:p>
                  <w:pPr>
                    <w:pStyle w:val="Compact"/>
                    <w:jc w:val="left"/>
                    <w:jc w:val="center"/>
                  </w:pPr>
                  <w:r>
                    <w:t xml:space="preserve">0.02 (0, 0.34)</w:t>
                  </w:r>
                </w:p>
              </w:tc>
              <w:tc>
                <w:tcPr/>
                <w:p>
                  <w:pPr>
                    <w:pStyle w:val="Compact"/>
                    <w:jc w:val="left"/>
                    <w:jc w:val="center"/>
                  </w:pPr>
                  <w:r>
                    <w:t xml:space="preserve">3.76 (1.78, 5.86)</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0.89</w:t>
                  </w:r>
                </w:p>
              </w:tc>
              <w:tc>
                <w:tcPr/>
                <w:p>
                  <w:pPr>
                    <w:pStyle w:val="Compact"/>
                    <w:jc w:val="left"/>
                    <w:jc w:val="center"/>
                  </w:pPr>
                  <w:r>
                    <w:t xml:space="preserve">0.16 (0, 0.49)</w:t>
                  </w:r>
                </w:p>
              </w:tc>
              <w:tc>
                <w:tcPr/>
                <w:p>
                  <w:pPr>
                    <w:pStyle w:val="Compact"/>
                    <w:jc w:val="left"/>
                    <w:jc w:val="center"/>
                  </w:pPr>
                  <w:r>
                    <w:t xml:space="preserve">0 (0, 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0.76</w:t>
                  </w:r>
                </w:p>
              </w:tc>
              <w:tc>
                <w:tcPr/>
                <w:p>
                  <w:pPr>
                    <w:pStyle w:val="Compact"/>
                    <w:jc w:val="left"/>
                    <w:jc w:val="center"/>
                  </w:pPr>
                  <w:r>
                    <w:t xml:space="preserve">0.02 (0, 0.4)</w:t>
                  </w:r>
                </w:p>
              </w:tc>
              <w:tc>
                <w:tcPr/>
                <w:p>
                  <w:pPr>
                    <w:pStyle w:val="Compact"/>
                    <w:jc w:val="left"/>
                    <w:jc w:val="center"/>
                  </w:pPr>
                  <w:r>
                    <w:t xml:space="preserve">6.93 (3.83, 10.83)</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0.98</w:t>
                  </w:r>
                </w:p>
              </w:tc>
              <w:tc>
                <w:tcPr/>
                <w:p>
                  <w:pPr>
                    <w:pStyle w:val="Compact"/>
                    <w:jc w:val="left"/>
                    <w:jc w:val="center"/>
                  </w:pPr>
                  <w:r>
                    <w:t xml:space="preserve">0.17 (0, 0.6)</w:t>
                  </w:r>
                </w:p>
              </w:tc>
              <w:tc>
                <w:tcPr/>
                <w:p>
                  <w:pPr>
                    <w:pStyle w:val="Compact"/>
                    <w:jc w:val="left"/>
                    <w:jc w:val="center"/>
                  </w:pPr>
                  <w:r>
                    <w:t xml:space="preserve">58.2 (31.76, 92.06)</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0.75</w:t>
                  </w:r>
                </w:p>
              </w:tc>
              <w:tc>
                <w:tcPr/>
                <w:p>
                  <w:pPr>
                    <w:pStyle w:val="Compact"/>
                    <w:jc w:val="left"/>
                    <w:jc w:val="center"/>
                  </w:pPr>
                  <w:r>
                    <w:t xml:space="preserve">0.01 (0, 0.47)</w:t>
                  </w:r>
                </w:p>
              </w:tc>
              <w:tc>
                <w:tcPr/>
                <w:p>
                  <w:pPr>
                    <w:pStyle w:val="Compact"/>
                    <w:jc w:val="left"/>
                    <w:jc w:val="center"/>
                  </w:pPr>
                  <w:r>
                    <w:t xml:space="preserve">0 (0, 0)</w:t>
                  </w:r>
                </w:p>
              </w:tc>
            </w:tr>
            <w:tr>
              <w:tc>
                <w:tcPr>
                  <w:gridSpan w:val="6"/>
                </w:tcPr>
                <w:p>
                  <w:pPr>
                    <w:pStyle w:val="Compact"/>
                    <w:jc w:val="center"/>
                    <w:jc w:val="center"/>
                  </w:pPr>
                  <w:r>
                    <w:rPr>
                      <w:vertAlign w:val="superscript"/>
                    </w:rPr>
                    <w:t xml:space="preserve">*</w:t>
                  </w:r>
                  <w:r>
                    <w:t xml:space="preserve"> </w:t>
                  </w:r>
                  <w:r>
                    <w:t xml:space="preserve">Percent variance explained</w:t>
                  </w:r>
                </w:p>
              </w:tc>
            </w:tr>
            <w:tr>
              <w:tc>
                <w:tcPr>
                  <w:gridSpan w:val="6"/>
                </w:tcPr>
                <w:p>
                  <w:pPr>
                    <w:pStyle w:val="Compact"/>
                    <w:jc w:val="center"/>
                    <w:jc w:val="center"/>
                  </w:pPr>
                  <w:r>
                    <w:rPr>
                      <w:vertAlign w:val="superscript"/>
                    </w:rPr>
                    <w:t xml:space="preserve">†</w:t>
                  </w:r>
                  <w:r>
                    <w:t xml:space="preserve"> </w:t>
                  </w:r>
                  <w:r>
                    <w:t xml:space="preserve">Mean square error</w:t>
                  </w:r>
                </w:p>
              </w:tc>
            </w:tr>
            <w:tr>
              <w:tc>
                <w:tcPr>
                  <w:gridSpan w:val="6"/>
                </w:tcPr>
                <w:p>
                  <w:pPr>
                    <w:pStyle w:val="Compact"/>
                    <w:jc w:val="center"/>
                    <w:jc w:val="center"/>
                  </w:pPr>
                  <w:r>
                    <w:rPr>
                      <w:vertAlign w:val="superscript"/>
                    </w:rPr>
                    <w:t xml:space="preserve">‡</w:t>
                  </w:r>
                  <w:r>
                    <w:t xml:space="preserve"> </w:t>
                  </w:r>
                  <w:r>
                    <w:t xml:space="preserve">Varible Importance Stability</w:t>
                  </w:r>
                </w:p>
              </w:tc>
            </w:tr>
            <w:tr>
              <w:tc>
                <w:tcPr>
                  <w:gridSpan w:val="6"/>
                </w:tcPr>
                <w:p>
                  <w:pPr>
                    <w:pStyle w:val="Compact"/>
                    <w:jc w:val="center"/>
                    <w:jc w:val="center"/>
                  </w:pPr>
                  <w:r>
                    <w:rPr>
                      <w:vertAlign w:val="superscript"/>
                    </w:rPr>
                    <w:t xml:space="preserve">§</w:t>
                  </w:r>
                  <w:r>
                    <w:t xml:space="preserve"> </w:t>
                  </w:r>
                  <w:r>
                    <w:t xml:space="preserve">r</w:t>
                  </w:r>
                  <w:r>
                    <w:rPr>
                      <w:vertAlign w:val="superscript"/>
                    </w:rPr>
                    <w:t xml:space="preserve">2</w:t>
                  </w:r>
                  <w:r>
                    <w:t xml:space="preserve"> </w:t>
                  </w:r>
                  <w:r>
                    <w:t xml:space="preserve">and 95% Confidence Intervals</w:t>
                  </w:r>
                </w:p>
              </w:tc>
            </w:tr>
            <w:tr>
              <w:tc>
                <w:tcPr>
                  <w:gridSpan w:val="6"/>
                </w:tcPr>
                <w:p>
                  <w:pPr>
                    <w:pStyle w:val="Compact"/>
                    <w:jc w:val="center"/>
                    <w:jc w:val="center"/>
                  </w:pPr>
                  <w:r>
                    <w:rPr>
                      <w:vertAlign w:val="superscript"/>
                    </w:rPr>
                    <w:t xml:space="preserve">**</w:t>
                  </w:r>
                  <w:r>
                    <w:t xml:space="preserve"> </w:t>
                  </w:r>
                  <w:r>
                    <w:t xml:space="preserve">Mean square error and 95% Confidence Intervals</w:t>
                  </w:r>
                </w:p>
              </w:tc>
            </w:tr>
          </w:tbl>
          <w:bookmarkEnd w:id="40"/>
          <w:p/>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45" w:name="fig-rf-results"/>
          <w:p>
            <w:pPr>
              <w:pStyle w:val="Compact"/>
              <w:jc w:val="center"/>
            </w:pPr>
            <w:r>
              <w:drawing>
                <wp:inline>
                  <wp:extent cx="5943600" cy="4245428"/>
                  <wp:effectExtent b="0" l="0" r="0" t="0"/>
                  <wp:docPr descr="" title="" id="43" name="Picture"/>
                  <a:graphic>
                    <a:graphicData uri="http://schemas.openxmlformats.org/drawingml/2006/picture">
                      <pic:pic>
                        <pic:nvPicPr>
                          <pic:cNvPr descr="index_files/figure-docx/notebooks-RF_summary-fig-rf-results-output-1.png" id="44" name="Picture"/>
                          <pic:cNvPicPr>
                            <a:picLocks noChangeArrowheads="1" noChangeAspect="1"/>
                          </pic:cNvPicPr>
                        </pic:nvPicPr>
                        <pic:blipFill>
                          <a:blip r:embed="rId4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 map of the Random Forest regression results showing the ranking of the importance of terrain attributes (based on % increase in Mean Squared Error) in explaining the spatial variability of colour and geochemical properties within the agricultural and forested sites. Top panel shows an average ranking for each site and across both sites.</w:t>
            </w:r>
          </w:p>
          <w:bookmarkEnd w:id="45"/>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variable importance stability for the top three predictors was moderate (</w:t>
      </w:r>
      <w:hyperlink w:anchor="tbl-rf-summary">
        <w:r>
          <w:rPr>
            <w:rStyle w:val="InternetLink"/>
          </w:rPr>
          <w:t xml:space="preserve">Table 5</w:t>
        </w:r>
      </w:hyperlink>
      <w:r>
        <w:t xml:space="preserve">), indicating a reasonable consistent ranking across model runs.</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p>
    <w:p>
      <w:pPr>
        <w:pStyle w:val="TextBody"/>
      </w:pPr>
      <w:r>
        <w:t xml:space="preserve">Unsupervised random forest regression and hierarchical clustering were used to classify sites.</w:t>
      </w:r>
      <w:r>
        <w:t xml:space="preserve"> </w:t>
      </w:r>
      <w:r>
        <w:t xml:space="preserve">At the agricultural site, two clusters were identified using Ward’s method.</w:t>
      </w:r>
      <w:r>
        <w:t xml:space="preserve"> </w:t>
      </w:r>
      <w:r>
        <w:t xml:space="preserve">At the forested site, three clusters were identified using the unweighted pair group method with arithmetic mean (UPGMA).</w:t>
      </w:r>
      <w:r>
        <w:t xml:space="preserve"> </w:t>
      </w:r>
      <w:r>
        <w:t xml:space="preserve">Although the principal Component Analysis plots showed considerable overlap among clusters at both sites, the resulting maps show some interesting patterns (</w:t>
      </w:r>
      <w:hyperlink w:anchor="fig-cluster">
        <w:r>
          <w:rPr>
            <w:rStyle w:val="InternetLink"/>
          </w:rPr>
          <w:t xml:space="preserve">Figure 5</w:t>
        </w:r>
      </w:hyperlink>
      <w:r>
        <w:t xml:space="preserve">).</w:t>
      </w:r>
      <w:r>
        <w:t xml:space="preserve"> </w:t>
      </w:r>
      <w:r>
        <w:t xml:space="preserve">At the agricultural site, the classification highlights areas where water accumulates in the field and is routed toward the adjacent ditch.</w:t>
      </w:r>
      <w:r>
        <w:t xml:space="preserve"> </w:t>
      </w:r>
      <w:r>
        <w:t xml:space="preserve">At the forest site, the pattern is less clear but the clusters seem to distinguish the channel environment, areas adjacent to the channel/depressional areas, and the surrounding upland zones.</w:t>
      </w:r>
    </w:p>
    <w:tbl>
      <w:tblPr>
        <w:tblStyle w:val="Table"/>
        <w:tblW w:type="pct" w:w="5000"/>
        <w:tblLayout w:type="fixed"/>
        <w:tblLook w:firstRow="0" w:lastRow="0" w:firstColumn="0" w:lastColumn="0" w:noHBand="0" w:noVBand="0" w:val="0000"/>
      </w:tblPr>
      <w:tblGrid>
        <w:gridCol w:w="7920"/>
      </w:tblGrid>
      <w:tr>
        <w:tc>
          <w:tcPr/>
          <w:bookmarkStart w:id="50" w:name="fig-cluster"/>
          <w:p>
            <w:pPr>
              <w:pStyle w:val="Compact"/>
              <w:jc w:val="center"/>
            </w:pPr>
            <w:r>
              <w:drawing>
                <wp:inline>
                  <wp:extent cx="5943600" cy="4245428"/>
                  <wp:effectExtent b="0" l="0" r="0" t="0"/>
                  <wp:docPr descr="" title="" id="48" name="Picture"/>
                  <a:graphic>
                    <a:graphicData uri="http://schemas.openxmlformats.org/drawingml/2006/picture">
                      <pic:pic>
                        <pic:nvPicPr>
                          <pic:cNvPr descr="index_files/figure-docx/notebooks-clustering_analysis-fig-cluster-output-1.png" id="49" name="Picture"/>
                          <pic:cNvPicPr>
                            <a:picLocks noChangeArrowheads="1" noChangeAspect="1"/>
                          </pic:cNvPicPr>
                        </pic:nvPicPr>
                        <pic:blipFill>
                          <a:blip r:embed="rId4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Maps and PCA plots demonstrating the clustering analysis of terrain attributes for the forest site (a, b) and the agricultural site (c, d).</w:t>
            </w:r>
          </w:p>
          <w:bookmarkEnd w:id="50"/>
        </w:tc>
      </w:tr>
    </w:tbl>
    <w:p>
      <w:pPr>
        <w:pStyle w:val="TextBody"/>
      </w:pPr>
      <w:r>
        <w:rPr>
          <w:vertAlign w:val="subscript"/>
        </w:rPr>
        <w:t xml:space="preserve">Source:</w:t>
      </w:r>
      <w:r>
        <w:rPr>
          <w:vertAlign w:val="subscript"/>
        </w:rPr>
        <w:t xml:space="preserve"> </w:t>
      </w:r>
      <w:hyperlink r:id="rId51">
        <w:r>
          <w:rPr>
            <w:rStyle w:val="InternetLink"/>
            <w:vertAlign w:val="subscript"/>
          </w:rPr>
          <w:t xml:space="preserve">Clustering analysis</w:t>
        </w:r>
      </w:hyperlink>
    </w:p>
    <w:bookmarkEnd w:id="52"/>
    <w:bookmarkEnd w:id="53"/>
    <w:bookmarkStart w:id="58" w:name="discussion"/>
    <w:p>
      <w:pPr>
        <w:pStyle w:val="Heading2"/>
      </w:pPr>
      <w:r>
        <w:t xml:space="preserve">4 Discussion</w:t>
      </w:r>
    </w:p>
    <w:bookmarkStart w:id="54"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forested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11.6 %, CV = 51.9 %) as compared to the agricultural site (x̄ = 8.6 %,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54"/>
    <w:bookmarkStart w:id="55"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 (</w:t>
      </w:r>
      <w:hyperlink w:anchor="fig-cluster">
        <w:r>
          <w:rPr>
            <w:rStyle w:val="InternetLink"/>
          </w:rPr>
          <w:t xml:space="preserve">Figure 5</w:t>
        </w:r>
      </w:hyperlink>
      <w:r>
        <w:t xml:space="preserve">).</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 at the agricultural site where the terrain is less complex.</w:t>
      </w:r>
    </w:p>
    <w:bookmarkEnd w:id="55"/>
    <w:bookmarkStart w:id="56"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p>
    <w:p>
      <w:pPr>
        <w:pStyle w:val="TextBody"/>
      </w:pP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processes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p>
    <w:p>
      <w:pPr>
        <w:pStyle w:val="TextBody"/>
      </w:pPr>
      <w:r>
        <w:t xml:space="preserve">Landscape position can also have a strong influence on pedogenic process; for example, the translocation of Fe and clay down the soil profile is a diagnostic criterion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lower slope and depressional areas, resulting in increased organic matter production and consequently darker, organic-rich topsoil compared to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w:t>
      </w:r>
    </w:p>
    <w:p>
      <w:pPr>
        <w:pStyle w:val="TextBody"/>
      </w:pPr>
      <w:r>
        <w:t xml:space="preserve">Compared to the forest site, the RF regression model showed greater explanatory power and predictive performance for the agricultural site, likely due to its simpler topography.However, at the forested site, the RF model showed poor fit, and terrain variables were largely uninformative in predicting fingerprint properties (</w:t>
      </w:r>
      <w:hyperlink w:anchor="fig-cluster">
        <w:r>
          <w:rPr>
            <w:rStyle w:val="InternetLink"/>
          </w:rPr>
          <w:t xml:space="preserve">Figure 5</w:t>
        </w:r>
      </w:hyperlink>
      <w:r>
        <w:t xml:space="preser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r>
        <w:t xml:space="preserve"> </w:t>
      </w:r>
      <w:r>
        <w:t xml:space="preserve">Clustering based on terrain attributes using unsupervised RF regression (Figure 5) showed some promise in serving as an initial step in developing efficient and effective sampling designs (Pham et al., 2025).</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As Evrard et al. (2022) suggests, a balance between the number of samples and budget and logistical constraints needs to be made.</w:t>
      </w:r>
      <w:r>
        <w:t xml:space="preserve"> </w:t>
      </w:r>
      <w:r>
        <w:t xml:space="preserve">This integration will help ensure adequate representation of key geomorphic and topographic features while reducing sampling and analytical costs by minimizing redundant sampling in similar areas.</w:t>
      </w:r>
    </w:p>
    <w:bookmarkEnd w:id="56"/>
    <w:bookmarkStart w:id="57"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fails to capture fine-scale heterogeneity, limiting the ability of the semivariogram models to characterize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r>
        <w:t xml:space="preserve"> </w:t>
      </w:r>
      <w:r>
        <w:t xml:space="preserve">Lastly, coupling machine-learning approaches, such as RF regression, with process-based soil landscape models, geophysical surveys would further clarify fundamental mechanisms underlying observed patterns.</w:t>
      </w:r>
    </w:p>
    <w:bookmarkEnd w:id="57"/>
    <w:bookmarkEnd w:id="58"/>
    <w:bookmarkStart w:id="59"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RF regression demonstrated that many fingerprint-relevant properties exhibit usable spatial dependence at the field scale.</w:t>
      </w:r>
    </w:p>
    <w:p>
      <w:pPr>
        <w:pStyle w:val="TextBody"/>
      </w:pPr>
      <w:r>
        <w:t xml:space="preserve">Elevation, wetness, and slope position explained a substantial portion of the observed variability only at the agricultural site, supporting the use of DEM-guided sampling strategies in simple terrains.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59"/>
    <w:bookmarkStart w:id="60"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60"/>
    <w:bookmarkStart w:id="67" w:name="statements-and-declarations"/>
    <w:p>
      <w:pPr>
        <w:pStyle w:val="Heading2"/>
      </w:pPr>
      <w:r>
        <w:t xml:space="preserve">Statements and declarations</w:t>
      </w:r>
    </w:p>
    <w:bookmarkStart w:id="61"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61"/>
    <w:bookmarkStart w:id="62"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2"/>
    <w:bookmarkStart w:id="65"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3">
        <w:r>
          <w:rPr>
            <w:rStyle w:val="InternetLink"/>
          </w:rPr>
          <w:t xml:space="preserve">https://github.com/alex-koiter/terrain-attributes</w:t>
        </w:r>
      </w:hyperlink>
    </w:p>
    <w:p>
      <w:pPr>
        <w:pStyle w:val="TextBody"/>
      </w:pPr>
      <w:r>
        <w:t xml:space="preserve">Additional information, including analytical notebooks with details of the analysis and intermediate steps, is available online:</w:t>
      </w:r>
      <w:r>
        <w:t xml:space="preserve"> </w:t>
      </w:r>
      <w:hyperlink r:id="rId64">
        <w:r>
          <w:rPr>
            <w:rStyle w:val="InternetLink"/>
          </w:rPr>
          <w:t xml:space="preserve">https://alexkoiter.ca/terrain-attributes/</w:t>
        </w:r>
      </w:hyperlink>
    </w:p>
    <w:bookmarkEnd w:id="65"/>
    <w:bookmarkStart w:id="66"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66"/>
    <w:bookmarkEnd w:id="67"/>
    <w:bookmarkStart w:id="200" w:name="references"/>
    <w:p>
      <w:pPr>
        <w:pStyle w:val="Heading2"/>
      </w:pPr>
      <w:r>
        <w:t xml:space="preserve">References</w:t>
      </w:r>
    </w:p>
    <w:bookmarkStart w:id="199" w:name="refs"/>
    <w:bookmarkStart w:id="69" w:name="ref-agisoft2021"/>
    <w:p>
      <w:pPr>
        <w:pStyle w:val="Bibliography"/>
      </w:pPr>
      <w:r>
        <w:t xml:space="preserve">Agisoft, 2021.</w:t>
      </w:r>
      <w:r>
        <w:t xml:space="preserve"> </w:t>
      </w:r>
      <w:hyperlink r:id="rId68">
        <w:r>
          <w:rPr>
            <w:rStyle w:val="InternetLink"/>
          </w:rPr>
          <w:t xml:space="preserve">Agisoft metashape: installer</w:t>
        </w:r>
      </w:hyperlink>
      <w:r>
        <w:t xml:space="preserve">.</w:t>
      </w:r>
    </w:p>
    <w:bookmarkEnd w:id="69"/>
    <w:bookmarkStart w:id="71"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70">
        <w:r>
          <w:rPr>
            <w:rStyle w:val="InternetLink"/>
          </w:rPr>
          <w:t xml:space="preserve">https://doi.org/10.2136/sssaj2013.02.0048</w:t>
        </w:r>
      </w:hyperlink>
    </w:p>
    <w:bookmarkEnd w:id="71"/>
    <w:bookmarkStart w:id="73"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72">
        <w:r>
          <w:rPr>
            <w:rStyle w:val="InternetLink"/>
          </w:rPr>
          <w:t xml:space="preserve">https://doi.org/10.1038/sdata.2018.214</w:t>
        </w:r>
      </w:hyperlink>
    </w:p>
    <w:bookmarkEnd w:id="73"/>
    <w:bookmarkStart w:id="75"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74">
        <w:r>
          <w:rPr>
            <w:rStyle w:val="InternetLink"/>
          </w:rPr>
          <w:t xml:space="preserve">https://doi.org/10.1080/07011784.2018.1451781</w:t>
        </w:r>
      </w:hyperlink>
    </w:p>
    <w:bookmarkEnd w:id="75"/>
    <w:bookmarkStart w:id="77"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76">
        <w:r>
          <w:rPr>
            <w:rStyle w:val="InternetLink"/>
          </w:rPr>
          <w:t xml:space="preserve">https://doi.org/10.1016/j.geoderma.2003.12.004</w:t>
        </w:r>
      </w:hyperlink>
    </w:p>
    <w:bookmarkEnd w:id="77"/>
    <w:bookmarkStart w:id="79" w:name="ref-naturalresourcescanada2024"/>
    <w:p>
      <w:pPr>
        <w:pStyle w:val="Bibliography"/>
      </w:pPr>
      <w:r>
        <w:t xml:space="preserve">Canada, N.R., 2024.</w:t>
      </w:r>
      <w:r>
        <w:t xml:space="preserve"> </w:t>
      </w:r>
      <w:hyperlink r:id="rId78">
        <w:r>
          <w:rPr>
            <w:rStyle w:val="InternetLink"/>
          </w:rPr>
          <w:t xml:space="preserve">High Resolution Digital Elevation Model Mosaic (HRDEM Mosaic) - CanElevation Series</w:t>
        </w:r>
      </w:hyperlink>
      <w:r>
        <w:t xml:space="preserve">.</w:t>
      </w:r>
    </w:p>
    <w:bookmarkEnd w:id="79"/>
    <w:bookmarkStart w:id="81" w:name="ref-canty2025"/>
    <w:p>
      <w:pPr>
        <w:pStyle w:val="Bibliography"/>
      </w:pPr>
      <w:r>
        <w:t xml:space="preserve">Canty, A., Ripley, B., 2025. Boot: Bootstrap functions.</w:t>
      </w:r>
      <w:r>
        <w:t xml:space="preserve"> </w:t>
      </w:r>
      <w:hyperlink r:id="rId80">
        <w:r>
          <w:rPr>
            <w:rStyle w:val="InternetLink"/>
          </w:rPr>
          <w:t xml:space="preserve">https://doi.org/10.32614/CRAN.package.boot</w:t>
        </w:r>
      </w:hyperlink>
    </w:p>
    <w:bookmarkEnd w:id="81"/>
    <w:bookmarkStart w:id="83"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82">
        <w:r>
          <w:rPr>
            <w:rStyle w:val="InternetLink"/>
          </w:rPr>
          <w:t xml:space="preserve">https://doi.org/10.1007/s11368-020-02755-4</w:t>
        </w:r>
      </w:hyperlink>
    </w:p>
    <w:bookmarkEnd w:id="83"/>
    <w:bookmarkStart w:id="85"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84">
        <w:r>
          <w:rPr>
            <w:rStyle w:val="InternetLink"/>
          </w:rPr>
          <w:t xml:space="preserve">https://doi.org/10.1016/j.geoderma.2018.07.019</w:t>
        </w:r>
      </w:hyperlink>
    </w:p>
    <w:bookmarkEnd w:id="85"/>
    <w:bookmarkStart w:id="87" w:name="ref-collins1997"/>
    <w:p>
      <w:pPr>
        <w:pStyle w:val="Bibliography"/>
      </w:pPr>
      <w:r>
        <w:t xml:space="preserve">Collins, A.L., Walling, D.E., Leeks, G.J.L., 1997. Source type ascription for fluvial suspended sediment based on a quantitative composite fingerprinting technique. Catena 29, 1–27. https://doi.org/</w:t>
      </w:r>
      <w:hyperlink r:id="rId86">
        <w:r>
          <w:rPr>
            <w:rStyle w:val="InternetLink"/>
          </w:rPr>
          <w:t xml:space="preserve">https://doi.org/10.1016/S0341-8162(96)00064-1</w:t>
        </w:r>
      </w:hyperlink>
    </w:p>
    <w:bookmarkEnd w:id="87"/>
    <w:bookmarkStart w:id="89"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88">
        <w:r>
          <w:rPr>
            <w:rStyle w:val="InternetLink"/>
          </w:rPr>
          <w:t xml:space="preserve">https://doi.org/10.5194/gmd-8-1991-2015</w:t>
        </w:r>
      </w:hyperlink>
    </w:p>
    <w:bookmarkEnd w:id="89"/>
    <w:bookmarkStart w:id="91"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90">
        <w:r>
          <w:rPr>
            <w:rStyle w:val="InternetLink"/>
          </w:rPr>
          <w:t xml:space="preserve">https://doi.org/10.2136/sssaj2003.1296</w:t>
        </w:r>
      </w:hyperlink>
    </w:p>
    <w:bookmarkEnd w:id="91"/>
    <w:bookmarkStart w:id="93" w:name="ref-davison1997"/>
    <w:p>
      <w:pPr>
        <w:pStyle w:val="Bibliography"/>
      </w:pPr>
      <w:r>
        <w:t xml:space="preserve">Davison, A.C., Hinkley, D.V., 1997. Bootstrap methods and their applications. Cambridge University Press, Cambridge.</w:t>
      </w:r>
      <w:r>
        <w:t xml:space="preserve"> </w:t>
      </w:r>
      <w:hyperlink r:id="rId92">
        <w:r>
          <w:rPr>
            <w:rStyle w:val="InternetLink"/>
          </w:rPr>
          <w:t xml:space="preserve">https://doi.org/10.1017/CBO9780511802843</w:t>
        </w:r>
      </w:hyperlink>
    </w:p>
    <w:bookmarkEnd w:id="93"/>
    <w:bookmarkStart w:id="95"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94">
        <w:r>
          <w:rPr>
            <w:rStyle w:val="InternetLink"/>
          </w:rPr>
          <w:t xml:space="preserve">https://doi.org/10.1016/j.scitotenv.2010.08.004</w:t>
        </w:r>
      </w:hyperlink>
    </w:p>
    <w:bookmarkEnd w:id="95"/>
    <w:bookmarkStart w:id="97"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96">
        <w:r>
          <w:rPr>
            <w:rStyle w:val="InternetLink"/>
          </w:rPr>
          <w:t xml:space="preserve">https://doi.org/10.1016/j.jenvman.2016.05.066</w:t>
        </w:r>
      </w:hyperlink>
    </w:p>
    <w:bookmarkEnd w:id="97"/>
    <w:bookmarkStart w:id="98" w:name="ref-ehrlich1958"/>
    <w:p>
      <w:pPr>
        <w:pStyle w:val="Bibliography"/>
      </w:pPr>
      <w:r>
        <w:t xml:space="preserve">Ehrlich, W.A., Pratt, L.E., Leclaire, F.P., 1958. Reconnaissance soil survey of west-lake map sheet area.</w:t>
      </w:r>
    </w:p>
    <w:bookmarkEnd w:id="98"/>
    <w:bookmarkStart w:id="100" w:name="X314a104b7afaf0862b1b73f26445508a1e6fc28"/>
    <w:p>
      <w:pPr>
        <w:pStyle w:val="Bibliography"/>
      </w:pPr>
      <w:r>
        <w:t xml:space="preserve">Environment, Climate Change Canada, E., 2026.</w:t>
      </w:r>
      <w:r>
        <w:t xml:space="preserve"> </w:t>
      </w:r>
      <w:hyperlink r:id="rId99">
        <w:r>
          <w:rPr>
            <w:rStyle w:val="InternetLink"/>
          </w:rPr>
          <w:t xml:space="preserve">Canadian Climate Normals</w:t>
        </w:r>
      </w:hyperlink>
      <w:r>
        <w:t xml:space="preserve">.</w:t>
      </w:r>
    </w:p>
    <w:bookmarkEnd w:id="100"/>
    <w:bookmarkStart w:id="102" w:name="ref-esri2024"/>
    <w:p>
      <w:pPr>
        <w:pStyle w:val="Bibliography"/>
      </w:pPr>
      <w:r>
        <w:t xml:space="preserve">Esri, 2024.</w:t>
      </w:r>
      <w:r>
        <w:t xml:space="preserve"> </w:t>
      </w:r>
      <w:hyperlink r:id="rId101">
        <w:r>
          <w:rPr>
            <w:rStyle w:val="InternetLink"/>
          </w:rPr>
          <w:t xml:space="preserve">ArcGIS pro</w:t>
        </w:r>
      </w:hyperlink>
      <w:r>
        <w:t xml:space="preserve">. Esri.</w:t>
      </w:r>
    </w:p>
    <w:bookmarkEnd w:id="102"/>
    <w:bookmarkStart w:id="104"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03">
        <w:r>
          <w:rPr>
            <w:rStyle w:val="InternetLink"/>
          </w:rPr>
          <w:t xml:space="preserve">https://doi.org/10.1007/s11368-022-03203-1</w:t>
        </w:r>
      </w:hyperlink>
    </w:p>
    <w:bookmarkEnd w:id="104"/>
    <w:bookmarkStart w:id="106" w:name="ref-soilclassificationworkinggroup1998"/>
    <w:p>
      <w:pPr>
        <w:pStyle w:val="Bibliography"/>
      </w:pPr>
      <w:r>
        <w:t xml:space="preserve">Group, S.C.W., 1998.</w:t>
      </w:r>
      <w:r>
        <w:t xml:space="preserve"> </w:t>
      </w:r>
      <w:hyperlink r:id="rId105">
        <w:r>
          <w:rPr>
            <w:rStyle w:val="InternetLink"/>
          </w:rPr>
          <w:t xml:space="preserve">The canadian system of soil classification</w:t>
        </w:r>
      </w:hyperlink>
      <w:r>
        <w:t xml:space="preserve">, 3rd ed. NRC Research Press, Ottawa, ON, Canada.</w:t>
      </w:r>
    </w:p>
    <w:bookmarkEnd w:id="106"/>
    <w:bookmarkStart w:id="108" w:name="ref-degruijter2006"/>
    <w:p>
      <w:pPr>
        <w:pStyle w:val="Bibliography"/>
      </w:pPr>
      <w:r>
        <w:t xml:space="preserve">Gruijter, J.J. de, Bierkens, M.F.P., Brus, D.J., Knotters, M., 2006. Sampling for natural resource monitoring. Springer Berlin Heidelberg.</w:t>
      </w:r>
      <w:r>
        <w:t xml:space="preserve"> </w:t>
      </w:r>
      <w:hyperlink r:id="rId107">
        <w:r>
          <w:rPr>
            <w:rStyle w:val="InternetLink"/>
          </w:rPr>
          <w:t xml:space="preserve">https://doi.org/10.1007/3-540-33161-1</w:t>
        </w:r>
      </w:hyperlink>
    </w:p>
    <w:bookmarkEnd w:id="108"/>
    <w:bookmarkStart w:id="110"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09">
        <w:r>
          <w:rPr>
            <w:rStyle w:val="InternetLink"/>
          </w:rPr>
          <w:t xml:space="preserve">https://doi.org/10.1002/ldr.3407</w:t>
        </w:r>
      </w:hyperlink>
    </w:p>
    <w:bookmarkEnd w:id="110"/>
    <w:bookmarkStart w:id="112" w:name="ref-hijmans2024"/>
    <w:p>
      <w:pPr>
        <w:pStyle w:val="Bibliography"/>
      </w:pPr>
      <w:r>
        <w:t xml:space="preserve">Hijmans, R.J., 2024.</w:t>
      </w:r>
      <w:r>
        <w:t xml:space="preserve"> </w:t>
      </w:r>
      <w:hyperlink r:id="rId111">
        <w:r>
          <w:rPr>
            <w:rStyle w:val="InternetLink"/>
          </w:rPr>
          <w:t xml:space="preserve">Terra: Spatial data analysis</w:t>
        </w:r>
      </w:hyperlink>
      <w:r>
        <w:t xml:space="preserve">.</w:t>
      </w:r>
    </w:p>
    <w:bookmarkEnd w:id="112"/>
    <w:bookmarkStart w:id="113" w:name="ref-horowitz1991"/>
    <w:p>
      <w:pPr>
        <w:pStyle w:val="Bibliography"/>
      </w:pPr>
      <w:r>
        <w:t xml:space="preserve">Horowitz, A.J., 1991. A primer on sediment-trace element chemistry, 2nd ed. ed. Lewis Publishers, Chelsea, Michigan, USA.</w:t>
      </w:r>
    </w:p>
    <w:bookmarkEnd w:id="113"/>
    <w:bookmarkStart w:id="115" w:name="ref-kariuki2009"/>
    <w:p>
      <w:pPr>
        <w:pStyle w:val="Bibliography"/>
      </w:pPr>
      <w:r>
        <w:t xml:space="preserve">Kariuki, S.K., Zhang, H., Schroder, J.L., Hanks, T., Payton, M., Morris, T., 2009.</w:t>
      </w:r>
      <w:r>
        <w:t xml:space="preserve"> </w:t>
      </w:r>
      <w:hyperlink r:id="rId114">
        <w:r>
          <w:rPr>
            <w:rStyle w:val="InternetLink"/>
          </w:rPr>
          <w:t xml:space="preserve">Spatial variability and soil sampling in a grazed pasture</w:t>
        </w:r>
      </w:hyperlink>
      <w:r>
        <w:t xml:space="preserve">. Communications in Soil Science and Plant Analysis 40, 16741687.</w:t>
      </w:r>
    </w:p>
    <w:bookmarkEnd w:id="115"/>
    <w:bookmarkStart w:id="117" w:name="ref-koiter2021"/>
    <w:p>
      <w:pPr>
        <w:pStyle w:val="Bibliography"/>
      </w:pPr>
      <w:r>
        <w:t xml:space="preserve">Koiter, A., 2021. Colour analysis r scripts.</w:t>
      </w:r>
      <w:r>
        <w:t xml:space="preserve"> </w:t>
      </w:r>
      <w:hyperlink r:id="rId116">
        <w:r>
          <w:rPr>
            <w:rStyle w:val="InternetLink"/>
          </w:rPr>
          <w:t xml:space="preserve">https://doi.org/10.5281/zenodo.5123327</w:t>
        </w:r>
      </w:hyperlink>
    </w:p>
    <w:bookmarkEnd w:id="117"/>
    <w:bookmarkStart w:id="119"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18">
        <w:r>
          <w:rPr>
            <w:rStyle w:val="InternetLink"/>
          </w:rPr>
          <w:t xml:space="preserve">https://doi.org/10.1016/j.earscirev.2013.05.009</w:t>
        </w:r>
      </w:hyperlink>
    </w:p>
    <w:bookmarkEnd w:id="119"/>
    <w:bookmarkStart w:id="121"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20">
        <w:r>
          <w:rPr>
            <w:rStyle w:val="InternetLink"/>
          </w:rPr>
          <w:t xml:space="preserve">https://doi.org/10.1139/cjss-2017-0128</w:t>
        </w:r>
      </w:hyperlink>
    </w:p>
    <w:bookmarkEnd w:id="121"/>
    <w:bookmarkStart w:id="123" w:name="ref-kuhn2008"/>
    <w:p>
      <w:pPr>
        <w:pStyle w:val="Bibliography"/>
      </w:pPr>
      <w:r>
        <w:t xml:space="preserve">Kuhn, Max, 2008. Building predictive models in r using the caret package. Journal of Statistical Software 28, 1–26.</w:t>
      </w:r>
      <w:r>
        <w:t xml:space="preserve"> </w:t>
      </w:r>
      <w:hyperlink r:id="rId122">
        <w:r>
          <w:rPr>
            <w:rStyle w:val="InternetLink"/>
          </w:rPr>
          <w:t xml:space="preserve">https://doi.org/10.18637/jss.v028.i05</w:t>
        </w:r>
      </w:hyperlink>
    </w:p>
    <w:bookmarkEnd w:id="123"/>
    <w:bookmarkStart w:id="125" w:name="ref-lange2025"/>
    <w:p>
      <w:pPr>
        <w:pStyle w:val="Bibliography"/>
      </w:pPr>
      <w:r>
        <w:t xml:space="preserve">Lange, T.M., Gültas, M., Schmitt, A.O., Heinrich, F., 2025. optRF: Optimising random forest stability by determining the optimal number of trees. BMC Bioinformatics.</w:t>
      </w:r>
      <w:r>
        <w:t xml:space="preserve"> </w:t>
      </w:r>
      <w:hyperlink r:id="rId124">
        <w:r>
          <w:rPr>
            <w:rStyle w:val="InternetLink"/>
          </w:rPr>
          <w:t xml:space="preserve">https://doi.org/10.1186/s12859-025-06097-1</w:t>
        </w:r>
      </w:hyperlink>
    </w:p>
    <w:bookmarkEnd w:id="125"/>
    <w:bookmarkStart w:id="127"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26">
        <w:r>
          <w:rPr>
            <w:rStyle w:val="InternetLink"/>
          </w:rPr>
          <w:t xml:space="preserve">https://doi.org/10.1016/j.geoderma.2017.12.022</w:t>
        </w:r>
      </w:hyperlink>
    </w:p>
    <w:bookmarkEnd w:id="127"/>
    <w:bookmarkStart w:id="129" w:name="ref-liaw2002"/>
    <w:p>
      <w:pPr>
        <w:pStyle w:val="Bibliography"/>
      </w:pPr>
      <w:r>
        <w:t xml:space="preserve">Liaw, A., Wiener, M., 2002.</w:t>
      </w:r>
      <w:r>
        <w:t xml:space="preserve"> </w:t>
      </w:r>
      <w:hyperlink r:id="rId128">
        <w:r>
          <w:rPr>
            <w:rStyle w:val="InternetLink"/>
          </w:rPr>
          <w:t xml:space="preserve">Classification and regression by randomForest</w:t>
        </w:r>
      </w:hyperlink>
      <w:r>
        <w:t xml:space="preserve">. R News 2, 18–22.</w:t>
      </w:r>
    </w:p>
    <w:bookmarkEnd w:id="129"/>
    <w:bookmarkStart w:id="131"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30">
        <w:r>
          <w:rPr>
            <w:rStyle w:val="InternetLink"/>
          </w:rPr>
          <w:t xml:space="preserve">https://doi.org/10.1016/j.geodrs.2024.e00863</w:t>
        </w:r>
      </w:hyperlink>
    </w:p>
    <w:bookmarkEnd w:id="131"/>
    <w:bookmarkStart w:id="133"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32">
        <w:r>
          <w:rPr>
            <w:rStyle w:val="InternetLink"/>
          </w:rPr>
          <w:t xml:space="preserve">https://doi.org/10.1016/j.jsames.2023.104510</w:t>
        </w:r>
      </w:hyperlink>
    </w:p>
    <w:bookmarkEnd w:id="133"/>
    <w:bookmarkStart w:id="135"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34">
        <w:r>
          <w:rPr>
            <w:rStyle w:val="InternetLink"/>
          </w:rPr>
          <w:t xml:space="preserve">https://doi.org/10.1007/s11368-024-03805-x</w:t>
        </w:r>
      </w:hyperlink>
    </w:p>
    <w:bookmarkEnd w:id="135"/>
    <w:bookmarkStart w:id="137" w:name="ref-ma2020"/>
    <w:p>
      <w:pPr>
        <w:pStyle w:val="Bibliography"/>
      </w:pPr>
      <w:r>
        <w:t xml:space="preserve">Ma, T., Brus, D.J., Zhu, A.-X., Zhang, L., Scholten, T., 2020. Comparison of conditioned latin hypercube and feature space coverage sampling for predicting soil classes using simulation from soil maps. Geoderma 370, 114366.</w:t>
      </w:r>
      <w:r>
        <w:t xml:space="preserve"> </w:t>
      </w:r>
      <w:hyperlink r:id="rId136">
        <w:r>
          <w:rPr>
            <w:rStyle w:val="InternetLink"/>
          </w:rPr>
          <w:t xml:space="preserve">https://doi.org/10.1016/j.geoderma.2020.114366</w:t>
        </w:r>
      </w:hyperlink>
    </w:p>
    <w:bookmarkEnd w:id="137"/>
    <w:bookmarkStart w:id="138" w:name="ref-mackay1970"/>
    <w:p>
      <w:pPr>
        <w:pStyle w:val="Bibliography"/>
      </w:pPr>
      <w:r>
        <w:t xml:space="preserve">MacKay, G.H., 1970. A quantitative study of geomorphology of the wilson creek watershed, manitoba (MSC thesis). University of Manitoba, Winnipeg, MB.</w:t>
      </w:r>
    </w:p>
    <w:bookmarkEnd w:id="138"/>
    <w:bookmarkStart w:id="140"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39">
        <w:r>
          <w:rPr>
            <w:rStyle w:val="InternetLink"/>
          </w:rPr>
          <w:t xml:space="preserve">https://doi.org/10.1016/j.geodrs.2020.e00289</w:t>
        </w:r>
      </w:hyperlink>
    </w:p>
    <w:bookmarkEnd w:id="140"/>
    <w:bookmarkStart w:id="142" w:name="ref-mehnatkesh2013"/>
    <w:p>
      <w:pPr>
        <w:pStyle w:val="Bibliography"/>
      </w:pPr>
      <w:r>
        <w:t xml:space="preserve">Mehnatkesh, A., Ayoubi, S., Jalalian, A., Sahrawat, K.L., 2013. Relationships between soil depth and terrain attributes in a semi arid hilly region in western iran. Journal of Mountain Science 10, 163–172.</w:t>
      </w:r>
      <w:r>
        <w:t xml:space="preserve"> </w:t>
      </w:r>
      <w:hyperlink r:id="rId141">
        <w:r>
          <w:rPr>
            <w:rStyle w:val="InternetLink"/>
          </w:rPr>
          <w:t xml:space="preserve">https://doi.org/10.1007/s11629-013-2427-9</w:t>
        </w:r>
      </w:hyperlink>
    </w:p>
    <w:bookmarkEnd w:id="142"/>
    <w:bookmarkStart w:id="144"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43">
        <w:r>
          <w:rPr>
            <w:rStyle w:val="InternetLink"/>
          </w:rPr>
          <w:t xml:space="preserve">https://doi.org/10.1016/j.geoderma.2021.115638</w:t>
        </w:r>
      </w:hyperlink>
    </w:p>
    <w:bookmarkEnd w:id="144"/>
    <w:bookmarkStart w:id="146" w:name="ref-minasny2006"/>
    <w:p>
      <w:pPr>
        <w:pStyle w:val="Bibliography"/>
      </w:pPr>
      <w:r>
        <w:t xml:space="preserve">Minasny, B., McBratney, A.B., 2006. A conditioned latin hypercube method for sampling in the presence of ancillary information. Computers &amp; Geosciences 32, 1378–1388.</w:t>
      </w:r>
      <w:r>
        <w:t xml:space="preserve"> </w:t>
      </w:r>
      <w:hyperlink r:id="rId145">
        <w:r>
          <w:rPr>
            <w:rStyle w:val="InternetLink"/>
          </w:rPr>
          <w:t xml:space="preserve">https://doi.org/10.1016/j.cageo.2005.12.009</w:t>
        </w:r>
      </w:hyperlink>
    </w:p>
    <w:bookmarkEnd w:id="146"/>
    <w:bookmarkStart w:id="148"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47">
        <w:r>
          <w:rPr>
            <w:rStyle w:val="InternetLink"/>
          </w:rPr>
          <w:t xml:space="preserve">https://doi.org/10.2136/sssaj2005.0062</w:t>
        </w:r>
      </w:hyperlink>
    </w:p>
    <w:bookmarkEnd w:id="148"/>
    <w:bookmarkStart w:id="150"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49">
        <w:r>
          <w:rPr>
            <w:rStyle w:val="InternetLink"/>
          </w:rPr>
          <w:t xml:space="preserve">https://doi.org/10.1111/j.1600-0587.2013.00205.x</w:t>
        </w:r>
      </w:hyperlink>
    </w:p>
    <w:bookmarkEnd w:id="150"/>
    <w:bookmarkStart w:id="152"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51">
        <w:r>
          <w:rPr>
            <w:rStyle w:val="InternetLink"/>
          </w:rPr>
          <w:t xml:space="preserve">https://doi.org/10.1016/j.geoderma.2012.06.006</w:t>
        </w:r>
      </w:hyperlink>
    </w:p>
    <w:bookmarkEnd w:id="152"/>
    <w:bookmarkStart w:id="153"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53"/>
    <w:bookmarkStart w:id="155" w:name="ref-nosrati2020"/>
    <w:p>
      <w:pPr>
        <w:pStyle w:val="Bibliography"/>
      </w:pPr>
      <w:r>
        <w:t xml:space="preserve">Nosrati, K., Akbari-Mahdiabad, M., Ayoubi, S., Degos, E., Koubansky, A., Coquatrix, Q., Pulley, S., Collins, A.L., 2020. Storm dust source fingerprinting for different particle size fractions using colour and magnetic susceptibility and a bayesian un-mixing model. Environmental Science and Pollution Research 27, 31578–31594.</w:t>
      </w:r>
      <w:r>
        <w:t xml:space="preserve"> </w:t>
      </w:r>
      <w:hyperlink r:id="rId154">
        <w:r>
          <w:rPr>
            <w:rStyle w:val="InternetLink"/>
          </w:rPr>
          <w:t xml:space="preserve">https://doi.org/10.1007/s11356-020-09249-3</w:t>
        </w:r>
      </w:hyperlink>
    </w:p>
    <w:bookmarkEnd w:id="155"/>
    <w:bookmarkStart w:id="156"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56"/>
    <w:bookmarkStart w:id="157" w:name="ref-pennock2008"/>
    <w:p>
      <w:pPr>
        <w:pStyle w:val="Bibliography"/>
      </w:pPr>
      <w:r>
        <w:t xml:space="preserve">Pennock, D., Yates, T., Braidek, J., 2008. Soil sampling designs, in: Carter, M.R., Gregorich, E.G. (Eds.),. CRC Press, Boca Raton, FL, USA, pp. 1–14.</w:t>
      </w:r>
    </w:p>
    <w:bookmarkEnd w:id="157"/>
    <w:bookmarkStart w:id="159"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58">
        <w:r>
          <w:rPr>
            <w:rStyle w:val="InternetLink"/>
          </w:rPr>
          <w:t xml:space="preserve">https://doi.org/10.1016/j.catena.2017.12.019</w:t>
        </w:r>
      </w:hyperlink>
    </w:p>
    <w:bookmarkEnd w:id="159"/>
    <w:bookmarkStart w:id="161"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60">
        <w:r>
          <w:rPr>
            <w:rStyle w:val="InternetLink"/>
          </w:rPr>
          <w:t xml:space="preserve">https://doi.org/10.1080/00288233.2018.1426616</w:t>
        </w:r>
      </w:hyperlink>
    </w:p>
    <w:bookmarkEnd w:id="161"/>
    <w:bookmarkStart w:id="163" w:name="ref-ritchie1970"/>
    <w:p>
      <w:pPr>
        <w:pStyle w:val="Bibliography"/>
      </w:pPr>
      <w:r>
        <w:t xml:space="preserve">Ritchie, J.C., Clebsch, E.E.C., Rudolph, W.K., 1970.</w:t>
      </w:r>
      <w:r>
        <w:t xml:space="preserve"> </w:t>
      </w:r>
      <w:hyperlink r:id="rId162">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63"/>
    <w:bookmarkStart w:id="165"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64">
        <w:r>
          <w:rPr>
            <w:rStyle w:val="InternetLink"/>
          </w:rPr>
          <w:t xml:space="preserve">https://doi.org/10.1016/j.geoderma.2016.03.019</w:t>
        </w:r>
      </w:hyperlink>
    </w:p>
    <w:bookmarkEnd w:id="165"/>
    <w:bookmarkStart w:id="167" w:name="ref-rstudio2026"/>
    <w:p>
      <w:pPr>
        <w:pStyle w:val="Bibliography"/>
      </w:pPr>
      <w:r>
        <w:t xml:space="preserve">RStudio, 2026.</w:t>
      </w:r>
      <w:r>
        <w:t xml:space="preserve"> </w:t>
      </w:r>
      <w:hyperlink r:id="rId166">
        <w:r>
          <w:rPr>
            <w:rStyle w:val="InternetLink"/>
          </w:rPr>
          <w:t xml:space="preserve">RStudio: Integrated development environment for r</w:t>
        </w:r>
      </w:hyperlink>
      <w:r>
        <w:t xml:space="preserve">.</w:t>
      </w:r>
    </w:p>
    <w:bookmarkEnd w:id="167"/>
    <w:bookmarkStart w:id="169" w:name="ref-soligo2023"/>
    <w:p>
      <w:pPr>
        <w:pStyle w:val="Bibliography"/>
      </w:pPr>
      <w:r>
        <w:t xml:space="preserve">Soligo, M.F., Pedron, F. de A., Moura-Bueno, J.M., Horst, T.Z., Dalmolin, R.S.D., Nalin, R.S., 2023. Sampling design and spatial modeling of available phosphorus in a complex agricultural area in southern brazil. Journal of Soil Science and Plant Nutrition 23, 6125–6138.</w:t>
      </w:r>
      <w:r>
        <w:t xml:space="preserve"> </w:t>
      </w:r>
      <w:hyperlink r:id="rId168">
        <w:r>
          <w:rPr>
            <w:rStyle w:val="InternetLink"/>
          </w:rPr>
          <w:t xml:space="preserve">https://doi.org/10.1007/s42729-023-01470-6</w:t>
        </w:r>
      </w:hyperlink>
    </w:p>
    <w:bookmarkEnd w:id="169"/>
    <w:bookmarkStart w:id="171"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70">
        <w:r>
          <w:rPr>
            <w:rStyle w:val="InternetLink"/>
          </w:rPr>
          <w:t xml:space="preserve">https://doi.org/10.2136/sssaj1995.03615995005900030012x</w:t>
        </w:r>
      </w:hyperlink>
    </w:p>
    <w:bookmarkEnd w:id="171"/>
    <w:bookmarkStart w:id="173"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72">
        <w:r>
          <w:rPr>
            <w:rStyle w:val="InternetLink"/>
          </w:rPr>
          <w:t xml:space="preserve">https://doi.org/10.4141/cjss71-036</w:t>
        </w:r>
      </w:hyperlink>
    </w:p>
    <w:bookmarkEnd w:id="173"/>
    <w:bookmarkStart w:id="175"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74">
        <w:r>
          <w:rPr>
            <w:rStyle w:val="InternetLink"/>
          </w:rPr>
          <w:t xml:space="preserve">https://doi.org/10.1016/S1002-0160(21)60019-X</w:t>
        </w:r>
      </w:hyperlink>
    </w:p>
    <w:bookmarkEnd w:id="175"/>
    <w:bookmarkStart w:id="176"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74">
        <w:r>
          <w:rPr>
            <w:rStyle w:val="InternetLink"/>
          </w:rPr>
          <w:t xml:space="preserve">https://doi.org/10.1016/S1002-0160(21)60019-X</w:t>
        </w:r>
      </w:hyperlink>
    </w:p>
    <w:bookmarkEnd w:id="176"/>
    <w:bookmarkStart w:id="178" w:name="ref-tajik2012"/>
    <w:p>
      <w:pPr>
        <w:pStyle w:val="Bibliography"/>
      </w:pPr>
      <w:r>
        <w:t xml:space="preserve">Tajik, S., Ayoubi, S., Nourbakhsh, F., 2012. Prediction of soil enzymes activity by digital terrain analysis: Comparing artificial neural network and multiple linear regression models. Environmental Engineering Science 29, 798–806.</w:t>
      </w:r>
      <w:r>
        <w:t xml:space="preserve"> </w:t>
      </w:r>
      <w:hyperlink r:id="rId177">
        <w:r>
          <w:rPr>
            <w:rStyle w:val="InternetLink"/>
          </w:rPr>
          <w:t xml:space="preserve">https://doi.org/10.1089/ees.2011.0313</w:t>
        </w:r>
      </w:hyperlink>
    </w:p>
    <w:bookmarkEnd w:id="178"/>
    <w:bookmarkStart w:id="180" w:name="ref-rcoreteam2026"/>
    <w:p>
      <w:pPr>
        <w:pStyle w:val="Bibliography"/>
      </w:pPr>
      <w:r>
        <w:t xml:space="preserve">Team, R.C., 2026.</w:t>
      </w:r>
      <w:r>
        <w:t xml:space="preserve"> </w:t>
      </w:r>
      <w:hyperlink r:id="rId179">
        <w:r>
          <w:rPr>
            <w:rStyle w:val="InternetLink"/>
          </w:rPr>
          <w:t xml:space="preserve">R: A language and environment for statistical computing</w:t>
        </w:r>
      </w:hyperlink>
      <w:r>
        <w:t xml:space="preserve">.</w:t>
      </w:r>
    </w:p>
    <w:bookmarkEnd w:id="180"/>
    <w:bookmarkStart w:id="182"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81">
        <w:r>
          <w:rPr>
            <w:rStyle w:val="InternetLink"/>
          </w:rPr>
          <w:t xml:space="preserve">https://doi.org/10.1016/j.catena.2012.01.010</w:t>
        </w:r>
      </w:hyperlink>
    </w:p>
    <w:bookmarkEnd w:id="182"/>
    <w:bookmarkStart w:id="184"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83">
        <w:r>
          <w:rPr>
            <w:rStyle w:val="InternetLink"/>
          </w:rPr>
          <w:t xml:space="preserve">https://doi.org/10.1016/j.still.2017.01.006</w:t>
        </w:r>
      </w:hyperlink>
    </w:p>
    <w:bookmarkEnd w:id="184"/>
    <w:bookmarkStart w:id="186"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85">
        <w:r>
          <w:rPr>
            <w:rStyle w:val="InternetLink"/>
          </w:rPr>
          <w:t xml:space="preserve">https://doi.org/10.1111/j.1752-1688.2010.00420.x</w:t>
        </w:r>
      </w:hyperlink>
    </w:p>
    <w:bookmarkEnd w:id="186"/>
    <w:bookmarkStart w:id="188"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87">
        <w:r>
          <w:rPr>
            <w:rStyle w:val="InternetLink"/>
          </w:rPr>
          <w:t xml:space="preserve">https://doi.org/10.1016/j.geoderma.2009.01.025</w:t>
        </w:r>
      </w:hyperlink>
    </w:p>
    <w:bookmarkEnd w:id="188"/>
    <w:bookmarkStart w:id="189" w:name="ref-viscarrarossel2006"/>
    <w:p>
      <w:pPr>
        <w:pStyle w:val="Bibliography"/>
      </w:pPr>
      <w:r>
        <w:t xml:space="preserve">Viscarra Rossel, R.A., Minasny, B., Roudier, P., McBratney, A.B., 2006. Colour space models for soil science. Geoderma 133, 320337.</w:t>
      </w:r>
    </w:p>
    <w:bookmarkEnd w:id="189"/>
    <w:bookmarkStart w:id="190" w:name="ref-wickham2016"/>
    <w:p>
      <w:pPr>
        <w:pStyle w:val="Bibliography"/>
      </w:pPr>
      <w:r>
        <w:t xml:space="preserve">Wickham, H., 2016. ggplot2: Elegant graphics for data analysis. Springer-Verlag, New York NY U.S.A.</w:t>
      </w:r>
    </w:p>
    <w:bookmarkEnd w:id="190"/>
    <w:bookmarkStart w:id="192"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91">
        <w:r>
          <w:rPr>
            <w:rStyle w:val="InternetLink"/>
          </w:rPr>
          <w:t xml:space="preserve">https://doi.org/10.1007/s11368-015-1134-2</w:t>
        </w:r>
      </w:hyperlink>
    </w:p>
    <w:bookmarkEnd w:id="192"/>
    <w:bookmarkStart w:id="194"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93">
        <w:r>
          <w:rPr>
            <w:rStyle w:val="InternetLink"/>
          </w:rPr>
          <w:t xml:space="preserve">https://doi.org/10.1007/s10661-007-9822-z</w:t>
        </w:r>
      </w:hyperlink>
    </w:p>
    <w:bookmarkEnd w:id="194"/>
    <w:bookmarkStart w:id="196"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95">
        <w:r>
          <w:rPr>
            <w:rStyle w:val="InternetLink"/>
          </w:rPr>
          <w:t xml:space="preserve">https://doi.org/10.1016/j.geoderma.2011.07.012</w:t>
        </w:r>
      </w:hyperlink>
    </w:p>
    <w:bookmarkEnd w:id="196"/>
    <w:bookmarkStart w:id="198" w:name="ref-zízala2024"/>
    <w:p>
      <w:pPr>
        <w:pStyle w:val="Bibliography"/>
      </w:pPr>
      <w:r>
        <w:t xml:space="preserve">Žížala, D., Princ, T., Skála, J., Juřicová, A., Lukas, V., Bohovic, R., Zádorová, T., Minařík, R., 2024. Soil sampling design matters - enhancing the efficiency of digital soil mapping at the field scale. Geoderma Regional 39, e00874.</w:t>
      </w:r>
      <w:r>
        <w:t xml:space="preserve"> </w:t>
      </w:r>
      <w:hyperlink r:id="rId197">
        <w:r>
          <w:rPr>
            <w:rStyle w:val="InternetLink"/>
          </w:rPr>
          <w:t xml:space="preserve">https://doi.org/10.1016/j.geodrs.2024.e00874</w:t>
        </w:r>
      </w:hyperlink>
    </w:p>
    <w:bookmarkEnd w:id="198"/>
    <w:bookmarkEnd w:id="199"/>
    <w:bookmarkEnd w:id="200"/>
    <w:bookmarkStart w:id="209" w:name="supplemental-figures"/>
    <w:p>
      <w:pPr>
        <w:pStyle w:val="Heading2"/>
      </w:pPr>
      <w:r>
        <w:t xml:space="preserve">Supplemental figures</w:t>
      </w:r>
    </w:p>
    <w:tbl>
      <w:tblPr>
        <w:tblStyle w:val="Table"/>
        <w:tblW w:type="pct" w:w="5000"/>
        <w:tblLayout w:type="fixed"/>
        <w:tblLook w:firstRow="0" w:lastRow="0" w:firstColumn="0" w:lastColumn="0" w:noHBand="0" w:noVBand="0" w:val="0000"/>
      </w:tblPr>
      <w:tblGrid>
        <w:gridCol w:w="7920"/>
      </w:tblGrid>
      <w:tr>
        <w:tc>
          <w:tcPr/>
          <w:bookmarkStart w:id="204" w:name="suppfig-ag_RF_summary"/>
          <w:p>
            <w:pPr>
              <w:pStyle w:val="Compact"/>
              <w:jc w:val="center"/>
            </w:pPr>
            <w:r>
              <w:drawing>
                <wp:inline>
                  <wp:extent cx="5943600" cy="5943600"/>
                  <wp:effectExtent b="0" l="0" r="0" t="0"/>
                  <wp:docPr descr="" title="" id="202" name="Picture"/>
                  <a:graphic>
                    <a:graphicData uri="http://schemas.openxmlformats.org/drawingml/2006/picture">
                      <pic:pic>
                        <pic:nvPicPr>
                          <pic:cNvPr descr="images/Ag_RF_summary.png" id="203" name="Picture"/>
                          <pic:cNvPicPr>
                            <a:picLocks noChangeArrowheads="1" noChangeAspect="1"/>
                          </pic:cNvPicPr>
                        </pic:nvPicPr>
                        <pic:blipFill>
                          <a:blip r:embed="rId20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20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08" w:name="suppfig-forest_RF_summary"/>
          <w:p>
            <w:pPr>
              <w:pStyle w:val="Compact"/>
              <w:jc w:val="center"/>
            </w:pPr>
            <w:r>
              <w:drawing>
                <wp:inline>
                  <wp:extent cx="5943600" cy="2971800"/>
                  <wp:effectExtent b="0" l="0" r="0" t="0"/>
                  <wp:docPr descr="" title="" id="206" name="Picture"/>
                  <a:graphic>
                    <a:graphicData uri="http://schemas.openxmlformats.org/drawingml/2006/picture">
                      <pic:pic>
                        <pic:nvPicPr>
                          <pic:cNvPr descr="images/Forest_RF_summary.png" id="207" name="Picture"/>
                          <pic:cNvPicPr>
                            <a:picLocks noChangeArrowheads="1" noChangeAspect="1"/>
                          </pic:cNvPicPr>
                        </pic:nvPicPr>
                        <pic:blipFill>
                          <a:blip r:embed="rId20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Variable importance, expressed as the percentage increase in Mean Squared Error, for soil colour and geochemical fingerprint properties derived from random forest models using terrain attributes as predictorsat the forest site.</w:t>
            </w:r>
          </w:p>
          <w:bookmarkEnd w:id="208"/>
        </w:tc>
      </w:tr>
    </w:tbl>
    <w:bookmarkEnd w:id="209"/>
    <w:bookmarkStart w:id="212"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210" w:name="supptab-abbrev"/>
          <w:p>
            <w:pPr>
              <w:jc w:val="center"/>
            </w:pPr>
            <w:pPr>
              <w:jc w:val="lef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210"/>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11" w:name="supptab-terrain"/>
          <w:p>
            <w:pPr>
              <w:jc w:val="center"/>
            </w:pPr>
            <w:pPr>
              <w:jc w:val="lef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211"/>
          <w:p/>
        </w:tc>
      </w:tr>
    </w:tbl>
    <w:bookmarkEnd w:id="212"/>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179" Target="http://www.R-project.org" TargetMode="External" /><Relationship Type="http://schemas.openxmlformats.org/officeDocument/2006/relationships/hyperlink" Id="rId166" Target="http://www.rstudio.org/" TargetMode="External" /><Relationship Type="http://schemas.openxmlformats.org/officeDocument/2006/relationships/hyperlink" Id="rId114" Target="http://www.tandfonline.com/doi/abs/10.1080/00103620902832089" TargetMode="External" /><Relationship Type="http://schemas.openxmlformats.org/officeDocument/2006/relationships/hyperlink" Id="rId128" Target="https://CRAN.R-project.org/doc/Rnews/" TargetMode="External" /><Relationship Type="http://schemas.openxmlformats.org/officeDocument/2006/relationships/hyperlink" Id="rId111"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51" Target="https://alex-koiter.github.io/terrain-attributes/notebooks/clustering_analysis.qmd.html#cell-fig-cluster"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64" Target="https://alexkoiter.ca/terrain-attributes/" TargetMode="External" /><Relationship Type="http://schemas.openxmlformats.org/officeDocument/2006/relationships/hyperlink" Id="rId99" Target="https://climate.weather.gc.ca/climate_normals/index_e.html" TargetMode="External" /><Relationship Type="http://schemas.openxmlformats.org/officeDocument/2006/relationships/hyperlink" Id="rId109" Target="https://doi.org/10.1002/ldr.3407" TargetMode="External" /><Relationship Type="http://schemas.openxmlformats.org/officeDocument/2006/relationships/hyperlink" Id="rId107" Target="https://doi.org/10.1007/3-540-33161-1" TargetMode="External" /><Relationship Type="http://schemas.openxmlformats.org/officeDocument/2006/relationships/hyperlink" Id="rId193" Target="https://doi.org/10.1007/s10661-007-9822-z" TargetMode="External" /><Relationship Type="http://schemas.openxmlformats.org/officeDocument/2006/relationships/hyperlink" Id="rId154" Target="https://doi.org/10.1007/s11356-020-09249-3" TargetMode="External" /><Relationship Type="http://schemas.openxmlformats.org/officeDocument/2006/relationships/hyperlink" Id="rId191" Target="https://doi.org/10.1007/s11368-015-1134-2" TargetMode="External" /><Relationship Type="http://schemas.openxmlformats.org/officeDocument/2006/relationships/hyperlink" Id="rId82" Target="https://doi.org/10.1007/s11368-020-02755-4" TargetMode="External" /><Relationship Type="http://schemas.openxmlformats.org/officeDocument/2006/relationships/hyperlink" Id="rId103" Target="https://doi.org/10.1007/s11368-022-03203-1" TargetMode="External" /><Relationship Type="http://schemas.openxmlformats.org/officeDocument/2006/relationships/hyperlink" Id="rId134" Target="https://doi.org/10.1007/s11368-024-03805-x" TargetMode="External" /><Relationship Type="http://schemas.openxmlformats.org/officeDocument/2006/relationships/hyperlink" Id="rId141" Target="https://doi.org/10.1007/s11629-013-2427-9" TargetMode="External" /><Relationship Type="http://schemas.openxmlformats.org/officeDocument/2006/relationships/hyperlink" Id="rId168" Target="https://doi.org/10.1007/s42729-023-01470-6" TargetMode="External" /><Relationship Type="http://schemas.openxmlformats.org/officeDocument/2006/relationships/hyperlink" Id="rId86" Target="https://doi.org/10.1016/S0341-8162(96)00064-1" TargetMode="External" /><Relationship Type="http://schemas.openxmlformats.org/officeDocument/2006/relationships/hyperlink" Id="rId174" Target="https://doi.org/10.1016/S1002-0160(21)60019-X" TargetMode="External" /><Relationship Type="http://schemas.openxmlformats.org/officeDocument/2006/relationships/hyperlink" Id="rId145" Target="https://doi.org/10.1016/j.cageo.2005.12.009" TargetMode="External" /><Relationship Type="http://schemas.openxmlformats.org/officeDocument/2006/relationships/hyperlink" Id="rId181" Target="https://doi.org/10.1016/j.catena.2012.01.010" TargetMode="External" /><Relationship Type="http://schemas.openxmlformats.org/officeDocument/2006/relationships/hyperlink" Id="rId158" Target="https://doi.org/10.1016/j.catena.2017.12.019" TargetMode="External" /><Relationship Type="http://schemas.openxmlformats.org/officeDocument/2006/relationships/hyperlink" Id="rId118" Target="https://doi.org/10.1016/j.earscirev.2013.05.009" TargetMode="External" /><Relationship Type="http://schemas.openxmlformats.org/officeDocument/2006/relationships/hyperlink" Id="rId76" Target="https://doi.org/10.1016/j.geoderma.2003.12.004" TargetMode="External" /><Relationship Type="http://schemas.openxmlformats.org/officeDocument/2006/relationships/hyperlink" Id="rId187" Target="https://doi.org/10.1016/j.geoderma.2009.01.025" TargetMode="External" /><Relationship Type="http://schemas.openxmlformats.org/officeDocument/2006/relationships/hyperlink" Id="rId195" Target="https://doi.org/10.1016/j.geoderma.2011.07.012" TargetMode="External" /><Relationship Type="http://schemas.openxmlformats.org/officeDocument/2006/relationships/hyperlink" Id="rId151" Target="https://doi.org/10.1016/j.geoderma.2012.06.006" TargetMode="External" /><Relationship Type="http://schemas.openxmlformats.org/officeDocument/2006/relationships/hyperlink" Id="rId164" Target="https://doi.org/10.1016/j.geoderma.2016.03.019" TargetMode="External" /><Relationship Type="http://schemas.openxmlformats.org/officeDocument/2006/relationships/hyperlink" Id="rId126" Target="https://doi.org/10.1016/j.geoderma.2017.12.022" TargetMode="External" /><Relationship Type="http://schemas.openxmlformats.org/officeDocument/2006/relationships/hyperlink" Id="rId84" Target="https://doi.org/10.1016/j.geoderma.2018.07.019" TargetMode="External" /><Relationship Type="http://schemas.openxmlformats.org/officeDocument/2006/relationships/hyperlink" Id="rId136" Target="https://doi.org/10.1016/j.geoderma.2020.114366" TargetMode="External" /><Relationship Type="http://schemas.openxmlformats.org/officeDocument/2006/relationships/hyperlink" Id="rId143" Target="https://doi.org/10.1016/j.geoderma.2021.115638" TargetMode="External" /><Relationship Type="http://schemas.openxmlformats.org/officeDocument/2006/relationships/hyperlink" Id="rId139" Target="https://doi.org/10.1016/j.geodrs.2020.e00289" TargetMode="External" /><Relationship Type="http://schemas.openxmlformats.org/officeDocument/2006/relationships/hyperlink" Id="rId130" Target="https://doi.org/10.1016/j.geodrs.2024.e00863" TargetMode="External" /><Relationship Type="http://schemas.openxmlformats.org/officeDocument/2006/relationships/hyperlink" Id="rId197" Target="https://doi.org/10.1016/j.geodrs.2024.e00874" TargetMode="External" /><Relationship Type="http://schemas.openxmlformats.org/officeDocument/2006/relationships/hyperlink" Id="rId96" Target="https://doi.org/10.1016/j.jenvman.2016.05.066" TargetMode="External" /><Relationship Type="http://schemas.openxmlformats.org/officeDocument/2006/relationships/hyperlink" Id="rId132" Target="https://doi.org/10.1016/j.jsames.2023.104510" TargetMode="External" /><Relationship Type="http://schemas.openxmlformats.org/officeDocument/2006/relationships/hyperlink" Id="rId94" Target="https://doi.org/10.1016/j.scitotenv.2010.08.004" TargetMode="External" /><Relationship Type="http://schemas.openxmlformats.org/officeDocument/2006/relationships/hyperlink" Id="rId183" Target="https://doi.org/10.1016/j.still.2017.01.006" TargetMode="External" /><Relationship Type="http://schemas.openxmlformats.org/officeDocument/2006/relationships/hyperlink" Id="rId92" Target="https://doi.org/10.1017/CBO9780511802843" TargetMode="External" /><Relationship Type="http://schemas.openxmlformats.org/officeDocument/2006/relationships/hyperlink" Id="rId72" Target="https://doi.org/10.1038/sdata.2018.214" TargetMode="External" /><Relationship Type="http://schemas.openxmlformats.org/officeDocument/2006/relationships/hyperlink" Id="rId160" Target="https://doi.org/10.1080/00288233.2018.1426616" TargetMode="External" /><Relationship Type="http://schemas.openxmlformats.org/officeDocument/2006/relationships/hyperlink" Id="rId74" Target="https://doi.org/10.1080/07011784.2018.1451781" TargetMode="External" /><Relationship Type="http://schemas.openxmlformats.org/officeDocument/2006/relationships/hyperlink" Id="rId177" Target="https://doi.org/10.1089/ees.2011.0313" TargetMode="External" /><Relationship Type="http://schemas.openxmlformats.org/officeDocument/2006/relationships/hyperlink" Id="rId149" Target="https://doi.org/10.1111/j.1600-0587.2013.00205.x" TargetMode="External" /><Relationship Type="http://schemas.openxmlformats.org/officeDocument/2006/relationships/hyperlink" Id="rId185" Target="https://doi.org/10.1111/j.1752-1688.2010.00420.x" TargetMode="External" /><Relationship Type="http://schemas.openxmlformats.org/officeDocument/2006/relationships/hyperlink" Id="rId120" Target="https://doi.org/10.1139/cjss-2017-0128" TargetMode="External" /><Relationship Type="http://schemas.openxmlformats.org/officeDocument/2006/relationships/hyperlink" Id="rId124" Target="https://doi.org/10.1186/s12859-025-06097-1" TargetMode="External" /><Relationship Type="http://schemas.openxmlformats.org/officeDocument/2006/relationships/hyperlink" Id="rId122" Target="https://doi.org/10.18637/jss.v028.i05" TargetMode="External" /><Relationship Type="http://schemas.openxmlformats.org/officeDocument/2006/relationships/hyperlink" Id="rId170" Target="https://doi.org/10.2136/sssaj1995.03615995005900030012x" TargetMode="External" /><Relationship Type="http://schemas.openxmlformats.org/officeDocument/2006/relationships/hyperlink" Id="rId90" Target="https://doi.org/10.2136/sssaj2003.1296" TargetMode="External" /><Relationship Type="http://schemas.openxmlformats.org/officeDocument/2006/relationships/hyperlink" Id="rId147" Target="https://doi.org/10.2136/sssaj2005.0062" TargetMode="External" /><Relationship Type="http://schemas.openxmlformats.org/officeDocument/2006/relationships/hyperlink" Id="rId70" Target="https://doi.org/10.2136/sssaj2013.02.0048" TargetMode="External" /><Relationship Type="http://schemas.openxmlformats.org/officeDocument/2006/relationships/hyperlink" Id="rId80" Target="https://doi.org/10.32614/CRAN.package.boot" TargetMode="External" /><Relationship Type="http://schemas.openxmlformats.org/officeDocument/2006/relationships/hyperlink" Id="rId172" Target="https://doi.org/10.4141/cjss71-036" TargetMode="External" /><Relationship Type="http://schemas.openxmlformats.org/officeDocument/2006/relationships/hyperlink" Id="rId88" Target="https://doi.org/10.5194/gmd-8-1991-2015" TargetMode="External" /><Relationship Type="http://schemas.openxmlformats.org/officeDocument/2006/relationships/hyperlink" Id="rId116" Target="https://doi.org/10.5281/zenodo.5123327" TargetMode="External" /><Relationship Type="http://schemas.openxmlformats.org/officeDocument/2006/relationships/hyperlink" Id="rId63" Target="https://github.com/alex-koiter/terrain-attributes" TargetMode="External" /><Relationship Type="http://schemas.openxmlformats.org/officeDocument/2006/relationships/hyperlink" Id="rId162" Target="https://journals.lww.com/health-physics/Abstract/1970/05000/Distribution_of_Fallout_and_Natural_Gamma.3.aspx" TargetMode="External" /><Relationship Type="http://schemas.openxmlformats.org/officeDocument/2006/relationships/hyperlink" Id="rId78" Target="https://open.canada.ca/data/en/dataset/0fe65119-e96e-4a57-8bfe-9d9245fba06b" TargetMode="External" /><Relationship Type="http://schemas.openxmlformats.org/officeDocument/2006/relationships/hyperlink" Id="rId105" Target="https://sis.agr.gc.ca/cansis/taxa/cssc3/index.html" TargetMode="External" /><Relationship Type="http://schemas.openxmlformats.org/officeDocument/2006/relationships/hyperlink" Id="rId68" Target="https://www.agisoft.com/downloads/installer/" TargetMode="External" /><Relationship Type="http://schemas.openxmlformats.org/officeDocument/2006/relationships/hyperlink" Id="rId101"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79" Target="http://www.R-project.org" TargetMode="External" /><Relationship Type="http://schemas.openxmlformats.org/officeDocument/2006/relationships/hyperlink" Id="rId166" Target="http://www.rstudio.org/" TargetMode="External" /><Relationship Type="http://schemas.openxmlformats.org/officeDocument/2006/relationships/hyperlink" Id="rId114" Target="http://www.tandfonline.com/doi/abs/10.1080/00103620902832089" TargetMode="External" /><Relationship Type="http://schemas.openxmlformats.org/officeDocument/2006/relationships/hyperlink" Id="rId128" Target="https://CRAN.R-project.org/doc/Rnews/" TargetMode="External" /><Relationship Type="http://schemas.openxmlformats.org/officeDocument/2006/relationships/hyperlink" Id="rId111"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51" Target="https://alex-koiter.github.io/terrain-attributes/notebooks/clustering_analysis.qmd.html#cell-fig-cluster"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64" Target="https://alexkoiter.ca/terrain-attributes/" TargetMode="External" /><Relationship Type="http://schemas.openxmlformats.org/officeDocument/2006/relationships/hyperlink" Id="rId99" Target="https://climate.weather.gc.ca/climate_normals/index_e.html" TargetMode="External" /><Relationship Type="http://schemas.openxmlformats.org/officeDocument/2006/relationships/hyperlink" Id="rId109" Target="https://doi.org/10.1002/ldr.3407" TargetMode="External" /><Relationship Type="http://schemas.openxmlformats.org/officeDocument/2006/relationships/hyperlink" Id="rId107" Target="https://doi.org/10.1007/3-540-33161-1" TargetMode="External" /><Relationship Type="http://schemas.openxmlformats.org/officeDocument/2006/relationships/hyperlink" Id="rId193" Target="https://doi.org/10.1007/s10661-007-9822-z" TargetMode="External" /><Relationship Type="http://schemas.openxmlformats.org/officeDocument/2006/relationships/hyperlink" Id="rId154" Target="https://doi.org/10.1007/s11356-020-09249-3" TargetMode="External" /><Relationship Type="http://schemas.openxmlformats.org/officeDocument/2006/relationships/hyperlink" Id="rId191" Target="https://doi.org/10.1007/s11368-015-1134-2" TargetMode="External" /><Relationship Type="http://schemas.openxmlformats.org/officeDocument/2006/relationships/hyperlink" Id="rId82" Target="https://doi.org/10.1007/s11368-020-02755-4" TargetMode="External" /><Relationship Type="http://schemas.openxmlformats.org/officeDocument/2006/relationships/hyperlink" Id="rId103" Target="https://doi.org/10.1007/s11368-022-03203-1" TargetMode="External" /><Relationship Type="http://schemas.openxmlformats.org/officeDocument/2006/relationships/hyperlink" Id="rId134" Target="https://doi.org/10.1007/s11368-024-03805-x" TargetMode="External" /><Relationship Type="http://schemas.openxmlformats.org/officeDocument/2006/relationships/hyperlink" Id="rId141" Target="https://doi.org/10.1007/s11629-013-2427-9" TargetMode="External" /><Relationship Type="http://schemas.openxmlformats.org/officeDocument/2006/relationships/hyperlink" Id="rId168" Target="https://doi.org/10.1007/s42729-023-01470-6" TargetMode="External" /><Relationship Type="http://schemas.openxmlformats.org/officeDocument/2006/relationships/hyperlink" Id="rId86" Target="https://doi.org/10.1016/S0341-8162(96)00064-1" TargetMode="External" /><Relationship Type="http://schemas.openxmlformats.org/officeDocument/2006/relationships/hyperlink" Id="rId174" Target="https://doi.org/10.1016/S1002-0160(21)60019-X" TargetMode="External" /><Relationship Type="http://schemas.openxmlformats.org/officeDocument/2006/relationships/hyperlink" Id="rId145" Target="https://doi.org/10.1016/j.cageo.2005.12.009" TargetMode="External" /><Relationship Type="http://schemas.openxmlformats.org/officeDocument/2006/relationships/hyperlink" Id="rId181" Target="https://doi.org/10.1016/j.catena.2012.01.010" TargetMode="External" /><Relationship Type="http://schemas.openxmlformats.org/officeDocument/2006/relationships/hyperlink" Id="rId158" Target="https://doi.org/10.1016/j.catena.2017.12.019" TargetMode="External" /><Relationship Type="http://schemas.openxmlformats.org/officeDocument/2006/relationships/hyperlink" Id="rId118" Target="https://doi.org/10.1016/j.earscirev.2013.05.009" TargetMode="External" /><Relationship Type="http://schemas.openxmlformats.org/officeDocument/2006/relationships/hyperlink" Id="rId76" Target="https://doi.org/10.1016/j.geoderma.2003.12.004" TargetMode="External" /><Relationship Type="http://schemas.openxmlformats.org/officeDocument/2006/relationships/hyperlink" Id="rId187" Target="https://doi.org/10.1016/j.geoderma.2009.01.025" TargetMode="External" /><Relationship Type="http://schemas.openxmlformats.org/officeDocument/2006/relationships/hyperlink" Id="rId195" Target="https://doi.org/10.1016/j.geoderma.2011.07.012" TargetMode="External" /><Relationship Type="http://schemas.openxmlformats.org/officeDocument/2006/relationships/hyperlink" Id="rId151" Target="https://doi.org/10.1016/j.geoderma.2012.06.006" TargetMode="External" /><Relationship Type="http://schemas.openxmlformats.org/officeDocument/2006/relationships/hyperlink" Id="rId164" Target="https://doi.org/10.1016/j.geoderma.2016.03.019" TargetMode="External" /><Relationship Type="http://schemas.openxmlformats.org/officeDocument/2006/relationships/hyperlink" Id="rId126" Target="https://doi.org/10.1016/j.geoderma.2017.12.022" TargetMode="External" /><Relationship Type="http://schemas.openxmlformats.org/officeDocument/2006/relationships/hyperlink" Id="rId84" Target="https://doi.org/10.1016/j.geoderma.2018.07.019" TargetMode="External" /><Relationship Type="http://schemas.openxmlformats.org/officeDocument/2006/relationships/hyperlink" Id="rId136" Target="https://doi.org/10.1016/j.geoderma.2020.114366" TargetMode="External" /><Relationship Type="http://schemas.openxmlformats.org/officeDocument/2006/relationships/hyperlink" Id="rId143" Target="https://doi.org/10.1016/j.geoderma.2021.115638" TargetMode="External" /><Relationship Type="http://schemas.openxmlformats.org/officeDocument/2006/relationships/hyperlink" Id="rId139" Target="https://doi.org/10.1016/j.geodrs.2020.e00289" TargetMode="External" /><Relationship Type="http://schemas.openxmlformats.org/officeDocument/2006/relationships/hyperlink" Id="rId130" Target="https://doi.org/10.1016/j.geodrs.2024.e00863" TargetMode="External" /><Relationship Type="http://schemas.openxmlformats.org/officeDocument/2006/relationships/hyperlink" Id="rId197" Target="https://doi.org/10.1016/j.geodrs.2024.e00874" TargetMode="External" /><Relationship Type="http://schemas.openxmlformats.org/officeDocument/2006/relationships/hyperlink" Id="rId96" Target="https://doi.org/10.1016/j.jenvman.2016.05.066" TargetMode="External" /><Relationship Type="http://schemas.openxmlformats.org/officeDocument/2006/relationships/hyperlink" Id="rId132" Target="https://doi.org/10.1016/j.jsames.2023.104510" TargetMode="External" /><Relationship Type="http://schemas.openxmlformats.org/officeDocument/2006/relationships/hyperlink" Id="rId94" Target="https://doi.org/10.1016/j.scitotenv.2010.08.004" TargetMode="External" /><Relationship Type="http://schemas.openxmlformats.org/officeDocument/2006/relationships/hyperlink" Id="rId183" Target="https://doi.org/10.1016/j.still.2017.01.006" TargetMode="External" /><Relationship Type="http://schemas.openxmlformats.org/officeDocument/2006/relationships/hyperlink" Id="rId92" Target="https://doi.org/10.1017/CBO9780511802843" TargetMode="External" /><Relationship Type="http://schemas.openxmlformats.org/officeDocument/2006/relationships/hyperlink" Id="rId72" Target="https://doi.org/10.1038/sdata.2018.214" TargetMode="External" /><Relationship Type="http://schemas.openxmlformats.org/officeDocument/2006/relationships/hyperlink" Id="rId160" Target="https://doi.org/10.1080/00288233.2018.1426616" TargetMode="External" /><Relationship Type="http://schemas.openxmlformats.org/officeDocument/2006/relationships/hyperlink" Id="rId74" Target="https://doi.org/10.1080/07011784.2018.1451781" TargetMode="External" /><Relationship Type="http://schemas.openxmlformats.org/officeDocument/2006/relationships/hyperlink" Id="rId177" Target="https://doi.org/10.1089/ees.2011.0313" TargetMode="External" /><Relationship Type="http://schemas.openxmlformats.org/officeDocument/2006/relationships/hyperlink" Id="rId149" Target="https://doi.org/10.1111/j.1600-0587.2013.00205.x" TargetMode="External" /><Relationship Type="http://schemas.openxmlformats.org/officeDocument/2006/relationships/hyperlink" Id="rId185" Target="https://doi.org/10.1111/j.1752-1688.2010.00420.x" TargetMode="External" /><Relationship Type="http://schemas.openxmlformats.org/officeDocument/2006/relationships/hyperlink" Id="rId120" Target="https://doi.org/10.1139/cjss-2017-0128" TargetMode="External" /><Relationship Type="http://schemas.openxmlformats.org/officeDocument/2006/relationships/hyperlink" Id="rId124" Target="https://doi.org/10.1186/s12859-025-06097-1" TargetMode="External" /><Relationship Type="http://schemas.openxmlformats.org/officeDocument/2006/relationships/hyperlink" Id="rId122" Target="https://doi.org/10.18637/jss.v028.i05" TargetMode="External" /><Relationship Type="http://schemas.openxmlformats.org/officeDocument/2006/relationships/hyperlink" Id="rId170" Target="https://doi.org/10.2136/sssaj1995.03615995005900030012x" TargetMode="External" /><Relationship Type="http://schemas.openxmlformats.org/officeDocument/2006/relationships/hyperlink" Id="rId90" Target="https://doi.org/10.2136/sssaj2003.1296" TargetMode="External" /><Relationship Type="http://schemas.openxmlformats.org/officeDocument/2006/relationships/hyperlink" Id="rId147" Target="https://doi.org/10.2136/sssaj2005.0062" TargetMode="External" /><Relationship Type="http://schemas.openxmlformats.org/officeDocument/2006/relationships/hyperlink" Id="rId70" Target="https://doi.org/10.2136/sssaj2013.02.0048" TargetMode="External" /><Relationship Type="http://schemas.openxmlformats.org/officeDocument/2006/relationships/hyperlink" Id="rId80" Target="https://doi.org/10.32614/CRAN.package.boot" TargetMode="External" /><Relationship Type="http://schemas.openxmlformats.org/officeDocument/2006/relationships/hyperlink" Id="rId172" Target="https://doi.org/10.4141/cjss71-036" TargetMode="External" /><Relationship Type="http://schemas.openxmlformats.org/officeDocument/2006/relationships/hyperlink" Id="rId88" Target="https://doi.org/10.5194/gmd-8-1991-2015" TargetMode="External" /><Relationship Type="http://schemas.openxmlformats.org/officeDocument/2006/relationships/hyperlink" Id="rId116" Target="https://doi.org/10.5281/zenodo.5123327" TargetMode="External" /><Relationship Type="http://schemas.openxmlformats.org/officeDocument/2006/relationships/hyperlink" Id="rId63" Target="https://github.com/alex-koiter/terrain-attributes" TargetMode="External" /><Relationship Type="http://schemas.openxmlformats.org/officeDocument/2006/relationships/hyperlink" Id="rId162" Target="https://journals.lww.com/health-physics/Abstract/1970/05000/Distribution_of_Fallout_and_Natural_Gamma.3.aspx" TargetMode="External" /><Relationship Type="http://schemas.openxmlformats.org/officeDocument/2006/relationships/hyperlink" Id="rId78" Target="https://open.canada.ca/data/en/dataset/0fe65119-e96e-4a57-8bfe-9d9245fba06b" TargetMode="External" /><Relationship Type="http://schemas.openxmlformats.org/officeDocument/2006/relationships/hyperlink" Id="rId105" Target="https://sis.agr.gc.ca/cansis/taxa/cssc3/index.html" TargetMode="External" /><Relationship Type="http://schemas.openxmlformats.org/officeDocument/2006/relationships/hyperlink" Id="rId68" Target="https://www.agisoft.com/downloads/installer/" TargetMode="External" /><Relationship Type="http://schemas.openxmlformats.org/officeDocument/2006/relationships/hyperlink" Id="rId101"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 Sediment fingerprinting</cp:keywords>
  <dcterms:created xsi:type="dcterms:W3CDTF">2026-05-13T20:18:44Z</dcterms:created>
  <dcterms:modified xsi:type="dcterms:W3CDTF">2026-05-13T20:18:44Z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2) assess how seven terrain attributes (elevation, SAGA wetness index, relative slope position, catchment area, vertical distance to channel network, plan curvature, profile curvature) relate to these properties through correlation and Random Forest (RF) regression; and 3) identify patterns the data, using unsupervised Random Forest regression and hierarchical clustering to guide stratified sampling.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where elevation, wetness, and slope position were the top predictors for most properties. These results support DEM-based sampling in less complex agricultural terrain but not in forested sites with complex terrain.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2026-05-13</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link-bibliography">
    <vt:lpwstr>True</vt:lpwstr>
  </property>
  <property fmtid="{D5CDD505-2E9C-101B-9397-08002B2CF9AE}" pid="23" name="link-citations">
    <vt:lpwstr>True</vt:lpwstr>
  </property>
  <property fmtid="{D5CDD505-2E9C-101B-9397-08002B2CF9AE}" pid="24" name="manuscript">
    <vt:lpwstr/>
  </property>
  <property fmtid="{D5CDD505-2E9C-101B-9397-08002B2CF9AE}" pid="25" name="notebook-preview-options">
    <vt:lpwstr/>
  </property>
  <property fmtid="{D5CDD505-2E9C-101B-9397-08002B2CF9AE}" pid="26" name="plain-language-summary">
    <vt:lpwstr>Spatial analysis is tricky buisness</vt:lpwstr>
  </property>
  <property fmtid="{D5CDD505-2E9C-101B-9397-08002B2CF9AE}" pid="27" name="quarto-internal">
    <vt:lpwstr/>
  </property>
  <property fmtid="{D5CDD505-2E9C-101B-9397-08002B2CF9AE}" pid="28" name="remove-hidden">
    <vt:lpwstr>all</vt:lpwstr>
  </property>
  <property fmtid="{D5CDD505-2E9C-101B-9397-08002B2CF9AE}" pid="29" name="suppplot-cap-location">
    <vt:lpwstr>bottom</vt:lpwstr>
  </property>
  <property fmtid="{D5CDD505-2E9C-101B-9397-08002B2CF9AE}" pid="30" name="supptab-cap-location">
    <vt:lpwstr>top</vt:lpwstr>
  </property>
  <property fmtid="{D5CDD505-2E9C-101B-9397-08002B2CF9AE}" pid="31" name="template-partials">
    <vt:lpwstr/>
  </property>
  <property fmtid="{D5CDD505-2E9C-101B-9397-08002B2CF9AE}" pid="32" name="theme">
    <vt:lpwstr>cosmo</vt:lpwstr>
  </property>
  <property fmtid="{D5CDD505-2E9C-101B-9397-08002B2CF9AE}" pid="33" name="title-block-style">
    <vt:lpwstr>manuscript</vt:lpwstr>
  </property>
  <property fmtid="{D5CDD505-2E9C-101B-9397-08002B2CF9AE}" pid="34" name="toc-title">
    <vt:lpwstr>Table of contents</vt:lpwstr>
  </property>
  <property fmtid="{D5CDD505-2E9C-101B-9397-08002B2CF9AE}" pid="35" name="unroll-markdown-cells">
    <vt:lpwstr>True</vt:lpwstr>
  </property>
</Properties>
</file>