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6.png" ContentType="image/png"/>
  <Override PartName="/word/media/rId210.png" ContentType="image/png"/>
  <Override PartName="/word/media/rId214.png" ContentType="image/png"/>
  <Override PartName="/word/media/rId42.png" ContentType="image/png"/>
  <Override PartName="/word/media/rId47.png" ContentType="image/png"/>
  <Override PartName="/word/media/rId11.png" ContentType="image/png"/>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Investigation of Spatial Variability of Sediment Fingerprinting Properties in Relation to Terrain Attributes in Two Field Sites in Southern Manitoba, Canada</w:t>
      </w:r>
    </w:p>
    <w:p>
      <w:pPr>
        <w:pStyle w:val="Author"/>
      </w:pPr>
      <w:r>
        <w:t xml:space="preserve">Maria Luna Miño</w:t>
      </w:r>
    </w:p>
    <w:p>
      <w:pPr>
        <w:pStyle w:val="Author"/>
      </w:pPr>
      <w:r>
        <w:t xml:space="preserve">Alexander J Koiter</w:t>
      </w:r>
    </w:p>
    <w:p>
      <w:pPr>
        <w:pStyle w:val="Author"/>
      </w:pPr>
      <w:r>
        <w:t xml:space="preserve">Taras E Lychuk</w:t>
      </w:r>
    </w:p>
    <w:p>
      <w:pPr>
        <w:pStyle w:val="Author"/>
      </w:pPr>
      <w:r>
        <w:t xml:space="preserve">Arnie Waddel</w:t>
      </w:r>
    </w:p>
    <w:p>
      <w:pPr>
        <w:pStyle w:val="Author"/>
      </w:pPr>
      <w:r>
        <w:t xml:space="preserve">Alan Moulin</w:t>
      </w:r>
    </w:p>
    <w:p>
      <w:pPr>
        <w:pStyle w:val="AbstractTitle"/>
      </w:pPr>
      <w:r>
        <w:t xml:space="preserve">Abstract</w:t>
      </w:r>
    </w:p>
    <w:p>
      <w:pPr>
        <w:pStyle w:val="Abstract"/>
      </w:pPr>
      <w:r>
        <w:t xml:space="preserve">Sediment source fingerprinting depends on representative sampling of source materials, yet the field-scale spatial variability of the geochemical and spectral properties commonly used as fingerprints remains poorly quantified. This case study assessed the spatial patterns of soil fingerprint properties and their relation to terrain attributes at two contrasting ~40 ha sites located within the Wilson Creek Watershed, in southern Manitoba, Canada: an agricultural field with simple terrain (2.8 m relief) and a mixedwood forest with more complex, channel-dissected terrain (17.9 m relief). A set of 15 fingerprint properties (ten geochemical elements and five spectral colour coefficients) were measured on the &lt;63 µm fraction. Their spatial variability and spatial autocorrelation were quantified, and their relation to seven terrain attributes was assessed through correlation and Random Forest regression. Unsupervised Random Forest regression and hierarchical clustering were used to identify patterns in the data as an approach to guide stratified sampling. Such grouping is useful because stratified sampling designs require meaningful strata.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Random Forest models performed better at the agricultural site, where elevation, wetness, and slope position were the top predictors for most properties. These terrain attributes likely act as proxies for hydrological and soil-forming gradients that drive the physical and geochemical processes controlling the observed patterns in fingerprint properties. The strength of the relationship between soil properties and terrain attributes depended on terrain complexity. It was stronger in the low-relief agricultural field and weaker in the more complex forested site. This suggests that DEM-based sampling is more reliable where terrain is simple. In practice, sample spacing on the order of the semivariogram range (∼200–230 m) can suffice for mapping in simple agricultural settings, whereas stratified designs (e.g., near-stream vs. hillslope) may be preferable in more complex forested terrains. Because these relationships are specific to the two study sites, their transferability to other landscapes should be tested before the approach is applied more broadly.</w:t>
      </w:r>
    </w:p>
    <w:bookmarkStart w:id="9" w:name="abstract"/>
    <w:p>
      <w:pPr>
        <w:pStyle w:val="Heading2"/>
      </w:pPr>
      <w:r>
        <w:t xml:space="preserve">Abstract</w:t>
      </w:r>
    </w:p>
    <w:p>
      <w:pPr>
        <w:pStyle w:val="FirstParagraph"/>
      </w:pPr>
      <w:r>
        <w:t xml:space="preserve">Sediment source fingerprinting depends on representative sampling of source materials, yet the field-scale spatial variability of the geochemical and spectral properties commonly used as fingerprints remains poorly quantified. This case study assessed the spatial patterns of soil fingerprint properties and their relation to terrain attributes at two contrasting ~40 ha sites located within the Wilson Creek Watershed, in southern Manitoba, Canada: an agricultural field with simple terrain (2.8 m relief) and a mixedwood forest with more complex, channel-dissected terrain (17.9 m relief). A set of 15 fingerprint properties (ten geochemical elements and five spectral colour coefficients) were measured on the &lt;63 µm fraction. Their spatial variability and spatial autocorrelation were quantified, and their relation to seven terrain attributes was assessed through correlation and Random Forest regression. Unsupervised Random Forest regression and hierarchical clustering were used to identify patterns in the data as an approach to guide stratified sampling. Such grouping is useful because stratified sampling designs require meaningful strata.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Random Forest models performed better at the agricultural site, where elevation, wetness, and slope position were the top predictors for most properties. These terrain attributes likely act as proxies for hydrological and soil-forming gradients that drive the physical and geochemical processes controlling the observed patterns in fingerprint properties. The strength of the relationship between soil properties and terrain attributes depended on terrain complexity. It was stronger in the low-relief agricultural field and weaker in the more complex forested site. This suggests that DEM-based sampling is more reliable where terrain is simple. In practice, sample spacing on the order of the semivariogram range (∼200–230 m) can suffice for mapping in simple agricultural settings, whereas stratified designs (e.g., near-stream vs. hillslope) may be preferable in more complex forested terrains. Because these relationships are specific to the two study sites, their transferability to other landscapes should be tested before the approach is applied more broadly.</w:t>
      </w:r>
    </w:p>
    <w:bookmarkEnd w:id="9"/>
    <w:bookmarkStart w:id="10" w:name="introduction"/>
    <w:p>
      <w:pPr>
        <w:pStyle w:val="Heading2"/>
      </w:pPr>
      <w:r>
        <w:t xml:space="preserve">1 Introduction</w:t>
      </w:r>
    </w:p>
    <w:p>
      <w:pPr>
        <w:pStyle w:val="FirstParagraph"/>
      </w:pPr>
      <w:r>
        <w:t xml:space="preserve">Spatial variation in soil properties arises from soil-forming factors (parent material, relief, biota, climate, time) and is further modified by land use and management practices. Designing a sampling strategy that adequately characterizes the patterns and drivers of this variation is an important component of many agricultural and environmental studies</w:t>
      </w:r>
      <w:r>
        <w:t xml:space="preserve"> </w:t>
      </w:r>
      <w:r>
        <w:t xml:space="preserve">(</w:t>
      </w:r>
      <w:hyperlink w:anchor="ref-lark2018">
        <w:r>
          <w:rPr>
            <w:rStyle w:val="InternetLink"/>
          </w:rPr>
          <w:t xml:space="preserve">Lark and Marchant, 2018</w:t>
        </w:r>
      </w:hyperlink>
      <w:r>
        <w:t xml:space="preserve">;</w:t>
      </w:r>
      <w:r>
        <w:t xml:space="preserve"> </w:t>
      </w:r>
      <w:hyperlink w:anchor="ref-soligo2023">
        <w:r>
          <w:rPr>
            <w:rStyle w:val="InternetLink"/>
          </w:rPr>
          <w:t xml:space="preserve">Soligo et al., 2023</w:t>
        </w:r>
      </w:hyperlink>
      <w:r>
        <w:t xml:space="preserve">)</w:t>
      </w:r>
      <w:r>
        <w:t xml:space="preserve">. For example, to meet the desired level of precision for agronomic and environmental nutrient management plans the spatial variability in soil nutrients will influence the soil sampling design in terms of number and locations of soil samples</w:t>
      </w:r>
      <w:r>
        <w:t xml:space="preserve"> </w:t>
      </w:r>
      <w:r>
        <w:t xml:space="preserve">(</w:t>
      </w:r>
      <w:hyperlink w:anchor="ref-kariuki2009">
        <w:r>
          <w:rPr>
            <w:rStyle w:val="InternetLink"/>
          </w:rPr>
          <w:t xml:space="preserve">Kariuki et al., 2009</w:t>
        </w:r>
      </w:hyperlink>
      <w:r>
        <w:t xml:space="preserve">;</w:t>
      </w:r>
      <w:r>
        <w:t xml:space="preserve"> </w:t>
      </w:r>
      <w:hyperlink w:anchor="ref-starr1995">
        <w:r>
          <w:rPr>
            <w:rStyle w:val="InternetLink"/>
          </w:rPr>
          <w:t xml:space="preserve">Starr et al., 1995</w:t>
        </w:r>
      </w:hyperlink>
      <w:r>
        <w:t xml:space="preserve">)</w:t>
      </w:r>
      <w:r>
        <w:t xml:space="preserve">. Similarly, accounting for spatial variability extends to sediment source fingerprinting, as unaccounted spatial heterogeneity within sources of sediment can compromise the source apportionment results</w:t>
      </w:r>
      <w:r>
        <w:t xml:space="preserve"> </w:t>
      </w:r>
      <w:r>
        <w:t xml:space="preserve">(</w:t>
      </w:r>
      <w:hyperlink w:anchor="ref-du2017">
        <w:r>
          <w:rPr>
            <w:rStyle w:val="InternetLink"/>
          </w:rPr>
          <w:t xml:space="preserve">Du and Walling, 2017</w:t>
        </w:r>
      </w:hyperlink>
      <w:r>
        <w:t xml:space="preserve">)</w:t>
      </w:r>
      <w:r>
        <w:t xml:space="preserve">.</w:t>
      </w:r>
    </w:p>
    <w:p>
      <w:pPr>
        <w:pStyle w:val="TextBody"/>
      </w:pPr>
      <w:r>
        <w:t xml:space="preserve">Sediment source fingerprinting is a watershed-scale technique that is used to quantify the relative proportions of sediment derived from unique sources. This technique uses naturally occurring biogeochemical properties as fingerprints (i.e., tracers) to link potential sources of sediment to downstream sediment. Investigating the spatial variability at a watershed-scale can be advantageous to identify, classify, and distinguish between potential sources of sediment</w:t>
      </w:r>
      <w:r>
        <w:t xml:space="preserve"> </w:t>
      </w:r>
      <w:r>
        <w:t xml:space="preserve">(</w:t>
      </w:r>
      <w:hyperlink w:anchor="ref-collins2020">
        <w:r>
          <w:rPr>
            <w:rStyle w:val="InternetLink"/>
          </w:rPr>
          <w:t xml:space="preserve">Collins et al., 2020</w:t>
        </w:r>
      </w:hyperlink>
      <w:r>
        <w:t xml:space="preserve">)</w:t>
      </w:r>
      <w:r>
        <w:t xml:space="preserve">. However, investigating spatial variability at smaller scales is less common</w:t>
      </w:r>
      <w:r>
        <w:t xml:space="preserve"> </w:t>
      </w:r>
      <w:r>
        <w:t xml:space="preserve">(</w:t>
      </w:r>
      <w:hyperlink w:anchor="ref-collins2019">
        <w:r>
          <w:rPr>
            <w:rStyle w:val="InternetLink"/>
          </w:rPr>
          <w:t xml:space="preserve">Collins et al., 2019</w:t>
        </w:r>
      </w:hyperlink>
      <w:r>
        <w:t xml:space="preserve">;</w:t>
      </w:r>
      <w:r>
        <w:t xml:space="preserve"> </w:t>
      </w:r>
      <w:hyperlink w:anchor="ref-du2017">
        <w:r>
          <w:rPr>
            <w:rStyle w:val="InternetLink"/>
          </w:rPr>
          <w:t xml:space="preserve">Du and Walling, 2017</w:t>
        </w:r>
      </w:hyperlink>
      <w:r>
        <w:t xml:space="preserve">;</w:t>
      </w:r>
      <w:r>
        <w:t xml:space="preserve"> </w:t>
      </w:r>
      <w:hyperlink w:anchor="ref-lunamiño2024">
        <w:r>
          <w:rPr>
            <w:rStyle w:val="InternetLink"/>
          </w:rPr>
          <w:t xml:space="preserve">Luna Miño et al., 2024</w:t>
        </w:r>
      </w:hyperlink>
      <w:r>
        <w:t xml:space="preserve">;</w:t>
      </w:r>
      <w:r>
        <w:t xml:space="preserve"> </w:t>
      </w:r>
      <w:hyperlink w:anchor="ref-pulley2018">
        <w:r>
          <w:rPr>
            <w:rStyle w:val="InternetLink"/>
          </w:rPr>
          <w:t xml:space="preserve">Pulley et al., 2018</w:t>
        </w:r>
      </w:hyperlink>
      <w:r>
        <w:t xml:space="preserve">)</w:t>
      </w:r>
      <w:r>
        <w:t xml:space="preserve"> </w:t>
      </w:r>
      <w:r>
        <w:t xml:space="preserve">and remains a research priority</w:t>
      </w:r>
      <w:r>
        <w:t xml:space="preserve"> </w:t>
      </w:r>
      <w:r>
        <w:t xml:space="preserve">(</w:t>
      </w:r>
      <w:hyperlink w:anchor="ref-collins2020">
        <w:r>
          <w:rPr>
            <w:rStyle w:val="InternetLink"/>
          </w:rPr>
          <w:t xml:space="preserve">Collins et al., 2020</w:t>
        </w:r>
      </w:hyperlink>
      <w:r>
        <w:t xml:space="preserve">)</w:t>
      </w:r>
      <w:r>
        <w:t xml:space="preserve">. Within the sediment source fingerprinting approach field-scale (&lt;1 km²) variability is important for (i) designing efficient, representative source sampling, (ii) integrating spatial variability with erosion/delivery gradients for mixing models, and (iii) selecting fingerprints supported by process-based reasoning. Previous work has highlighted spatial variability issues and the need for more robust, process-informed fingerprint selection and sampling strategies</w:t>
      </w:r>
      <w:r>
        <w:t xml:space="preserve"> </w:t>
      </w:r>
      <w:r>
        <w:t xml:space="preserve">(</w:t>
      </w:r>
      <w:hyperlink w:anchor="ref-du2017">
        <w:r>
          <w:rPr>
            <w:rStyle w:val="InternetLink"/>
          </w:rPr>
          <w:t xml:space="preserve">Du and Walling, 2017</w:t>
        </w:r>
      </w:hyperlink>
      <w:r>
        <w:t xml:space="preserve">;</w:t>
      </w:r>
      <w:r>
        <w:t xml:space="preserve"> </w:t>
      </w:r>
      <w:hyperlink w:anchor="ref-koiter2013">
        <w:r>
          <w:rPr>
            <w:rStyle w:val="InternetLink"/>
          </w:rPr>
          <w:t xml:space="preserve">Koiter et al., 2013</w:t>
        </w:r>
      </w:hyperlink>
      <w:r>
        <w:t xml:space="preserve">;</w:t>
      </w:r>
      <w:r>
        <w:t xml:space="preserve"> </w:t>
      </w:r>
      <w:hyperlink w:anchor="ref-pulley2017">
        <w:r>
          <w:rPr>
            <w:rStyle w:val="InternetLink"/>
          </w:rPr>
          <w:t xml:space="preserve">Pulley et al., 2017</w:t>
        </w:r>
      </w:hyperlink>
      <w:r>
        <w:t xml:space="preserve">;</w:t>
      </w:r>
      <w:r>
        <w:t xml:space="preserve"> </w:t>
      </w:r>
      <w:hyperlink w:anchor="ref-wilkinson2015">
        <w:r>
          <w:rPr>
            <w:rStyle w:val="InternetLink"/>
          </w:rPr>
          <w:t xml:space="preserve">Wilkinson et al., 2015</w:t>
        </w:r>
      </w:hyperlink>
      <w:r>
        <w:t xml:space="preserve">)</w:t>
      </w:r>
      <w:r>
        <w:t xml:space="preserve">.</w:t>
      </w:r>
    </w:p>
    <w:p>
      <w:pPr>
        <w:pStyle w:val="TextBody"/>
      </w:pPr>
      <w:r>
        <w:t xml:space="preserve">Characterization of fingerprint properties for each potential source of sediment requires that samples collected are representative of the source material being delivered to the stream network. Achieving this is difficult because variability in some properties is not random but follows systematic spatial patterns across the landscape. For example, the pattern of fallout radionuclides will reflect the long-term patterns of soil erosion and deposition</w:t>
      </w:r>
      <w:r>
        <w:t xml:space="preserve"> </w:t>
      </w:r>
      <w:r>
        <w:t xml:space="preserve">(</w:t>
      </w:r>
      <w:hyperlink w:anchor="ref-wilkinson2015">
        <w:r>
          <w:rPr>
            <w:rStyle w:val="InternetLink"/>
          </w:rPr>
          <w:t xml:space="preserve">Wilkinson et al., 2015</w:t>
        </w:r>
      </w:hyperlink>
      <w:r>
        <w:t xml:space="preserve">)</w:t>
      </w:r>
      <w:r>
        <w:t xml:space="preserve">. Designing and implementing source sampling campaigns must consider these patterns, as the sampling design used has been shown to influence the characterization of a wide range of commonly used fingerprints</w:t>
      </w:r>
      <w:r>
        <w:t xml:space="preserve"> </w:t>
      </w:r>
      <w:r>
        <w:t xml:space="preserve">(</w:t>
      </w:r>
      <w:hyperlink w:anchor="ref-derakhshan-babaei2024">
        <w:r>
          <w:rPr>
            <w:rStyle w:val="InternetLink"/>
          </w:rPr>
          <w:t xml:space="preserve">Derakhshan-Babaei et al., 2024</w:t>
        </w:r>
      </w:hyperlink>
      <w:r>
        <w:t xml:space="preserve">;</w:t>
      </w:r>
      <w:r>
        <w:t xml:space="preserve"> </w:t>
      </w:r>
      <w:hyperlink w:anchor="ref-du2017">
        <w:r>
          <w:rPr>
            <w:rStyle w:val="InternetLink"/>
          </w:rPr>
          <w:t xml:space="preserve">Du and Walling, 2017</w:t>
        </w:r>
      </w:hyperlink>
      <w:r>
        <w:t xml:space="preserve">;</w:t>
      </w:r>
      <w:r>
        <w:t xml:space="preserve"> </w:t>
      </w:r>
      <w:hyperlink w:anchor="ref-lunamiño2024">
        <w:r>
          <w:rPr>
            <w:rStyle w:val="InternetLink"/>
          </w:rPr>
          <w:t xml:space="preserve">Luna Miño et al., 2024</w:t>
        </w:r>
      </w:hyperlink>
      <w:r>
        <w:t xml:space="preserve">)</w:t>
      </w:r>
      <w:r>
        <w:t xml:space="preserve">. Representativeness is not a property of the sampling design alone, since the same design may be adequate in one landscape and inadequate in another. It is a property of the fit between the design and the spatial variability of the landscape. Representative sampling requires that the source area boundaries and an acceptable margin of error be defined in relation to the study’s scope and objectives. It then requires that the sampling design, including spacing and stratification, match the variability of the landscape. The lack of standardization in sediment source sampling designs makes it difficult to compare results across studies and creates uncertainties in the interpretation of results</w:t>
      </w:r>
      <w:r>
        <w:t xml:space="preserve"> </w:t>
      </w:r>
      <w:r>
        <w:t xml:space="preserve">(</w:t>
      </w:r>
      <w:hyperlink w:anchor="ref-lunamiño2024">
        <w:r>
          <w:rPr>
            <w:rStyle w:val="InternetLink"/>
          </w:rPr>
          <w:t xml:space="preserve">Luna Miño et al., 2024</w:t>
        </w:r>
      </w:hyperlink>
      <w:r>
        <w:t xml:space="preserve">)</w:t>
      </w:r>
      <w:r>
        <w:t xml:space="preserve">.</w:t>
      </w:r>
    </w:p>
    <w:p>
      <w:pPr>
        <w:pStyle w:val="TextBody"/>
      </w:pPr>
      <w:r>
        <w:t xml:space="preserve">Characterization of sources is further complicated by variations in erosion and sediment delivery rates across the landscape. Many mixing models use inputs (sources) and outputs (sediment) characterized by mean and standard deviation and assume the source is spatially homogeneous. However, samples that are collected closer to, and more hydrologically connected with, the stream network may contributed a disproportionate amount of the sediment. Sampling that targets connected areas may more representative of the delivered material, even where those samples deviate from the whole-source mean value</w:t>
      </w:r>
      <w:r>
        <w:t xml:space="preserve"> </w:t>
      </w:r>
      <w:r>
        <w:t xml:space="preserve">(</w:t>
      </w:r>
      <w:hyperlink w:anchor="ref-collins2020">
        <w:r>
          <w:rPr>
            <w:rStyle w:val="InternetLink"/>
          </w:rPr>
          <w:t xml:space="preserve">Collins et al., 2020</w:t>
        </w:r>
      </w:hyperlink>
      <w:r>
        <w:t xml:space="preserve">;</w:t>
      </w:r>
      <w:r>
        <w:t xml:space="preserve"> </w:t>
      </w:r>
      <w:hyperlink w:anchor="ref-du2017">
        <w:r>
          <w:rPr>
            <w:rStyle w:val="InternetLink"/>
          </w:rPr>
          <w:t xml:space="preserve">Du and Walling, 2017</w:t>
        </w:r>
      </w:hyperlink>
      <w:r>
        <w:t xml:space="preserve">)</w:t>
      </w:r>
      <w:r>
        <w:t xml:space="preserve">. Strategic/judgment sampling targeting the likely to eroded areas may improve representativeness, but it prevents an overview of the broader spatial patterns, limiting the interpretation of landscape processes across the entire source area. There has been progress using information on erosion rates to calculate an erosion rate-weighted mean</w:t>
      </w:r>
      <w:r>
        <w:t xml:space="preserve"> </w:t>
      </w:r>
      <w:r>
        <w:t xml:space="preserve">(</w:t>
      </w:r>
      <w:hyperlink w:anchor="ref-du2017">
        <w:r>
          <w:rPr>
            <w:rStyle w:val="InternetLink"/>
          </w:rPr>
          <w:t xml:space="preserve">Du and Walling, 2017</w:t>
        </w:r>
      </w:hyperlink>
      <w:r>
        <w:t xml:space="preserve">;</w:t>
      </w:r>
      <w:r>
        <w:t xml:space="preserve"> </w:t>
      </w:r>
      <w:hyperlink w:anchor="ref-wilkinson2015">
        <w:r>
          <w:rPr>
            <w:rStyle w:val="InternetLink"/>
          </w:rPr>
          <w:t xml:space="preserve">Wilkinson et al., 2015</w:t>
        </w:r>
      </w:hyperlink>
      <w:r>
        <w:t xml:space="preserve">)</w:t>
      </w:r>
      <w:r>
        <w:t xml:space="preserve"> </w:t>
      </w:r>
      <w:r>
        <w:t xml:space="preserve">and using spatially interpolated maps of fingerprint values to provide a finer resolution of the fingerprint variability within each source</w:t>
      </w:r>
      <w:r>
        <w:t xml:space="preserve"> </w:t>
      </w:r>
      <w:r>
        <w:t xml:space="preserve">(</w:t>
      </w:r>
      <w:hyperlink w:anchor="ref-haddadchi2019">
        <w:r>
          <w:rPr>
            <w:rStyle w:val="InternetLink"/>
          </w:rPr>
          <w:t xml:space="preserve">Haddadchi et al., 2019</w:t>
        </w:r>
      </w:hyperlink>
      <w:r>
        <w:t xml:space="preserve">)</w:t>
      </w:r>
      <w:r>
        <w:t xml:space="preserve">. Characterizing the geomorphic, hydrologic, and biochemical processes underlying spatial variability supports the selection of reliable fingerprints and informs sampling design for source characterization. While many studies employ a statistical-based approach</w:t>
      </w:r>
      <w:r>
        <w:t xml:space="preserve"> </w:t>
      </w:r>
      <w:r>
        <w:t xml:space="preserve">(</w:t>
      </w:r>
      <w:hyperlink w:anchor="ref-collins1997">
        <w:r>
          <w:rPr>
            <w:rStyle w:val="InternetLink"/>
          </w:rPr>
          <w:t xml:space="preserve">Collins et al., 1997</w:t>
        </w:r>
      </w:hyperlink>
      <w:r>
        <w:t xml:space="preserve">)</w:t>
      </w:r>
      <w:r>
        <w:t xml:space="preserve"> </w:t>
      </w:r>
      <w:r>
        <w:t xml:space="preserve">to select suitable fingerprints, concerns remain that this method may lead to the inclusion of false positives (i.e., type I errors), whereby a fingerprint is incorrectly identified as having discriminatory power between sources when it does not, resulting in the selection of non-conservative fingerprints</w:t>
      </w:r>
      <w:r>
        <w:t xml:space="preserve"> </w:t>
      </w:r>
      <w:r>
        <w:t xml:space="preserve">(</w:t>
      </w:r>
      <w:hyperlink w:anchor="ref-koiter2013">
        <w:r>
          <w:rPr>
            <w:rStyle w:val="InternetLink"/>
          </w:rPr>
          <w:t xml:space="preserve">Koiter et al., 2013</w:t>
        </w:r>
      </w:hyperlink>
      <w:r>
        <w:t xml:space="preserve">)</w:t>
      </w:r>
      <w:r>
        <w:t xml:space="preserve">. Consequently, there has been a call for the inclusion of a process-based (e.g., weathering, erosion) or geologic-based explanation of the fingerprints selected to address these concerns</w:t>
      </w:r>
      <w:r>
        <w:t xml:space="preserve"> </w:t>
      </w:r>
      <w:r>
        <w:t xml:space="preserve">(</w:t>
      </w:r>
      <w:hyperlink w:anchor="ref-collins2020">
        <w:r>
          <w:rPr>
            <w:rStyle w:val="InternetLink"/>
          </w:rPr>
          <w:t xml:space="preserve">Collins et al., 2020</w:t>
        </w:r>
      </w:hyperlink>
      <w:r>
        <w:t xml:space="preserve">;</w:t>
      </w:r>
      <w:r>
        <w:t xml:space="preserve"> </w:t>
      </w:r>
      <w:hyperlink w:anchor="ref-nosrati2020">
        <w:r>
          <w:rPr>
            <w:rStyle w:val="InternetLink"/>
          </w:rPr>
          <w:t xml:space="preserve">Nosrati et al., 2020</w:t>
        </w:r>
      </w:hyperlink>
      <w:r>
        <w:t xml:space="preserve">)</w:t>
      </w:r>
      <w:r>
        <w:t xml:space="preserve">. This remains challenging as routine geochemical and spectral reflectance lab analysis often provide data on more than 50 fingerprint properties, but contextual data such as parent material, mineralogy, weathering, and soil processes, which are needed to explain why a given fingerprint discriminates, are often not available or are site specific.</w:t>
      </w:r>
    </w:p>
    <w:p>
      <w:pPr>
        <w:pStyle w:val="TextBody"/>
      </w:pPr>
      <w:r>
        <w:t xml:space="preserve">The spatial patterns of some soil properties are well studied because of their agronomic importance or ability to infer other important soil properties and processes and include fallout radionuclides [e.g.,</w:t>
      </w:r>
      <w:r>
        <w:t xml:space="preserve"> </w:t>
      </w:r>
      <w:r>
        <w:rPr>
          <w:vertAlign w:val="superscript"/>
        </w:rPr>
        <w:t xml:space="preserve">137</w:t>
      </w:r>
      <w:r>
        <w:t xml:space="preserve">Cs,</w:t>
      </w:r>
      <w:r>
        <w:t xml:space="preserve"> </w:t>
      </w:r>
      <w:r>
        <w:rPr>
          <w:vertAlign w:val="superscript"/>
        </w:rPr>
        <w:t xml:space="preserve">7</w:t>
      </w:r>
      <w:r>
        <w:t xml:space="preserve">Be;</w:t>
      </w:r>
      <w:r>
        <w:t xml:space="preserve"> </w:t>
      </w:r>
      <w:r>
        <w:t xml:space="preserve">Ritchie et al. (</w:t>
      </w:r>
      <w:hyperlink w:anchor="ref-ritchie1970">
        <w:r>
          <w:rPr>
            <w:rStyle w:val="InternetLink"/>
          </w:rPr>
          <w:t xml:space="preserve">1970</w:t>
        </w:r>
      </w:hyperlink>
      <w:r>
        <w:t xml:space="preserve">)</w:t>
      </w:r>
      <w:r>
        <w:t xml:space="preserve">], plant nutrients [e.g., N, P;</w:t>
      </w:r>
      <w:r>
        <w:t xml:space="preserve"> </w:t>
      </w:r>
      <w:r>
        <w:t xml:space="preserve">Vasu et al. (</w:t>
      </w:r>
      <w:hyperlink w:anchor="ref-vasu2017">
        <w:r>
          <w:rPr>
            <w:rStyle w:val="InternetLink"/>
          </w:rPr>
          <w:t xml:space="preserve">2017</w:t>
        </w:r>
      </w:hyperlink>
      <w:r>
        <w:t xml:space="preserve">)</w:t>
      </w:r>
      <w:r>
        <w:t xml:space="preserve">], soil colour [e.g., hue, value;</w:t>
      </w:r>
      <w:r>
        <w:t xml:space="preserve"> </w:t>
      </w:r>
      <w:r>
        <w:t xml:space="preserve">Viscarra Rossel et al. (</w:t>
      </w:r>
      <w:hyperlink w:anchor="ref-viscarrarossel2006">
        <w:r>
          <w:rPr>
            <w:rStyle w:val="InternetLink"/>
          </w:rPr>
          <w:t xml:space="preserve">2006</w:t>
        </w:r>
      </w:hyperlink>
      <w:r>
        <w:t xml:space="preserve">)</w:t>
      </w:r>
      <w:r>
        <w:t xml:space="preserve">], major non-acid forming cations</w:t>
      </w:r>
      <w:r>
        <w:t xml:space="preserve"> </w:t>
      </w:r>
      <w:r>
        <w:t xml:space="preserve">(e.g., Ca, Na</w:t>
      </w:r>
      <w:r>
        <w:t xml:space="preserve"> </w:t>
      </w:r>
      <w:hyperlink w:anchor="ref-sun2021">
        <w:r>
          <w:rPr>
            <w:rStyle w:val="InternetLink"/>
          </w:rPr>
          <w:t xml:space="preserve">Sun et al., 2021</w:t>
        </w:r>
      </w:hyperlink>
      <w:r>
        <w:t xml:space="preserve">)</w:t>
      </w:r>
      <w:r>
        <w:t xml:space="preserve">. In contrast, the processes that control the distribution of commonly used fingerprints, including rare earth elements, trace metals, and other colour coefficients, are less well studied. Grid or random sampling does not account for terrain-driven patterns in soil properties. DEM-based terrain analysis is increasingly used to characterize the spatial distribution of soil properties and the geomorphic and hydrologic processes that control them</w:t>
      </w:r>
      <w:r>
        <w:t xml:space="preserve"> </w:t>
      </w:r>
      <w:r>
        <w:t xml:space="preserve">(</w:t>
      </w:r>
      <w:hyperlink w:anchor="ref-xiong2022">
        <w:r>
          <w:rPr>
            <w:rStyle w:val="InternetLink"/>
          </w:rPr>
          <w:t xml:space="preserve">Xiong et al., 2022</w:t>
        </w:r>
      </w:hyperlink>
      <w:r>
        <w:t xml:space="preserve">)</w:t>
      </w:r>
      <w:r>
        <w:t xml:space="preserve">. If the less studied soil properties, often used in fingerprinting studies, vary with terrain, DEM-derived terrain attributes can be used to develop an efficient sampling campaign. These relationships are typically complex and non-linear, involve interactions among terrain attributes, and are further complicated by collinearity between those attributes. Random Forest (RF) may provide a suitable framework as it is less sensitive to collinearity and non-normal data distributions and ranks terrain attributes by importance</w:t>
      </w:r>
      <w:r>
        <w:t xml:space="preserve"> </w:t>
      </w:r>
      <w:r>
        <w:t xml:space="preserve">(</w:t>
      </w:r>
      <w:hyperlink w:anchor="ref-hengl2018">
        <w:r>
          <w:rPr>
            <w:rStyle w:val="InternetLink"/>
          </w:rPr>
          <w:t xml:space="preserve">Hengl et al., 2018</w:t>
        </w:r>
      </w:hyperlink>
      <w:r>
        <w:t xml:space="preserve">)</w:t>
      </w:r>
      <w:r>
        <w:t xml:space="preserve">.</w:t>
      </w:r>
    </w:p>
    <w:p>
      <w:pPr>
        <w:pStyle w:val="TextBody"/>
      </w:pPr>
      <w:r>
        <w:t xml:space="preserve">Terrain attributes such as elevation, slope curvature, slope position, and soil wetness indices have been shown to be useful information in the characterization and modelling of a range of soil properties including soil moisture</w:t>
      </w:r>
      <w:r>
        <w:t xml:space="preserve"> </w:t>
      </w:r>
      <w:r>
        <w:t xml:space="preserve">(</w:t>
      </w:r>
      <w:hyperlink w:anchor="ref-beaudette2013">
        <w:r>
          <w:rPr>
            <w:rStyle w:val="InternetLink"/>
          </w:rPr>
          <w:t xml:space="preserve">Beaudette et al., 2013</w:t>
        </w:r>
      </w:hyperlink>
      <w:r>
        <w:t xml:space="preserve">)</w:t>
      </w:r>
      <w:r>
        <w:t xml:space="preserve">, texture</w:t>
      </w:r>
      <w:r>
        <w:t xml:space="preserve"> </w:t>
      </w:r>
      <w:r>
        <w:t xml:space="preserve">(</w:t>
      </w:r>
      <w:hyperlink w:anchor="ref-kokulan2018">
        <w:r>
          <w:rPr>
            <w:rStyle w:val="InternetLink"/>
          </w:rPr>
          <w:t xml:space="preserve">Kokulan et al., 2018</w:t>
        </w:r>
      </w:hyperlink>
      <w:r>
        <w:t xml:space="preserve">)</w:t>
      </w:r>
      <w:r>
        <w:t xml:space="preserve">, colour</w:t>
      </w:r>
      <w:r>
        <w:t xml:space="preserve"> </w:t>
      </w:r>
      <w:r>
        <w:t xml:space="preserve">(</w:t>
      </w:r>
      <w:hyperlink w:anchor="ref-brown2004">
        <w:r>
          <w:rPr>
            <w:rStyle w:val="InternetLink"/>
          </w:rPr>
          <w:t xml:space="preserve">Brown et al., 2004</w:t>
        </w:r>
      </w:hyperlink>
      <w:r>
        <w:t xml:space="preserve">)</w:t>
      </w:r>
      <w:r>
        <w:t xml:space="preserve">, organic matter</w:t>
      </w:r>
      <w:r>
        <w:t xml:space="preserve"> </w:t>
      </w:r>
      <w:r>
        <w:t xml:space="preserve">(</w:t>
      </w:r>
      <w:hyperlink w:anchor="ref-zhang2012">
        <w:r>
          <w:rPr>
            <w:rStyle w:val="InternetLink"/>
          </w:rPr>
          <w:t xml:space="preserve">Zhang et al., 2012</w:t>
        </w:r>
      </w:hyperlink>
      <w:r>
        <w:t xml:space="preserve">)</w:t>
      </w:r>
      <w:r>
        <w:t xml:space="preserve">, conductivity</w:t>
      </w:r>
      <w:r>
        <w:t xml:space="preserve"> </w:t>
      </w:r>
      <w:r>
        <w:t xml:space="preserve">(</w:t>
      </w:r>
      <w:hyperlink w:anchor="ref-umali2012">
        <w:r>
          <w:rPr>
            <w:rStyle w:val="InternetLink"/>
          </w:rPr>
          <w:t xml:space="preserve">Umali et al., 2012</w:t>
        </w:r>
      </w:hyperlink>
      <w:r>
        <w:t xml:space="preserve">)</w:t>
      </w:r>
      <w:r>
        <w:t xml:space="preserve">, enzyme activity</w:t>
      </w:r>
      <w:r>
        <w:t xml:space="preserve"> </w:t>
      </w:r>
      <w:r>
        <w:t xml:space="preserve">(</w:t>
      </w:r>
      <w:hyperlink w:anchor="ref-tajik2012">
        <w:r>
          <w:rPr>
            <w:rStyle w:val="InternetLink"/>
          </w:rPr>
          <w:t xml:space="preserve">Tajik et al., 2012</w:t>
        </w:r>
      </w:hyperlink>
      <w:r>
        <w:t xml:space="preserve">)</w:t>
      </w:r>
      <w:r>
        <w:t xml:space="preserve">, soil depth</w:t>
      </w:r>
      <w:r>
        <w:t xml:space="preserve"> </w:t>
      </w:r>
      <w:r>
        <w:t xml:space="preserve">(</w:t>
      </w:r>
      <w:hyperlink w:anchor="ref-mehnatkesh2013">
        <w:r>
          <w:rPr>
            <w:rStyle w:val="InternetLink"/>
          </w:rPr>
          <w:t xml:space="preserve">Mehnatkesh et al., 2013</w:t>
        </w:r>
      </w:hyperlink>
      <w:r>
        <w:t xml:space="preserve">)</w:t>
      </w:r>
      <w:r>
        <w:t xml:space="preserve">, and geochemistry</w:t>
      </w:r>
      <w:r>
        <w:t xml:space="preserve"> </w:t>
      </w:r>
      <w:r>
        <w:t xml:space="preserve">(</w:t>
      </w:r>
      <w:hyperlink w:anchor="ref-lima2023">
        <w:r>
          <w:rPr>
            <w:rStyle w:val="InternetLink"/>
          </w:rPr>
          <w:t xml:space="preserve">Lima et al., 2023</w:t>
        </w:r>
      </w:hyperlink>
      <w:r>
        <w:t xml:space="preserve">)</w:t>
      </w:r>
      <w:r>
        <w:t xml:space="preserve">. Similar techniques may provide additional insight into the pedologic and geomorphic processes that drive the observed patterns of fingerprint properties within a given source. Digital elevation models (DEMs) are more widely available through public databases and can be generated using drone imagery, whereas soil property data are more limited in availability and spatial coverage. As a result, terrain attributes derived from DEMs offer a practical and more readily available basis for guiding efficient and spatially informed soil sampling designs</w:t>
      </w:r>
      <w:r>
        <w:t xml:space="preserve"> </w:t>
      </w:r>
      <w:r>
        <w:t xml:space="preserve">(</w:t>
      </w:r>
      <w:hyperlink w:anchor="ref-degruijter2006">
        <w:r>
          <w:rPr>
            <w:rStyle w:val="InternetLink"/>
          </w:rPr>
          <w:t xml:space="preserve">Gruijter et al., 2006</w:t>
        </w:r>
      </w:hyperlink>
      <w:r>
        <w:t xml:space="preserve">;</w:t>
      </w:r>
      <w:r>
        <w:t xml:space="preserve"> </w:t>
      </w:r>
      <w:hyperlink w:anchor="ref-minasny2006">
        <w:r>
          <w:rPr>
            <w:rStyle w:val="InternetLink"/>
          </w:rPr>
          <w:t xml:space="preserve">Minasny and McBratney, 2006</w:t>
        </w:r>
      </w:hyperlink>
      <w:r>
        <w:t xml:space="preserve">)</w:t>
      </w:r>
      <w:r>
        <w:t xml:space="preserve">. These DEM-based sampling designs include conditioned Latin hypercube</w:t>
      </w:r>
      <w:r>
        <w:t xml:space="preserve"> </w:t>
      </w:r>
      <w:r>
        <w:t xml:space="preserve">(</w:t>
      </w:r>
      <w:hyperlink w:anchor="ref-minasny2006">
        <w:r>
          <w:rPr>
            <w:rStyle w:val="InternetLink"/>
          </w:rPr>
          <w:t xml:space="preserve">Minasny and McBratney, 2006</w:t>
        </w:r>
      </w:hyperlink>
      <w:r>
        <w:t xml:space="preserve">)</w:t>
      </w:r>
      <w:r>
        <w:t xml:space="preserve">, feature space coverage</w:t>
      </w:r>
      <w:r>
        <w:t xml:space="preserve"> </w:t>
      </w:r>
      <w:r>
        <w:t xml:space="preserve">(</w:t>
      </w:r>
      <w:hyperlink w:anchor="ref-ma2020">
        <w:r>
          <w:rPr>
            <w:rStyle w:val="InternetLink"/>
          </w:rPr>
          <w:t xml:space="preserve">Ma et al., 2020</w:t>
        </w:r>
      </w:hyperlink>
      <w:r>
        <w:t xml:space="preserve">)</w:t>
      </w:r>
      <w:r>
        <w:t xml:space="preserve">, and covariate-wise</w:t>
      </w:r>
      <w:r>
        <w:t xml:space="preserve"> </w:t>
      </w:r>
      <w:r>
        <w:t xml:space="preserve">(</w:t>
      </w:r>
      <w:hyperlink w:anchor="ref-zízala2024">
        <w:r>
          <w:rPr>
            <w:rStyle w:val="InternetLink"/>
          </w:rPr>
          <w:t xml:space="preserve">Žížala et al., 2024</w:t>
        </w:r>
      </w:hyperlink>
      <w:r>
        <w:t xml:space="preserve">)</w:t>
      </w:r>
      <w:r>
        <w:t xml:space="preserve"> </w:t>
      </w:r>
      <w:r>
        <w:t xml:space="preserve">sampling methods.</w:t>
      </w:r>
    </w:p>
    <w:p>
      <w:pPr>
        <w:pStyle w:val="TextBody"/>
      </w:pPr>
      <w:r>
        <w:t xml:space="preserve">This study builds on the previous work of Luna Miño</w:t>
      </w:r>
      <w:r>
        <w:t xml:space="preserve"> </w:t>
      </w:r>
      <w:r>
        <w:t xml:space="preserve">(</w:t>
      </w:r>
      <w:hyperlink w:anchor="ref-lunamiño2024">
        <w:r>
          <w:rPr>
            <w:rStyle w:val="InternetLink"/>
          </w:rPr>
          <w:t xml:space="preserve">2024</w:t>
        </w:r>
      </w:hyperlink>
      <w:r>
        <w:t xml:space="preserve">)</w:t>
      </w:r>
      <w:r>
        <w:t xml:space="preserve"> </w:t>
      </w:r>
      <w:r>
        <w:t xml:space="preserve">where the impact of three different sampling designs on the characterization of source materials, within the framework of the sediment fingerprinting approach, was assessed. Although the designs produced numerically different results, they led to the same overall conclusions. This study expands upon that previous work by using data obtained from a grid sampling approach to assess spatial autocorrelation and identify important terrain attributes driving the observed patterns. The overall goal of this research is to apply DEM-derived terrain attributes and a non-parametric importance ranking to guide the sampling process. The objectives of this study were to: (1) quantify the spatial variability and spatial dependence of 15 fingerprint-relevant soil properties across an agricultural and forested field site; (2) test the relation between these soil properties and seven terrain attributes, using correlation and RF regression to identify terrain controls and their relative importance; and (3) identify landscape units for stratified sampling by using unsupervised RF and hierarchical clustering, which cluster locations by terrain similarity without predefined number of groupings and is consistent with the previous objective. Together, these objectives address how terrain attributes may be used to understand spatial distributions of soil properties and help guide sampling design.</w:t>
      </w:r>
    </w:p>
    <w:bookmarkEnd w:id="10"/>
    <w:bookmarkStart w:id="20" w:name="methods"/>
    <w:p>
      <w:pPr>
        <w:pStyle w:val="Heading2"/>
      </w:pPr>
      <w:r>
        <w:t xml:space="preserve">2 Methods</w:t>
      </w:r>
    </w:p>
    <w:bookmarkStart w:id="16" w:name="site-description"/>
    <w:p>
      <w:pPr>
        <w:pStyle w:val="Heading3"/>
      </w:pPr>
      <w:r>
        <w:t xml:space="preserve">2.1 Site description</w:t>
      </w:r>
    </w:p>
    <w:p>
      <w:pPr>
        <w:pStyle w:val="FirstParagraph"/>
      </w:pPr>
      <w:r>
        <w:t xml:space="preserve">Two sites within ~4 km of each other in the Wilson Creek Watershed (WCW), near McCreary, Manitoba, Canada were sampled (</w:t>
      </w:r>
      <w:hyperlink w:anchor="fig-location_map">
        <w:r>
          <w:rPr>
            <w:rStyle w:val="InternetLink"/>
          </w:rPr>
          <w:t xml:space="preserve">Figure 1</w:t>
        </w:r>
      </w:hyperlink>
      <w:r>
        <w:t xml:space="preserve">). The mixedwood forest site (50°43’35”N, 99°33’36”W; 369.2 masl) in Riding Mountain National Park consists of white spruce (</w:t>
      </w:r>
      <w:r>
        <w:rPr>
          <w:i/>
          <w:iCs/>
        </w:rPr>
        <w:t xml:space="preserve">Picea glauca</w:t>
      </w:r>
      <w:r>
        <w:t xml:space="preserve">), black spruce (</w:t>
      </w:r>
      <w:r>
        <w:rPr>
          <w:i/>
          <w:iCs/>
        </w:rPr>
        <w:t xml:space="preserve">Picea mariana</w:t>
      </w:r>
      <w:r>
        <w:t xml:space="preserve">), balsam fir (</w:t>
      </w:r>
      <w:r>
        <w:rPr>
          <w:i/>
          <w:iCs/>
        </w:rPr>
        <w:t xml:space="preserve">Abies balsamea</w:t>
      </w:r>
      <w:r>
        <w:t xml:space="preserve">), larch (</w:t>
      </w:r>
      <w:r>
        <w:rPr>
          <w:i/>
          <w:iCs/>
        </w:rPr>
        <w:t xml:space="preserve">Larix laricina</w:t>
      </w:r>
      <w:r>
        <w:t xml:space="preserve">), and trembling aspen (</w:t>
      </w:r>
      <w:r>
        <w:rPr>
          <w:i/>
          <w:iCs/>
        </w:rPr>
        <w:t xml:space="preserve">Populus tremuloides</w:t>
      </w:r>
      <w:r>
        <w:t xml:space="preserve">), with soils likely part of the Grey Wooded soil association (Luvisol) developed on boulder till of mostly shale with some limestone and granitic rocks</w:t>
      </w:r>
      <w:r>
        <w:t xml:space="preserve"> </w:t>
      </w:r>
      <w:r>
        <w:t xml:space="preserve">(</w:t>
      </w:r>
      <w:hyperlink w:anchor="ref-ehrlich1958">
        <w:r>
          <w:rPr>
            <w:rStyle w:val="InternetLink"/>
          </w:rPr>
          <w:t xml:space="preserve">Ehrlich et al., 1958</w:t>
        </w:r>
      </w:hyperlink>
      <w:r>
        <w:t xml:space="preserve">)</w:t>
      </w:r>
      <w:r>
        <w:t xml:space="preserve">. This site has a local relief of 17.9 m and moderately complex terrain, dissected by Wilson Creek, a meandering stream with a gradient of approximately 0.6 %, featuring a small floodplain 5 to 25 m wide and adjacent upland areas (</w:t>
      </w:r>
      <w:hyperlink w:anchor="fig-location_map">
        <w:r>
          <w:rPr>
            <w:rStyle w:val="InternetLink"/>
          </w:rPr>
          <w:t xml:space="preserve">Figure 1</w:t>
        </w:r>
      </w:hyperlink>
      <w:r>
        <w:t xml:space="preserve">). The agricultural site (50°45’15”N, 99°30’49”W; 309.9 masl) includes grain and forage rotations and is mapped to the Edwards Soil Series (Cumulic Regosol) with silty clay loam to silty clay soils developed on alluvial deposits</w:t>
      </w:r>
      <w:r>
        <w:t xml:space="preserve"> </w:t>
      </w:r>
      <w:r>
        <w:t xml:space="preserve">(</w:t>
      </w:r>
      <w:hyperlink w:anchor="ref-ehrlich1958">
        <w:r>
          <w:rPr>
            <w:rStyle w:val="InternetLink"/>
          </w:rPr>
          <w:t xml:space="preserve">Ehrlich et al., 1958</w:t>
        </w:r>
      </w:hyperlink>
      <w:r>
        <w:t xml:space="preserve">)</w:t>
      </w:r>
      <w:r>
        <w:t xml:space="preserve">. The site has relatively simple terrain with a local relief of 2.8 m and drains toward the northeast corner of the field, where Wilson Creek runs along the northern edge as a straight, engineered channel (</w:t>
      </w:r>
      <w:hyperlink w:anchor="fig-location_map">
        <w:r>
          <w:rPr>
            <w:rStyle w:val="InternetLink"/>
          </w:rPr>
          <w:t xml:space="preserve">Figure 1</w:t>
        </w:r>
      </w:hyperlink>
      <w:r>
        <w:t xml:space="preserve">). The region has a Dfb climate</w:t>
      </w:r>
      <w:r>
        <w:t xml:space="preserve"> </w:t>
      </w:r>
      <w:r>
        <w:t xml:space="preserve">(</w:t>
      </w:r>
      <w:hyperlink w:anchor="ref-beck2018">
        <w:r>
          <w:rPr>
            <w:rStyle w:val="InternetLink"/>
          </w:rPr>
          <w:t xml:space="preserve">Beck et al., 2018</w:t>
        </w:r>
      </w:hyperlink>
      <w:r>
        <w:t xml:space="preserve">)</w:t>
      </w:r>
      <w:r>
        <w:t xml:space="preserve">, with a mean annual temperature of 3.0°C, annual precipitation of 539 mm (~27% as snow)</w:t>
      </w:r>
      <w:r>
        <w:t xml:space="preserve"> </w:t>
      </w:r>
      <w:r>
        <w:t xml:space="preserve">(</w:t>
      </w:r>
      <w:hyperlink w:anchor="X314a104b7afaf0862b1b73f26445508a1e6fc28">
        <w:r>
          <w:rPr>
            <w:rStyle w:val="InternetLink"/>
          </w:rPr>
          <w:t xml:space="preserve">Environment and Climate Change Canada, 2026</w:t>
        </w:r>
      </w:hyperlink>
      <w:r>
        <w:t xml:space="preserve">)</w:t>
      </w:r>
      <w:r>
        <w:t xml:space="preserve">, and snowmelt-dominated runoff, with about 80% occurring in May and June</w:t>
      </w:r>
      <w:r>
        <w:t xml:space="preserve"> </w:t>
      </w:r>
      <w:r>
        <w:t xml:space="preserve">(</w:t>
      </w:r>
      <w:hyperlink w:anchor="ref-mackay1970">
        <w:r>
          <w:rPr>
            <w:rStyle w:val="InternetLink"/>
          </w:rPr>
          <w:t xml:space="preserve">MacKay, 1970</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14" w:name="fig-location_map"/>
          <w:p>
            <w:pPr>
              <w:pStyle w:val="Compact"/>
              <w:jc w:val="center"/>
            </w:pPr>
            <w:r>
              <w:drawing>
                <wp:inline>
                  <wp:extent cx="5943600" cy="4245428"/>
                  <wp:effectExtent b="0" l="0" r="0" t="0"/>
                  <wp:docPr descr="" title="" id="12" name="Picture"/>
                  <a:graphic>
                    <a:graphicData uri="http://schemas.openxmlformats.org/drawingml/2006/picture">
                      <pic:pic>
                        <pic:nvPicPr>
                          <pic:cNvPr descr="index_files/figure-docx/notebooks-location_map-fig-location_map-output-2.png" id="13" name="Picture"/>
                          <pic:cNvPicPr>
                            <a:picLocks noChangeArrowheads="1" noChangeAspect="1"/>
                          </pic:cNvPicPr>
                        </pic:nvPicPr>
                        <pic:blipFill>
                          <a:blip r:embed="rId11"/>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Map showing the location of the study sites within Canada. b) Location of the two study sites and nearby town of McCreary and regionalland use. Local topography and soil sampling locations at the c) forested site and d) agricultural site at a spacing of approximately 100m.</w:t>
            </w:r>
          </w:p>
          <w:bookmarkEnd w:id="14"/>
        </w:tc>
      </w:tr>
    </w:tbl>
    <w:p>
      <w:pPr>
        <w:pStyle w:val="TextBody"/>
      </w:pPr>
      <w:r>
        <w:rPr>
          <w:vertAlign w:val="subscript"/>
        </w:rPr>
        <w:t xml:space="preserve">Source:</w:t>
      </w:r>
      <w:r>
        <w:rPr>
          <w:vertAlign w:val="subscript"/>
        </w:rPr>
        <w:t xml:space="preserve"> </w:t>
      </w:r>
      <w:hyperlink r:id="rId15">
        <w:r>
          <w:rPr>
            <w:rStyle w:val="InternetLink"/>
            <w:vertAlign w:val="subscript"/>
          </w:rPr>
          <w:t xml:space="preserve">Research Site Locations</w:t>
        </w:r>
      </w:hyperlink>
    </w:p>
    <w:bookmarkEnd w:id="16"/>
    <w:bookmarkStart w:id="17" w:name="soil-sampling-and-analysis"/>
    <w:p>
      <w:pPr>
        <w:pStyle w:val="Heading3"/>
      </w:pPr>
      <w:r>
        <w:t xml:space="preserve">2.2 Soil sampling and analysis</w:t>
      </w:r>
    </w:p>
    <w:p>
      <w:pPr>
        <w:pStyle w:val="FirstParagraph"/>
      </w:pPr>
      <w:r>
        <w:t xml:space="preserve">At each site, 49 surface samples were collected on a 7×7 grid (100 m spacing) (</w:t>
      </w:r>
      <w:hyperlink w:anchor="fig-location_map">
        <w:r>
          <w:rPr>
            <w:rStyle w:val="InternetLink"/>
          </w:rPr>
          <w:t xml:space="preserve">Figure 1</w:t>
        </w:r>
      </w:hyperlink>
      <w:r>
        <w:t xml:space="preserve">). Forested samples were collected at 0–5 cm below the litter to characterize the surface mineral soil, while excluding the organic layer; agricultural samples were collected at 0–15 cm to reflect the tillage-mixed surface layer. Samples were dried, homogenized, and sieved to &lt;63 μm to minimize grain-size and organic matter effects across sites and to align with established fingerprinting protocols (Laceby et al., 2017). Samples were analyzed for a broad suite of geochemical elements using aqua- regia digestion with ICP-MS (ALS Mineral Division, North Vancouver, BC, Canada). Spectral measurements were made with a spectroradiometer (ASD FieldSpecPro Malvern Panalytical Inc Westborough MA 01581, United States). Spectral reflectance measurements were taken in 1 nm increments over the 0.4-2.5 μm wavelength range. Both samples and the Spectralon standard (white reference) were illuminated with a white light source using a halogen-based lamp (12 VDC, 20 Watt). Dark-current correction and white reference were completed between samples. Fifteen colour coefficients (</w:t>
      </w:r>
      <w:hyperlink w:anchor="supptab-abbrev">
        <w:r>
          <w:rPr>
            <w:rStyle w:val="InternetLink"/>
          </w:rPr>
          <w:t xml:space="preserve">Table S1</w:t>
        </w:r>
      </w:hyperlink>
      <w:r>
        <w:t xml:space="preserve">) were computed from each sample, where each sample represents the average of 10 spectra, following published methods</w:t>
      </w:r>
      <w:r>
        <w:t xml:space="preserve"> </w:t>
      </w:r>
      <w:r>
        <w:t xml:space="preserve">(</w:t>
      </w:r>
      <w:hyperlink w:anchor="ref-boudreault2018">
        <w:r>
          <w:rPr>
            <w:rStyle w:val="InternetLink"/>
          </w:rPr>
          <w:t xml:space="preserve">Boudreault et al., 2018</w:t>
        </w:r>
      </w:hyperlink>
      <w:r>
        <w:t xml:space="preserve">;</w:t>
      </w:r>
      <w:r>
        <w:t xml:space="preserve"> </w:t>
      </w:r>
      <w:hyperlink w:anchor="ref-koiter2021">
        <w:r>
          <w:rPr>
            <w:rStyle w:val="InternetLink"/>
          </w:rPr>
          <w:t xml:space="preserve">Koiter, 2021</w:t>
        </w:r>
      </w:hyperlink>
      <w:r>
        <w:t xml:space="preserve">)</w:t>
      </w:r>
      <w:r>
        <w:t xml:space="preserve">. Based on the results of Luna Miño</w:t>
      </w:r>
      <w:r>
        <w:t xml:space="preserve"> </w:t>
      </w:r>
      <w:r>
        <w:t xml:space="preserve">(</w:t>
      </w:r>
      <w:hyperlink w:anchor="ref-lunamiño2024">
        <w:r>
          <w:rPr>
            <w:rStyle w:val="InternetLink"/>
          </w:rPr>
          <w:t xml:space="preserve">2024</w:t>
        </w:r>
      </w:hyperlink>
      <w:r>
        <w:t xml:space="preserve">)</w:t>
      </w:r>
      <w:r>
        <w:t xml:space="preserve">, a composite fingerprint consisting of 10 geochemical elements (Ca, Co, Cs, Fe, Li, La, Nb, Ni, Rb, and Sr) and five colour coefficients (</w:t>
      </w:r>
      <w:r>
        <w:rPr>
          <w:i/>
          <w:iCs/>
        </w:rPr>
        <w:t xml:space="preserve">a*, b*, c*, h*,</w:t>
      </w:r>
      <w:r>
        <w:t xml:space="preserve"> </w:t>
      </w:r>
      <w:r>
        <w:t xml:space="preserve">and</w:t>
      </w:r>
      <w:r>
        <w:t xml:space="preserve"> </w:t>
      </w:r>
      <w:r>
        <w:rPr>
          <w:i/>
          <w:iCs/>
        </w:rPr>
        <w:t xml:space="preserve">x</w:t>
      </w:r>
      <w:r>
        <w:t xml:space="preserve">) were identified as providing a strong discrimination between the agricultural and forested surface soils. A Mann-Whitney U-test (α = 0.01) was used to select fingerprint properties capable of discriminating between sources, and discriminant function analysis was then used to select the minimum number of fingerprints providing the best discrimination by removing redundant properties. These fifteen soil properties are the focus of the spatial analysis presented in this study.</w:t>
      </w:r>
    </w:p>
    <w:bookmarkEnd w:id="17"/>
    <w:bookmarkStart w:id="18" w:name="geospatial-and-terrain-analysis"/>
    <w:p>
      <w:pPr>
        <w:pStyle w:val="Heading3"/>
      </w:pPr>
      <w:r>
        <w:t xml:space="preserve">2.3 Geospatial and terrain analysis</w:t>
      </w:r>
    </w:p>
    <w:p>
      <w:pPr>
        <w:pStyle w:val="FirstParagraph"/>
      </w:pPr>
      <w:r>
        <w:t xml:space="preserve">All geostatistics were performed with ArcGIS Pro</w:t>
      </w:r>
      <w:r>
        <w:t xml:space="preserve"> </w:t>
      </w:r>
      <w:r>
        <w:t xml:space="preserve">(v 3.3.0</w:t>
      </w:r>
      <w:r>
        <w:t xml:space="preserve"> </w:t>
      </w:r>
      <w:hyperlink w:anchor="ref-esri2024">
        <w:r>
          <w:rPr>
            <w:rStyle w:val="InternetLink"/>
          </w:rPr>
          <w:t xml:space="preserve">Esri, 2024</w:t>
        </w:r>
      </w:hyperlink>
      <w:r>
        <w:t xml:space="preserve">)</w:t>
      </w:r>
      <w:r>
        <w:t xml:space="preserve">. Semivariograms were used to quantify spatial correlation for each of the 15 soil properties. The optimization tool, based on minimizing the mean square error, was used to parameterize the semivariogram model. In all cases the Stable model type was used as it offers greater flexibility in fitting the spatial correlation structure. The semivariograms were visually inspected to verify the suitability of the automated fits. Kriging was used to interpolate and generate maps of each soil property. The exploratory interpolation tool (Geostatistical Analyst extension) was used to select the kriging type with the highest ranked prediction accuracy. Cross-validation was used to assess the performance of the spatial interpolation and the measured and predicted values were plotted and the r</w:t>
      </w:r>
      <w:r>
        <w:rPr>
          <w:vertAlign w:val="superscript"/>
        </w:rPr>
        <w:t xml:space="preserve">2</w:t>
      </w:r>
      <w:r>
        <w:t xml:space="preserve"> </w:t>
      </w:r>
      <w:r>
        <w:t xml:space="preserve">was reported.</w:t>
      </w:r>
    </w:p>
    <w:p>
      <w:pPr>
        <w:pStyle w:val="TextBody"/>
      </w:pPr>
      <w:r>
        <w:t xml:space="preserve">The forested digital elevation model (DEM) was derived from Natural Resources Canada’s High-Resolution DEM Mosaic (HRDEM)</w:t>
      </w:r>
      <w:r>
        <w:t xml:space="preserve"> </w:t>
      </w:r>
      <w:r>
        <w:t xml:space="preserve">(</w:t>
      </w:r>
      <w:hyperlink w:anchor="ref-naturalresourcescanada2024">
        <w:r>
          <w:rPr>
            <w:rStyle w:val="InternetLink"/>
          </w:rPr>
          <w:t xml:space="preserve">Canada, 2024</w:t>
        </w:r>
      </w:hyperlink>
      <w:r>
        <w:t xml:space="preserve">)</w:t>
      </w:r>
      <w:r>
        <w:t xml:space="preserve"> </w:t>
      </w:r>
      <w:r>
        <w:t xml:space="preserve">distributed at a 1 m resolution, while the agricultural DEM was generated using UAV photogrammetry processed in Agisoft Metashape</w:t>
      </w:r>
      <w:r>
        <w:t xml:space="preserve"> </w:t>
      </w:r>
      <w:r>
        <w:t xml:space="preserve">(v1.8.2</w:t>
      </w:r>
      <w:r>
        <w:t xml:space="preserve"> </w:t>
      </w:r>
      <w:hyperlink w:anchor="ref-agisoft2021">
        <w:r>
          <w:rPr>
            <w:rStyle w:val="InternetLink"/>
          </w:rPr>
          <w:t xml:space="preserve">Agisoft, 2021</w:t>
        </w:r>
      </w:hyperlink>
      <w:r>
        <w:t xml:space="preserve">)</w:t>
      </w:r>
      <w:r>
        <w:t xml:space="preserve"> </w:t>
      </w:r>
      <w:r>
        <w:t xml:space="preserve">at a 0.1 m resolution, with ground control points. The two sources differ in native resolution and grid geometry. To establish a common spatial framework, each DEM was regridded to a 1 m resolution grid using ordinary kriging. The rasters were resampled to 10 m resolution</w:t>
      </w:r>
      <w:r>
        <w:t xml:space="preserve"> </w:t>
      </w:r>
      <w:r>
        <w:t xml:space="preserve">(</w:t>
      </w:r>
      <w:r>
        <w:rPr>
          <w:rStyle w:val="VerbatimChar"/>
        </w:rPr>
        <w:t xml:space="preserve">terra</w:t>
      </w:r>
      <w:r>
        <w:t xml:space="preserve">v1.8.42</w:t>
      </w:r>
      <w:r>
        <w:t xml:space="preserve"> </w:t>
      </w:r>
      <w:hyperlink w:anchor="ref-hijmans2024">
        <w:r>
          <w:rPr>
            <w:rStyle w:val="InternetLink"/>
          </w:rPr>
          <w:t xml:space="preserve">Hijmans, 2024</w:t>
        </w:r>
      </w:hyperlink>
      <w:r>
        <w:t xml:space="preserve">)</w:t>
      </w:r>
      <w:r>
        <w:t xml:space="preserve"> </w:t>
      </w:r>
      <w:r>
        <w:t xml:space="preserve">prior to statistical analysis.This second step harmonized the spatial support of the two datasets and limited the influence of their differing native resolutions on scale-dependent metrics, particularly curvature. Terrain attributes including elevation, plan and profile curvature, SAGA wetness index, catchment area, relative slope position, and vertical distance to channel network were computed in SAGA GIS</w:t>
      </w:r>
      <w:r>
        <w:t xml:space="preserve"> </w:t>
      </w:r>
      <w:r>
        <w:t xml:space="preserve">(v2.1.4</w:t>
      </w:r>
      <w:r>
        <w:t xml:space="preserve"> </w:t>
      </w:r>
      <w:hyperlink w:anchor="ref-conrad2015">
        <w:r>
          <w:rPr>
            <w:rStyle w:val="InternetLink"/>
          </w:rPr>
          <w:t xml:space="preserve">Conrad et al., 2015</w:t>
        </w:r>
      </w:hyperlink>
      <w:r>
        <w:t xml:space="preserve">)</w:t>
      </w:r>
      <w:r>
        <w:t xml:space="preserve"> </w:t>
      </w:r>
      <w:r>
        <w:t xml:space="preserve">(</w:t>
      </w:r>
      <w:hyperlink w:anchor="supptab-terrain">
        <w:r>
          <w:rPr>
            <w:rStyle w:val="InternetLink"/>
          </w:rPr>
          <w:t xml:space="preserve">Table S2</w:t>
        </w:r>
      </w:hyperlink>
      <w:r>
        <w:t xml:space="preserve">).</w:t>
      </w:r>
    </w:p>
    <w:bookmarkEnd w:id="18"/>
    <w:bookmarkStart w:id="19" w:name="data-analysis"/>
    <w:p>
      <w:pPr>
        <w:pStyle w:val="Heading3"/>
      </w:pPr>
      <w:r>
        <w:t xml:space="preserve">2.4 Data analysis</w:t>
      </w:r>
    </w:p>
    <w:p>
      <w:pPr>
        <w:pStyle w:val="FirstParagraph"/>
      </w:pPr>
      <w:r>
        <w:t xml:space="preserve">All subsequent statistical analysis was undertaken using R statistical Software v4.5.3</w:t>
      </w:r>
      <w:r>
        <w:t xml:space="preserve"> </w:t>
      </w:r>
      <w:r>
        <w:t xml:space="preserve">(</w:t>
      </w:r>
      <w:hyperlink w:anchor="ref-rcoreteam2026">
        <w:r>
          <w:rPr>
            <w:rStyle w:val="InternetLink"/>
          </w:rPr>
          <w:t xml:space="preserve">Team, 2026</w:t>
        </w:r>
      </w:hyperlink>
      <w:r>
        <w:t xml:space="preserve">)</w:t>
      </w:r>
      <w:r>
        <w:t xml:space="preserve"> </w:t>
      </w:r>
      <w:r>
        <w:t xml:space="preserve">through RStudio Integrated Development Environment v2026.04.0</w:t>
      </w:r>
      <w:r>
        <w:t xml:space="preserve"> </w:t>
      </w:r>
      <w:r>
        <w:t xml:space="preserve">(</w:t>
      </w:r>
      <w:hyperlink w:anchor="ref-rstudio2026">
        <w:r>
          <w:rPr>
            <w:rStyle w:val="InternetLink"/>
          </w:rPr>
          <w:t xml:space="preserve">RStudio, 2026</w:t>
        </w:r>
      </w:hyperlink>
      <w:r>
        <w:t xml:space="preserve">)</w:t>
      </w:r>
      <w:r>
        <w:t xml:space="preserve">). Plots and maps were created using the R package</w:t>
      </w:r>
      <w:r>
        <w:t xml:space="preserve"> </w:t>
      </w:r>
      <w:r>
        <w:rPr>
          <w:rStyle w:val="VerbatimChar"/>
        </w:rPr>
        <w:t xml:space="preserve">ggplot2</w:t>
      </w:r>
      <w:r>
        <w:t xml:space="preserve"> </w:t>
      </w:r>
      <w:r>
        <w:t xml:space="preserve">v3.5.2</w:t>
      </w:r>
      <w:r>
        <w:t xml:space="preserve"> </w:t>
      </w:r>
      <w:r>
        <w:t xml:space="preserve">(</w:t>
      </w:r>
      <w:hyperlink w:anchor="ref-wickham2016">
        <w:r>
          <w:rPr>
            <w:rStyle w:val="InternetLink"/>
          </w:rPr>
          <w:t xml:space="preserve">Wickham, 2016</w:t>
        </w:r>
      </w:hyperlink>
      <w:r>
        <w:t xml:space="preserve">)</w:t>
      </w:r>
      <w:r>
        <w:t xml:space="preserve">. Univariate summaries included coefficient of variation (CV) classes (low &lt;15%, moderate 15–35%, high 35–75%, very high &gt;75%)</w:t>
      </w:r>
      <w:r>
        <w:t xml:space="preserve"> </w:t>
      </w:r>
      <w:r>
        <w:t xml:space="preserve">(</w:t>
      </w:r>
      <w:hyperlink w:anchor="ref-pennock2008">
        <w:r>
          <w:rPr>
            <w:rStyle w:val="InternetLink"/>
          </w:rPr>
          <w:t xml:space="preserve">Pennock et al., 2008</w:t>
        </w:r>
      </w:hyperlink>
      <w:r>
        <w:t xml:space="preserve">)</w:t>
      </w:r>
      <w:r>
        <w:t xml:space="preserve"> </w:t>
      </w:r>
      <w:r>
        <w:t xml:space="preserve">and skewness categories (symmetric: −0.5 to 0.5; moderate: −1.0 to −0.5 or 0.5 to 1.0; high: &lt;−1.0 or &gt;1.0).</w:t>
      </w:r>
    </w:p>
    <w:p>
      <w:pPr>
        <w:pStyle w:val="TextBody"/>
      </w:pPr>
      <w:r>
        <w:t xml:space="preserve">Random forest regression (RF)</w:t>
      </w:r>
      <w:r>
        <w:t xml:space="preserve"> </w:t>
      </w:r>
      <w:r>
        <w:t xml:space="preserve">(</w:t>
      </w:r>
      <w:r>
        <w:rPr>
          <w:rStyle w:val="VerbatimChar"/>
        </w:rPr>
        <w:t xml:space="preserve">randomForest</w:t>
      </w:r>
      <w:r>
        <w:t xml:space="preserve"> </w:t>
      </w:r>
      <w:r>
        <w:t xml:space="preserve">v4.7.1.2</w:t>
      </w:r>
      <w:r>
        <w:t xml:space="preserve"> </w:t>
      </w:r>
      <w:hyperlink w:anchor="ref-liaw2002">
        <w:r>
          <w:rPr>
            <w:rStyle w:val="InternetLink"/>
          </w:rPr>
          <w:t xml:space="preserve">Liaw and Wiener, 2002</w:t>
        </w:r>
      </w:hyperlink>
      <w:r>
        <w:t xml:space="preserve">)</w:t>
      </w:r>
      <w:r>
        <w:t xml:space="preserve"> </w:t>
      </w:r>
      <w:r>
        <w:t xml:space="preserve">was used to assess the relative importance of the terrain attributes on the spatial distribution of soil properties. The dataset was randomly split into training (70%) and testing (30%) datasets. Multicollinearity among the terrain attributed was assessed using the Variance Inflation Factor with a threshold of eight</w:t>
      </w:r>
      <w:r>
        <w:t xml:space="preserve"> </w:t>
      </w:r>
      <w:r>
        <w:t xml:space="preserve">(</w:t>
      </w:r>
      <w:r>
        <w:rPr>
          <w:rStyle w:val="VerbatimChar"/>
        </w:rPr>
        <w:t xml:space="preserve">usdm</w:t>
      </w:r>
      <w:r>
        <w:t xml:space="preserve"> </w:t>
      </w:r>
      <w:r>
        <w:t xml:space="preserve">v2.1.7</w:t>
      </w:r>
      <w:r>
        <w:t xml:space="preserve"> </w:t>
      </w:r>
      <w:hyperlink w:anchor="ref-Naimi2014">
        <w:r>
          <w:rPr>
            <w:rStyle w:val="InternetLink"/>
          </w:rPr>
          <w:t xml:space="preserve">Naimi et al., 2014</w:t>
        </w:r>
      </w:hyperlink>
      <w:r>
        <w:t xml:space="preserve">)</w:t>
      </w:r>
      <w:r>
        <w:t xml:space="preserve">. The number of variables randomly sampled as candidates (mtry) at each split within the RF model was tuned using the training data set</w:t>
      </w:r>
      <w:r>
        <w:t xml:space="preserve"> </w:t>
      </w:r>
      <w:r>
        <w:t xml:space="preserve">(</w:t>
      </w:r>
      <w:r>
        <w:rPr>
          <w:rStyle w:val="VerbatimChar"/>
        </w:rPr>
        <w:t xml:space="preserve">caret</w:t>
      </w:r>
      <w:r>
        <w:t xml:space="preserve"> </w:t>
      </w:r>
      <w:r>
        <w:t xml:space="preserve">v7.0.1</w:t>
      </w:r>
      <w:r>
        <w:t xml:space="preserve"> </w:t>
      </w:r>
      <w:hyperlink w:anchor="ref-kuhn2008">
        <w:r>
          <w:rPr>
            <w:rStyle w:val="InternetLink"/>
          </w:rPr>
          <w:t xml:space="preserve">Kuhn and Max, 2008</w:t>
        </w:r>
      </w:hyperlink>
      <w:r>
        <w:t xml:space="preserve">)</w:t>
      </w:r>
      <w:r>
        <w:t xml:space="preserve">. The number of trees to grow was set to 500 to ensure the error has stabilized and that additional trees provide diminishing returns.Model performance was assessed using mean squared error (MSE) and percent variance explained for the training data (out-of-bag error). Additionally, the variable importance stability of the top three predictors was assessed using the measure_stability() function from the R package optRF (v1.2.1,</w:t>
      </w:r>
      <w:r>
        <w:t xml:space="preserve"> </w:t>
      </w:r>
      <w:r>
        <w:t xml:space="preserve">Lange et al. (</w:t>
      </w:r>
      <w:hyperlink w:anchor="ref-lange2025">
        <w:r>
          <w:rPr>
            <w:rStyle w:val="InternetLink"/>
          </w:rPr>
          <w:t xml:space="preserve">2025</w:t>
        </w:r>
      </w:hyperlink>
      <w:r>
        <w:t xml:space="preserve">)</w:t>
      </w:r>
      <w:r>
        <w:t xml:space="preserve">), where values range from 0 (unstable) to 1 (stable). To test the model, measured and predicted values were plotted, and the R² and MSE were computed using the test dataset. Given the small test sample size, bootstrapping with 1,000 replicates (boot v1.3-32</w:t>
      </w:r>
      <w:r>
        <w:t xml:space="preserve"> </w:t>
      </w:r>
      <w:r>
        <w:t xml:space="preserve">Davison and Hinkley (</w:t>
      </w:r>
      <w:hyperlink w:anchor="ref-davison1997">
        <w:r>
          <w:rPr>
            <w:rStyle w:val="InternetLink"/>
          </w:rPr>
          <w:t xml:space="preserve">1997</w:t>
        </w:r>
      </w:hyperlink>
      <w:r>
        <w:t xml:space="preserve">)</w:t>
      </w:r>
      <w:r>
        <w:t xml:space="preserve">;</w:t>
      </w:r>
      <w:r>
        <w:t xml:space="preserve"> </w:t>
      </w:r>
      <w:r>
        <w:t xml:space="preserve">Canty and Ripley (</w:t>
      </w:r>
      <w:hyperlink w:anchor="ref-canty2025">
        <w:r>
          <w:rPr>
            <w:rStyle w:val="InternetLink"/>
          </w:rPr>
          <w:t xml:space="preserve">2025</w:t>
        </w:r>
      </w:hyperlink>
      <w:r>
        <w:t xml:space="preserve">)</w:t>
      </w:r>
      <w:r>
        <w:t xml:space="preserve">) was employed to estimate R² and MSE along with their 95% confidence intervals to support interpretation.Variable importance is reported as percent increase in MSE.</w:t>
      </w:r>
    </w:p>
    <w:p>
      <w:pPr>
        <w:pStyle w:val="TextBody"/>
      </w:pPr>
      <w:r>
        <w:t xml:space="preserve">Unsupervised RF of the seven terrain attributes, followed by hierarchical clustering, was used to group similar areas of landscape for each site based on their terrain characteristics. The clustering method (e.g., Ward’s, minimum linkage) and number of clusters were chosen by the elbow method based on within-cluster sum of squares, and visually assessing data structure through spatial coherence on maps, selecting the solution that produced meaningful and coherent regions for sampling. To visualise the separation among clusters in the space in which they were defined, the random forest proximity matrix was converted to a distance matrix (1 minus proximity) and ordinated using classical multidimensional scaling (MDS), with the first two axes plotted.</w:t>
      </w:r>
    </w:p>
    <w:bookmarkEnd w:id="19"/>
    <w:bookmarkEnd w:id="20"/>
    <w:bookmarkStart w:id="55" w:name="results"/>
    <w:p>
      <w:pPr>
        <w:pStyle w:val="Heading2"/>
      </w:pPr>
      <w:r>
        <w:t xml:space="preserve">3 Results</w:t>
      </w:r>
    </w:p>
    <w:bookmarkStart w:id="25" w:name="univariate-summary"/>
    <w:p>
      <w:pPr>
        <w:pStyle w:val="Heading3"/>
      </w:pPr>
      <w:r>
        <w:t xml:space="preserve">3.1 Univariate summary</w:t>
      </w:r>
    </w:p>
    <w:p>
      <w:pPr>
        <w:pStyle w:val="FirstParagraph"/>
      </w:pPr>
      <w:r>
        <w:t xml:space="preserve">The univariate analysis demonstrated some variability patterns between colour and geochemistry properties and sites (</w:t>
      </w:r>
      <w:hyperlink w:anchor="tbl-univariate-summary">
        <w:r>
          <w:rPr>
            <w:rStyle w:val="InternetLink"/>
          </w:rPr>
          <w:t xml:space="preserve">Table 1</w:t>
        </w:r>
      </w:hyperlink>
      <w:r>
        <w:t xml:space="preserve">). All five colour coefficients display a symmetric distribution and low CV, with the exception of a moderate CV for</w:t>
      </w:r>
      <w:r>
        <w:t xml:space="preserve"> </w:t>
      </w:r>
      <w:r>
        <w:rPr>
          <w:i/>
          <w:iCs/>
        </w:rPr>
        <w:t xml:space="preserve">b*</w:t>
      </w:r>
      <w:r>
        <w:t xml:space="preserve"> </w:t>
      </w:r>
      <w:r>
        <w:t xml:space="preserve">in the forested site. Geochemistry data display greater variability. At the agriculture site, eight elements showed a symmetric distribution and two displayed moderate skew (Li, Co); six had low CV, two had moderate (Cs, Rb), and two had high (Ca, Sr). The forested site had six elements displaying symmetric distributions, three with moderate skew (Fe, Nb, Sr), and one with a large skew (Ca); three had low CV, five had moderate, one had high (Sr) and one very high (Ca). Overall, this highlights that the measured geochemical properties are more skewed and variable compared to the colour properties across both sites.</w:t>
      </w:r>
    </w:p>
    <w:p>
      <w:pPr>
        <w:pStyle w:val="TextBody"/>
      </w:pPr>
      <w:r>
        <w:t xml:space="preserve">The mean plan and profile curvature measurements for both sites are near zero, indicating an area of sediment transit and not accumulation or erosion (</w:t>
      </w:r>
      <w:hyperlink w:anchor="tbl-univariate-summary2">
        <w:r>
          <w:rPr>
            <w:rStyle w:val="InternetLink"/>
          </w:rPr>
          <w:t xml:space="preserve">Table 2</w:t>
        </w:r>
      </w:hyperlink>
      <w:r>
        <w:t xml:space="preserve">). The agricultural site had a higher SAGA Wetness Index but the forested site had a larger range in values and exhibited greater variability. The forested site exhibited a smaller mean Relative Slope Position value (streams and depressional areas) and a smaller Vertical Distance to Channel Network, and for both terrain attributes a greater variability as compared to the agricultural reflecting the presence of the stream crossing the forested site.</w:t>
      </w:r>
    </w:p>
    <w:tbl>
      <w:tblPr>
        <w:tblStyle w:val="Table"/>
        <w:tblW w:type="pct" w:w="5000"/>
        <w:tblLayout w:type="fixed"/>
        <w:tblLook w:firstRow="0" w:lastRow="0" w:firstColumn="0" w:lastColumn="0" w:noHBand="0" w:noVBand="0" w:val="0000"/>
      </w:tblPr>
      <w:tblGrid>
        <w:gridCol w:w="7920"/>
      </w:tblGrid>
      <w:tr>
        <w:tc>
          <w:tcPr/>
          <w:bookmarkStart w:id="21" w:name="tbl-univariate-summary"/>
          <w:p>
            <w:pPr>
              <w:jc w:val="center"/>
            </w:pPr>
            <w:pPr>
              <w:jc w:val="left"/>
              <w:spacing w:before="200"/>
              <w:pStyle w:val="ImageCaption"/>
            </w:pPr>
            <w:r>
              <w:t xml:space="preserve">Table 1: Summary univariate statistics of geochemical and colour soil properties for each site (n = 49). Geochemical concentrations are reported in ppm, excecpt Ca and Fe (%).</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jc w:val="center"/>
                  </w:pPr>
                  <w:r>
                    <w:t xml:space="preserve">Property</w:t>
                  </w:r>
                </w:p>
              </w:tc>
              <w:tc>
                <w:tcPr/>
                <w:p>
                  <w:pPr>
                    <w:pStyle w:val="Compact"/>
                    <w:jc w:val="center"/>
                    <w:jc w:val="center"/>
                  </w:pPr>
                  <w:r>
                    <w:t xml:space="preserve">Mean</w:t>
                  </w:r>
                </w:p>
              </w:tc>
              <w:tc>
                <w:tcPr/>
                <w:p>
                  <w:pPr>
                    <w:pStyle w:val="Compact"/>
                    <w:jc w:val="center"/>
                    <w:jc w:val="center"/>
                  </w:pPr>
                  <w:r>
                    <w:t xml:space="preserve">SD</w:t>
                  </w:r>
                </w:p>
              </w:tc>
              <w:tc>
                <w:tcPr/>
                <w:p>
                  <w:pPr>
                    <w:pStyle w:val="Compact"/>
                    <w:jc w:val="center"/>
                    <w:jc w:val="center"/>
                  </w:pPr>
                  <w:r>
                    <w:t xml:space="preserve">Max</w:t>
                  </w:r>
                </w:p>
              </w:tc>
              <w:tc>
                <w:tcPr/>
                <w:p>
                  <w:pPr>
                    <w:pStyle w:val="Compact"/>
                    <w:jc w:val="center"/>
                    <w:jc w:val="center"/>
                  </w:pPr>
                  <w:r>
                    <w:t xml:space="preserve">Min</w:t>
                  </w:r>
                </w:p>
              </w:tc>
              <w:tc>
                <w:tcPr/>
                <w:p>
                  <w:pPr>
                    <w:pStyle w:val="Compact"/>
                    <w:jc w:val="center"/>
                    <w:jc w:val="center"/>
                  </w:pPr>
                  <w:r>
                    <w:t xml:space="preserve">Skewness</w:t>
                  </w:r>
                </w:p>
              </w:tc>
              <w:tc>
                <w:tcPr/>
                <w:p>
                  <w:pPr>
                    <w:pStyle w:val="Compact"/>
                    <w:jc w:val="center"/>
                    <w:jc w:val="center"/>
                  </w:pPr>
                  <w:r>
                    <w:t xml:space="preserve">CV</w:t>
                  </w:r>
                </w:p>
              </w:tc>
            </w:tr>
            <w:tr>
              <w:tc>
                <w:tcPr>
                  <w:gridSpan w:val="7"/>
                </w:tcPr>
                <w:p>
                  <w:pPr>
                    <w:pStyle w:val="Compact"/>
                    <w:jc w:val="center"/>
                    <w:jc w:val="center"/>
                  </w:pPr>
                  <w:r>
                    <w:t xml:space="preserve">Agriculture</w:t>
                  </w:r>
                </w:p>
              </w:tc>
            </w:tr>
            <w:tr>
              <w:tc>
                <w:tcPr/>
                <w:p>
                  <w:pPr>
                    <w:pStyle w:val="Compact"/>
                    <w:jc w:val="center"/>
                    <w:jc w:val="center"/>
                  </w:pPr>
                  <w:r>
                    <w:t xml:space="preserve">Ca</w:t>
                  </w:r>
                </w:p>
              </w:tc>
              <w:tc>
                <w:tcPr/>
                <w:p>
                  <w:pPr>
                    <w:pStyle w:val="Compact"/>
                    <w:jc w:val="center"/>
                    <w:jc w:val="center"/>
                  </w:pPr>
                  <w:r>
                    <w:t xml:space="preserve">4.00</w:t>
                  </w:r>
                </w:p>
              </w:tc>
              <w:tc>
                <w:tcPr/>
                <w:p>
                  <w:pPr>
                    <w:pStyle w:val="Compact"/>
                    <w:jc w:val="center"/>
                    <w:jc w:val="center"/>
                  </w:pPr>
                  <w:r>
                    <w:t xml:space="preserve">2.19</w:t>
                  </w:r>
                </w:p>
              </w:tc>
              <w:tc>
                <w:tcPr/>
                <w:p>
                  <w:pPr>
                    <w:pStyle w:val="Compact"/>
                    <w:jc w:val="center"/>
                    <w:jc w:val="center"/>
                  </w:pPr>
                  <w:r>
                    <w:t xml:space="preserve">8.78</w:t>
                  </w:r>
                </w:p>
              </w:tc>
              <w:tc>
                <w:tcPr/>
                <w:p>
                  <w:pPr>
                    <w:pStyle w:val="Compact"/>
                    <w:jc w:val="center"/>
                    <w:jc w:val="center"/>
                  </w:pPr>
                  <w:r>
                    <w:t xml:space="preserve">0.95</w:t>
                  </w:r>
                </w:p>
              </w:tc>
              <w:tc>
                <w:tcPr/>
                <w:p>
                  <w:pPr>
                    <w:pStyle w:val="Compact"/>
                    <w:jc w:val="center"/>
                    <w:jc w:val="center"/>
                  </w:pPr>
                  <w:r>
                    <w:t xml:space="preserve">0.28</w:t>
                  </w:r>
                </w:p>
              </w:tc>
              <w:tc>
                <w:tcPr/>
                <w:p>
                  <w:pPr>
                    <w:pStyle w:val="Compact"/>
                    <w:jc w:val="center"/>
                    <w:jc w:val="center"/>
                  </w:pPr>
                  <w:r>
                    <w:t xml:space="preserve">54.66</w:t>
                  </w:r>
                </w:p>
              </w:tc>
            </w:tr>
            <w:tr>
              <w:tc>
                <w:tcPr/>
                <w:p>
                  <w:pPr>
                    <w:pStyle w:val="Compact"/>
                    <w:jc w:val="center"/>
                    <w:jc w:val="center"/>
                  </w:pPr>
                  <w:r>
                    <w:t xml:space="preserve">Co</w:t>
                  </w:r>
                </w:p>
              </w:tc>
              <w:tc>
                <w:tcPr/>
                <w:p>
                  <w:pPr>
                    <w:pStyle w:val="Compact"/>
                    <w:jc w:val="center"/>
                    <w:jc w:val="center"/>
                  </w:pPr>
                  <w:r>
                    <w:t xml:space="preserve">8.76</w:t>
                  </w:r>
                </w:p>
              </w:tc>
              <w:tc>
                <w:tcPr/>
                <w:p>
                  <w:pPr>
                    <w:pStyle w:val="Compact"/>
                    <w:jc w:val="center"/>
                    <w:jc w:val="center"/>
                  </w:pPr>
                  <w:r>
                    <w:t xml:space="preserve">0.83</w:t>
                  </w:r>
                </w:p>
              </w:tc>
              <w:tc>
                <w:tcPr/>
                <w:p>
                  <w:pPr>
                    <w:pStyle w:val="Compact"/>
                    <w:jc w:val="center"/>
                    <w:jc w:val="center"/>
                  </w:pPr>
                  <w:r>
                    <w:t xml:space="preserve">10.60</w:t>
                  </w:r>
                </w:p>
              </w:tc>
              <w:tc>
                <w:tcPr/>
                <w:p>
                  <w:pPr>
                    <w:pStyle w:val="Compact"/>
                    <w:jc w:val="center"/>
                    <w:jc w:val="center"/>
                  </w:pPr>
                  <w:r>
                    <w:t xml:space="preserve">7.50</w:t>
                  </w:r>
                </w:p>
              </w:tc>
              <w:tc>
                <w:tcPr/>
                <w:p>
                  <w:pPr>
                    <w:pStyle w:val="Compact"/>
                    <w:jc w:val="center"/>
                    <w:jc w:val="center"/>
                  </w:pPr>
                  <w:r>
                    <w:t xml:space="preserve">0.52</w:t>
                  </w:r>
                </w:p>
              </w:tc>
              <w:tc>
                <w:tcPr/>
                <w:p>
                  <w:pPr>
                    <w:pStyle w:val="Compact"/>
                    <w:jc w:val="center"/>
                    <w:jc w:val="center"/>
                  </w:pPr>
                  <w:r>
                    <w:t xml:space="preserve">9.48</w:t>
                  </w:r>
                </w:p>
              </w:tc>
            </w:tr>
            <w:tr>
              <w:tc>
                <w:tcPr/>
                <w:p>
                  <w:pPr>
                    <w:pStyle w:val="Compact"/>
                    <w:jc w:val="center"/>
                    <w:jc w:val="center"/>
                  </w:pPr>
                  <w:r>
                    <w:t xml:space="preserve">Cs</w:t>
                  </w:r>
                </w:p>
              </w:tc>
              <w:tc>
                <w:tcPr/>
                <w:p>
                  <w:pPr>
                    <w:pStyle w:val="Compact"/>
                    <w:jc w:val="center"/>
                    <w:jc w:val="center"/>
                  </w:pPr>
                  <w:r>
                    <w:t xml:space="preserve">0.75</w:t>
                  </w:r>
                </w:p>
              </w:tc>
              <w:tc>
                <w:tcPr/>
                <w:p>
                  <w:pPr>
                    <w:pStyle w:val="Compact"/>
                    <w:jc w:val="center"/>
                    <w:jc w:val="center"/>
                  </w:pPr>
                  <w:r>
                    <w:t xml:space="preserve">0.15</w:t>
                  </w:r>
                </w:p>
              </w:tc>
              <w:tc>
                <w:tcPr/>
                <w:p>
                  <w:pPr>
                    <w:pStyle w:val="Compact"/>
                    <w:jc w:val="center"/>
                    <w:jc w:val="center"/>
                  </w:pPr>
                  <w:r>
                    <w:t xml:space="preserve">1.07</w:t>
                  </w:r>
                </w:p>
              </w:tc>
              <w:tc>
                <w:tcPr/>
                <w:p>
                  <w:pPr>
                    <w:pStyle w:val="Compact"/>
                    <w:jc w:val="center"/>
                    <w:jc w:val="center"/>
                  </w:pPr>
                  <w:r>
                    <w:t xml:space="preserve">0.47</w:t>
                  </w:r>
                </w:p>
              </w:tc>
              <w:tc>
                <w:tcPr/>
                <w:p>
                  <w:pPr>
                    <w:pStyle w:val="Compact"/>
                    <w:jc w:val="center"/>
                    <w:jc w:val="center"/>
                  </w:pPr>
                  <w:r>
                    <w:t xml:space="preserve">0.18</w:t>
                  </w:r>
                </w:p>
              </w:tc>
              <w:tc>
                <w:tcPr/>
                <w:p>
                  <w:pPr>
                    <w:pStyle w:val="Compact"/>
                    <w:jc w:val="center"/>
                    <w:jc w:val="center"/>
                  </w:pPr>
                  <w:r>
                    <w:t xml:space="preserve">19.93</w:t>
                  </w:r>
                </w:p>
              </w:tc>
            </w:tr>
            <w:tr>
              <w:tc>
                <w:tcPr/>
                <w:p>
                  <w:pPr>
                    <w:pStyle w:val="Compact"/>
                    <w:jc w:val="center"/>
                    <w:jc w:val="center"/>
                  </w:pPr>
                  <w:r>
                    <w:t xml:space="preserve">Fe</w:t>
                  </w:r>
                </w:p>
              </w:tc>
              <w:tc>
                <w:tcPr/>
                <w:p>
                  <w:pPr>
                    <w:pStyle w:val="Compact"/>
                    <w:jc w:val="center"/>
                    <w:jc w:val="center"/>
                  </w:pPr>
                  <w:r>
                    <w:t xml:space="preserve">1.92</w:t>
                  </w:r>
                </w:p>
              </w:tc>
              <w:tc>
                <w:tcPr/>
                <w:p>
                  <w:pPr>
                    <w:pStyle w:val="Compact"/>
                    <w:jc w:val="center"/>
                    <w:jc w:val="center"/>
                  </w:pPr>
                  <w:r>
                    <w:t xml:space="preserve">0.09</w:t>
                  </w:r>
                </w:p>
              </w:tc>
              <w:tc>
                <w:tcPr/>
                <w:p>
                  <w:pPr>
                    <w:pStyle w:val="Compact"/>
                    <w:jc w:val="center"/>
                    <w:jc w:val="center"/>
                  </w:pPr>
                  <w:r>
                    <w:t xml:space="preserve">2.11</w:t>
                  </w:r>
                </w:p>
              </w:tc>
              <w:tc>
                <w:tcPr/>
                <w:p>
                  <w:pPr>
                    <w:pStyle w:val="Compact"/>
                    <w:jc w:val="center"/>
                    <w:jc w:val="center"/>
                  </w:pPr>
                  <w:r>
                    <w:t xml:space="preserve">1.71</w:t>
                  </w:r>
                </w:p>
              </w:tc>
              <w:tc>
                <w:tcPr/>
                <w:p>
                  <w:pPr>
                    <w:pStyle w:val="Compact"/>
                    <w:jc w:val="center"/>
                    <w:jc w:val="center"/>
                  </w:pPr>
                  <w:r>
                    <w:t xml:space="preserve">−0.25</w:t>
                  </w:r>
                </w:p>
              </w:tc>
              <w:tc>
                <w:tcPr/>
                <w:p>
                  <w:pPr>
                    <w:pStyle w:val="Compact"/>
                    <w:jc w:val="center"/>
                    <w:jc w:val="center"/>
                  </w:pPr>
                  <w:r>
                    <w:t xml:space="preserve">4.70</w:t>
                  </w:r>
                </w:p>
              </w:tc>
            </w:tr>
            <w:tr>
              <w:tc>
                <w:tcPr/>
                <w:p>
                  <w:pPr>
                    <w:pStyle w:val="Compact"/>
                    <w:jc w:val="center"/>
                    <w:jc w:val="center"/>
                  </w:pPr>
                  <w:r>
                    <w:t xml:space="preserve">Li</w:t>
                  </w:r>
                </w:p>
              </w:tc>
              <w:tc>
                <w:tcPr/>
                <w:p>
                  <w:pPr>
                    <w:pStyle w:val="Compact"/>
                    <w:jc w:val="center"/>
                    <w:jc w:val="center"/>
                  </w:pPr>
                  <w:r>
                    <w:t xml:space="preserve">15.62</w:t>
                  </w:r>
                </w:p>
              </w:tc>
              <w:tc>
                <w:tcPr/>
                <w:p>
                  <w:pPr>
                    <w:pStyle w:val="Compact"/>
                    <w:jc w:val="center"/>
                    <w:jc w:val="center"/>
                  </w:pPr>
                  <w:r>
                    <w:t xml:space="preserve">1.42</w:t>
                  </w:r>
                </w:p>
              </w:tc>
              <w:tc>
                <w:tcPr/>
                <w:p>
                  <w:pPr>
                    <w:pStyle w:val="Compact"/>
                    <w:jc w:val="center"/>
                    <w:jc w:val="center"/>
                  </w:pPr>
                  <w:r>
                    <w:t xml:space="preserve">19.80</w:t>
                  </w:r>
                </w:p>
              </w:tc>
              <w:tc>
                <w:tcPr/>
                <w:p>
                  <w:pPr>
                    <w:pStyle w:val="Compact"/>
                    <w:jc w:val="center"/>
                    <w:jc w:val="center"/>
                  </w:pPr>
                  <w:r>
                    <w:t xml:space="preserve">12.80</w:t>
                  </w:r>
                </w:p>
              </w:tc>
              <w:tc>
                <w:tcPr/>
                <w:p>
                  <w:pPr>
                    <w:pStyle w:val="Compact"/>
                    <w:jc w:val="center"/>
                    <w:jc w:val="center"/>
                  </w:pPr>
                  <w:r>
                    <w:t xml:space="preserve">0.62</w:t>
                  </w:r>
                </w:p>
              </w:tc>
              <w:tc>
                <w:tcPr/>
                <w:p>
                  <w:pPr>
                    <w:pStyle w:val="Compact"/>
                    <w:jc w:val="center"/>
                    <w:jc w:val="center"/>
                  </w:pPr>
                  <w:r>
                    <w:t xml:space="preserve">9.11</w:t>
                  </w:r>
                </w:p>
              </w:tc>
            </w:tr>
            <w:tr>
              <w:tc>
                <w:tcPr/>
                <w:p>
                  <w:pPr>
                    <w:pStyle w:val="Compact"/>
                    <w:jc w:val="center"/>
                    <w:jc w:val="center"/>
                  </w:pPr>
                  <w:r>
                    <w:t xml:space="preserve">La</w:t>
                  </w:r>
                </w:p>
              </w:tc>
              <w:tc>
                <w:tcPr/>
                <w:p>
                  <w:pPr>
                    <w:pStyle w:val="Compact"/>
                    <w:jc w:val="center"/>
                    <w:jc w:val="center"/>
                  </w:pPr>
                  <w:r>
                    <w:t xml:space="preserve">18.23</w:t>
                  </w:r>
                </w:p>
              </w:tc>
              <w:tc>
                <w:tcPr/>
                <w:p>
                  <w:pPr>
                    <w:pStyle w:val="Compact"/>
                    <w:jc w:val="center"/>
                    <w:jc w:val="center"/>
                  </w:pPr>
                  <w:r>
                    <w:t xml:space="preserve">1.22</w:t>
                  </w:r>
                </w:p>
              </w:tc>
              <w:tc>
                <w:tcPr/>
                <w:p>
                  <w:pPr>
                    <w:pStyle w:val="Compact"/>
                    <w:jc w:val="center"/>
                    <w:jc w:val="center"/>
                  </w:pPr>
                  <w:r>
                    <w:t xml:space="preserve">20.20</w:t>
                  </w:r>
                </w:p>
              </w:tc>
              <w:tc>
                <w:tcPr/>
                <w:p>
                  <w:pPr>
                    <w:pStyle w:val="Compact"/>
                    <w:jc w:val="center"/>
                    <w:jc w:val="center"/>
                  </w:pPr>
                  <w:r>
                    <w:t xml:space="preserve">15.50</w:t>
                  </w:r>
                </w:p>
              </w:tc>
              <w:tc>
                <w:tcPr/>
                <w:p>
                  <w:pPr>
                    <w:pStyle w:val="Compact"/>
                    <w:jc w:val="center"/>
                    <w:jc w:val="center"/>
                  </w:pPr>
                  <w:r>
                    <w:t xml:space="preserve">−0.29</w:t>
                  </w:r>
                </w:p>
              </w:tc>
              <w:tc>
                <w:tcPr/>
                <w:p>
                  <w:pPr>
                    <w:pStyle w:val="Compact"/>
                    <w:jc w:val="center"/>
                    <w:jc w:val="center"/>
                  </w:pPr>
                  <w:r>
                    <w:t xml:space="preserve">6.71</w:t>
                  </w:r>
                </w:p>
              </w:tc>
            </w:tr>
            <w:tr>
              <w:tc>
                <w:tcPr/>
                <w:p>
                  <w:pPr>
                    <w:pStyle w:val="Compact"/>
                    <w:jc w:val="center"/>
                    <w:jc w:val="center"/>
                  </w:pPr>
                  <w:r>
                    <w:t xml:space="preserve">Nb</w:t>
                  </w:r>
                </w:p>
              </w:tc>
              <w:tc>
                <w:tcPr/>
                <w:p>
                  <w:pPr>
                    <w:pStyle w:val="Compact"/>
                    <w:jc w:val="center"/>
                    <w:jc w:val="center"/>
                  </w:pPr>
                  <w:r>
                    <w:t xml:space="preserve">0.59</w:t>
                  </w:r>
                </w:p>
              </w:tc>
              <w:tc>
                <w:tcPr/>
                <w:p>
                  <w:pPr>
                    <w:pStyle w:val="Compact"/>
                    <w:jc w:val="center"/>
                    <w:jc w:val="center"/>
                  </w:pPr>
                  <w:r>
                    <w:t xml:space="preserve">0.06</w:t>
                  </w:r>
                </w:p>
              </w:tc>
              <w:tc>
                <w:tcPr/>
                <w:p>
                  <w:pPr>
                    <w:pStyle w:val="Compact"/>
                    <w:jc w:val="center"/>
                    <w:jc w:val="center"/>
                  </w:pPr>
                  <w:r>
                    <w:t xml:space="preserve">0.73</w:t>
                  </w:r>
                </w:p>
              </w:tc>
              <w:tc>
                <w:tcPr/>
                <w:p>
                  <w:pPr>
                    <w:pStyle w:val="Compact"/>
                    <w:jc w:val="center"/>
                    <w:jc w:val="center"/>
                  </w:pPr>
                  <w:r>
                    <w:t xml:space="preserve">0.46</w:t>
                  </w:r>
                </w:p>
              </w:tc>
              <w:tc>
                <w:tcPr/>
                <w:p>
                  <w:pPr>
                    <w:pStyle w:val="Compact"/>
                    <w:jc w:val="center"/>
                    <w:jc w:val="center"/>
                  </w:pPr>
                  <w:r>
                    <w:t xml:space="preserve">0.45</w:t>
                  </w:r>
                </w:p>
              </w:tc>
              <w:tc>
                <w:tcPr/>
                <w:p>
                  <w:pPr>
                    <w:pStyle w:val="Compact"/>
                    <w:jc w:val="center"/>
                    <w:jc w:val="center"/>
                  </w:pPr>
                  <w:r>
                    <w:t xml:space="preserve">9.67</w:t>
                  </w:r>
                </w:p>
              </w:tc>
            </w:tr>
            <w:tr>
              <w:tc>
                <w:tcPr/>
                <w:p>
                  <w:pPr>
                    <w:pStyle w:val="Compact"/>
                    <w:jc w:val="center"/>
                    <w:jc w:val="center"/>
                  </w:pPr>
                  <w:r>
                    <w:t xml:space="preserve">Ni</w:t>
                  </w:r>
                </w:p>
              </w:tc>
              <w:tc>
                <w:tcPr/>
                <w:p>
                  <w:pPr>
                    <w:pStyle w:val="Compact"/>
                    <w:jc w:val="center"/>
                    <w:jc w:val="center"/>
                  </w:pPr>
                  <w:r>
                    <w:t xml:space="preserve">29.63</w:t>
                  </w:r>
                </w:p>
              </w:tc>
              <w:tc>
                <w:tcPr/>
                <w:p>
                  <w:pPr>
                    <w:pStyle w:val="Compact"/>
                    <w:jc w:val="center"/>
                    <w:jc w:val="center"/>
                  </w:pPr>
                  <w:r>
                    <w:t xml:space="preserve">2.72</w:t>
                  </w:r>
                </w:p>
              </w:tc>
              <w:tc>
                <w:tcPr/>
                <w:p>
                  <w:pPr>
                    <w:pStyle w:val="Compact"/>
                    <w:jc w:val="center"/>
                    <w:jc w:val="center"/>
                  </w:pPr>
                  <w:r>
                    <w:t xml:space="preserve">35.70</w:t>
                  </w:r>
                </w:p>
              </w:tc>
              <w:tc>
                <w:tcPr/>
                <w:p>
                  <w:pPr>
                    <w:pStyle w:val="Compact"/>
                    <w:jc w:val="center"/>
                    <w:jc w:val="center"/>
                  </w:pPr>
                  <w:r>
                    <w:t xml:space="preserve">25.00</w:t>
                  </w:r>
                </w:p>
              </w:tc>
              <w:tc>
                <w:tcPr/>
                <w:p>
                  <w:pPr>
                    <w:pStyle w:val="Compact"/>
                    <w:jc w:val="center"/>
                    <w:jc w:val="center"/>
                  </w:pPr>
                  <w:r>
                    <w:t xml:space="preserve">0.36</w:t>
                  </w:r>
                </w:p>
              </w:tc>
              <w:tc>
                <w:tcPr/>
                <w:p>
                  <w:pPr>
                    <w:pStyle w:val="Compact"/>
                    <w:jc w:val="center"/>
                    <w:jc w:val="center"/>
                  </w:pPr>
                  <w:r>
                    <w:t xml:space="preserve">9.17</w:t>
                  </w:r>
                </w:p>
              </w:tc>
            </w:tr>
            <w:tr>
              <w:tc>
                <w:tcPr/>
                <w:p>
                  <w:pPr>
                    <w:pStyle w:val="Compact"/>
                    <w:jc w:val="center"/>
                    <w:jc w:val="center"/>
                  </w:pPr>
                  <w:r>
                    <w:t xml:space="preserve">Rb</w:t>
                  </w:r>
                </w:p>
              </w:tc>
              <w:tc>
                <w:tcPr/>
                <w:p>
                  <w:pPr>
                    <w:pStyle w:val="Compact"/>
                    <w:jc w:val="center"/>
                    <w:jc w:val="center"/>
                  </w:pPr>
                  <w:r>
                    <w:t xml:space="preserve">18.43</w:t>
                  </w:r>
                </w:p>
              </w:tc>
              <w:tc>
                <w:tcPr/>
                <w:p>
                  <w:pPr>
                    <w:pStyle w:val="Compact"/>
                    <w:jc w:val="center"/>
                    <w:jc w:val="center"/>
                  </w:pPr>
                  <w:r>
                    <w:t xml:space="preserve">4.33</w:t>
                  </w:r>
                </w:p>
              </w:tc>
              <w:tc>
                <w:tcPr/>
                <w:p>
                  <w:pPr>
                    <w:pStyle w:val="Compact"/>
                    <w:jc w:val="center"/>
                    <w:jc w:val="center"/>
                  </w:pPr>
                  <w:r>
                    <w:t xml:space="preserve">26.70</w:t>
                  </w:r>
                </w:p>
              </w:tc>
              <w:tc>
                <w:tcPr/>
                <w:p>
                  <w:pPr>
                    <w:pStyle w:val="Compact"/>
                    <w:jc w:val="center"/>
                    <w:jc w:val="center"/>
                  </w:pPr>
                  <w:r>
                    <w:t xml:space="preserve">10.20</w:t>
                  </w:r>
                </w:p>
              </w:tc>
              <w:tc>
                <w:tcPr/>
                <w:p>
                  <w:pPr>
                    <w:pStyle w:val="Compact"/>
                    <w:jc w:val="center"/>
                    <w:jc w:val="center"/>
                  </w:pPr>
                  <w:r>
                    <w:t xml:space="preserve">0.24</w:t>
                  </w:r>
                </w:p>
              </w:tc>
              <w:tc>
                <w:tcPr/>
                <w:p>
                  <w:pPr>
                    <w:pStyle w:val="Compact"/>
                    <w:jc w:val="center"/>
                    <w:jc w:val="center"/>
                  </w:pPr>
                  <w:r>
                    <w:t xml:space="preserve">23.48</w:t>
                  </w:r>
                </w:p>
              </w:tc>
            </w:tr>
            <w:tr>
              <w:tc>
                <w:tcPr/>
                <w:p>
                  <w:pPr>
                    <w:pStyle w:val="Compact"/>
                    <w:jc w:val="center"/>
                    <w:jc w:val="center"/>
                  </w:pPr>
                  <w:r>
                    <w:t xml:space="preserve">Sr</w:t>
                  </w:r>
                </w:p>
              </w:tc>
              <w:tc>
                <w:tcPr/>
                <w:p>
                  <w:pPr>
                    <w:pStyle w:val="Compact"/>
                    <w:jc w:val="center"/>
                    <w:jc w:val="center"/>
                  </w:pPr>
                  <w:r>
                    <w:t xml:space="preserve">91.31</w:t>
                  </w:r>
                </w:p>
              </w:tc>
              <w:tc>
                <w:tcPr/>
                <w:p>
                  <w:pPr>
                    <w:pStyle w:val="Compact"/>
                    <w:jc w:val="center"/>
                    <w:jc w:val="center"/>
                  </w:pPr>
                  <w:r>
                    <w:t xml:space="preserve">38.98</w:t>
                  </w:r>
                </w:p>
              </w:tc>
              <w:tc>
                <w:tcPr/>
                <w:p>
                  <w:pPr>
                    <w:pStyle w:val="Compact"/>
                    <w:jc w:val="center"/>
                    <w:jc w:val="center"/>
                  </w:pPr>
                  <w:r>
                    <w:t xml:space="preserve">163.50</w:t>
                  </w:r>
                </w:p>
              </w:tc>
              <w:tc>
                <w:tcPr/>
                <w:p>
                  <w:pPr>
                    <w:pStyle w:val="Compact"/>
                    <w:jc w:val="center"/>
                    <w:jc w:val="center"/>
                  </w:pPr>
                  <w:r>
                    <w:t xml:space="preserve">38.60</w:t>
                  </w:r>
                </w:p>
              </w:tc>
              <w:tc>
                <w:tcPr/>
                <w:p>
                  <w:pPr>
                    <w:pStyle w:val="Compact"/>
                    <w:jc w:val="center"/>
                    <w:jc w:val="center"/>
                  </w:pPr>
                  <w:r>
                    <w:t xml:space="preserve">0.09</w:t>
                  </w:r>
                </w:p>
              </w:tc>
              <w:tc>
                <w:tcPr/>
                <w:p>
                  <w:pPr>
                    <w:pStyle w:val="Compact"/>
                    <w:jc w:val="center"/>
                    <w:jc w:val="center"/>
                  </w:pPr>
                  <w:r>
                    <w:t xml:space="preserve">42.69</w:t>
                  </w:r>
                </w:p>
              </w:tc>
            </w:tr>
            <w:tr>
              <w:tc>
                <w:tcPr/>
                <w:p>
                  <w:pPr>
                    <w:pStyle w:val="Compact"/>
                    <w:jc w:val="center"/>
                    <w:jc w:val="center"/>
                  </w:pPr>
                  <w:r>
                    <w:t xml:space="preserve">a*</w:t>
                  </w:r>
                </w:p>
              </w:tc>
              <w:tc>
                <w:tcPr/>
                <w:p>
                  <w:pPr>
                    <w:pStyle w:val="Compact"/>
                    <w:jc w:val="center"/>
                    <w:jc w:val="center"/>
                  </w:pPr>
                  <w:r>
                    <w:t xml:space="preserve">3.38</w:t>
                  </w:r>
                </w:p>
              </w:tc>
              <w:tc>
                <w:tcPr/>
                <w:p>
                  <w:pPr>
                    <w:pStyle w:val="Compact"/>
                    <w:jc w:val="center"/>
                    <w:jc w:val="center"/>
                  </w:pPr>
                  <w:r>
                    <w:t xml:space="preserve">0.32</w:t>
                  </w:r>
                </w:p>
              </w:tc>
              <w:tc>
                <w:tcPr/>
                <w:p>
                  <w:pPr>
                    <w:pStyle w:val="Compact"/>
                    <w:jc w:val="center"/>
                    <w:jc w:val="center"/>
                  </w:pPr>
                  <w:r>
                    <w:t xml:space="preserve">4.15</w:t>
                  </w:r>
                </w:p>
              </w:tc>
              <w:tc>
                <w:tcPr/>
                <w:p>
                  <w:pPr>
                    <w:pStyle w:val="Compact"/>
                    <w:jc w:val="center"/>
                    <w:jc w:val="center"/>
                  </w:pPr>
                  <w:r>
                    <w:t xml:space="preserve">2.59</w:t>
                  </w:r>
                </w:p>
              </w:tc>
              <w:tc>
                <w:tcPr/>
                <w:p>
                  <w:pPr>
                    <w:pStyle w:val="Compact"/>
                    <w:jc w:val="center"/>
                    <w:jc w:val="center"/>
                  </w:pPr>
                  <w:r>
                    <w:t xml:space="preserve">−0.03</w:t>
                  </w:r>
                </w:p>
              </w:tc>
              <w:tc>
                <w:tcPr/>
                <w:p>
                  <w:pPr>
                    <w:pStyle w:val="Compact"/>
                    <w:jc w:val="center"/>
                    <w:jc w:val="center"/>
                  </w:pPr>
                  <w:r>
                    <w:t xml:space="preserve">9.53</w:t>
                  </w:r>
                </w:p>
              </w:tc>
            </w:tr>
            <w:tr>
              <w:tc>
                <w:tcPr/>
                <w:p>
                  <w:pPr>
                    <w:pStyle w:val="Compact"/>
                    <w:jc w:val="center"/>
                    <w:jc w:val="center"/>
                  </w:pPr>
                  <w:r>
                    <w:t xml:space="preserve">b*</w:t>
                  </w:r>
                </w:p>
              </w:tc>
              <w:tc>
                <w:tcPr/>
                <w:p>
                  <w:pPr>
                    <w:pStyle w:val="Compact"/>
                    <w:jc w:val="center"/>
                    <w:jc w:val="center"/>
                  </w:pPr>
                  <w:r>
                    <w:t xml:space="preserve">8.84</w:t>
                  </w:r>
                </w:p>
              </w:tc>
              <w:tc>
                <w:tcPr/>
                <w:p>
                  <w:pPr>
                    <w:pStyle w:val="Compact"/>
                    <w:jc w:val="center"/>
                    <w:jc w:val="center"/>
                  </w:pPr>
                  <w:r>
                    <w:t xml:space="preserve">0.97</w:t>
                  </w:r>
                </w:p>
              </w:tc>
              <w:tc>
                <w:tcPr/>
                <w:p>
                  <w:pPr>
                    <w:pStyle w:val="Compact"/>
                    <w:jc w:val="center"/>
                    <w:jc w:val="center"/>
                  </w:pPr>
                  <w:r>
                    <w:t xml:space="preserve">10.59</w:t>
                  </w:r>
                </w:p>
              </w:tc>
              <w:tc>
                <w:tcPr/>
                <w:p>
                  <w:pPr>
                    <w:pStyle w:val="Compact"/>
                    <w:jc w:val="center"/>
                    <w:jc w:val="center"/>
                  </w:pPr>
                  <w:r>
                    <w:t xml:space="preserve">6.69</w:t>
                  </w:r>
                </w:p>
              </w:tc>
              <w:tc>
                <w:tcPr/>
                <w:p>
                  <w:pPr>
                    <w:pStyle w:val="Compact"/>
                    <w:jc w:val="center"/>
                    <w:jc w:val="center"/>
                  </w:pPr>
                  <w:r>
                    <w:t xml:space="preserve">−0.18</w:t>
                  </w:r>
                </w:p>
              </w:tc>
              <w:tc>
                <w:tcPr/>
                <w:p>
                  <w:pPr>
                    <w:pStyle w:val="Compact"/>
                    <w:jc w:val="center"/>
                    <w:jc w:val="center"/>
                  </w:pPr>
                  <w:r>
                    <w:t xml:space="preserve">11.00</w:t>
                  </w:r>
                </w:p>
              </w:tc>
            </w:tr>
            <w:tr>
              <w:tc>
                <w:tcPr/>
                <w:p>
                  <w:pPr>
                    <w:pStyle w:val="Compact"/>
                    <w:jc w:val="center"/>
                    <w:jc w:val="center"/>
                  </w:pPr>
                  <w:r>
                    <w:t xml:space="preserve">c*</w:t>
                  </w:r>
                </w:p>
              </w:tc>
              <w:tc>
                <w:tcPr/>
                <w:p>
                  <w:pPr>
                    <w:pStyle w:val="Compact"/>
                    <w:jc w:val="center"/>
                    <w:jc w:val="center"/>
                  </w:pPr>
                  <w:r>
                    <w:t xml:space="preserve">9.47</w:t>
                  </w:r>
                </w:p>
              </w:tc>
              <w:tc>
                <w:tcPr/>
                <w:p>
                  <w:pPr>
                    <w:pStyle w:val="Compact"/>
                    <w:jc w:val="center"/>
                    <w:jc w:val="center"/>
                  </w:pPr>
                  <w:r>
                    <w:t xml:space="preserve">1.02</w:t>
                  </w:r>
                </w:p>
              </w:tc>
              <w:tc>
                <w:tcPr/>
                <w:p>
                  <w:pPr>
                    <w:pStyle w:val="Compact"/>
                    <w:jc w:val="center"/>
                    <w:jc w:val="center"/>
                  </w:pPr>
                  <w:r>
                    <w:t xml:space="preserve">11.32</w:t>
                  </w:r>
                </w:p>
              </w:tc>
              <w:tc>
                <w:tcPr/>
                <w:p>
                  <w:pPr>
                    <w:pStyle w:val="Compact"/>
                    <w:jc w:val="center"/>
                    <w:jc w:val="center"/>
                  </w:pPr>
                  <w:r>
                    <w:t xml:space="preserve">7.17</w:t>
                  </w:r>
                </w:p>
              </w:tc>
              <w:tc>
                <w:tcPr/>
                <w:p>
                  <w:pPr>
                    <w:pStyle w:val="Compact"/>
                    <w:jc w:val="center"/>
                    <w:jc w:val="center"/>
                  </w:pPr>
                  <w:r>
                    <w:t xml:space="preserve">−0.19</w:t>
                  </w:r>
                </w:p>
              </w:tc>
              <w:tc>
                <w:tcPr/>
                <w:p>
                  <w:pPr>
                    <w:pStyle w:val="Compact"/>
                    <w:jc w:val="center"/>
                    <w:jc w:val="center"/>
                  </w:pPr>
                  <w:r>
                    <w:t xml:space="preserve">10.74</w:t>
                  </w:r>
                </w:p>
              </w:tc>
            </w:tr>
            <w:tr>
              <w:tc>
                <w:tcPr/>
                <w:p>
                  <w:pPr>
                    <w:pStyle w:val="Compact"/>
                    <w:jc w:val="center"/>
                    <w:jc w:val="center"/>
                  </w:pPr>
                  <w:r>
                    <w:t xml:space="preserve">h*</w:t>
                  </w:r>
                </w:p>
              </w:tc>
              <w:tc>
                <w:tcPr/>
                <w:p>
                  <w:pPr>
                    <w:pStyle w:val="Compact"/>
                    <w:jc w:val="center"/>
                    <w:jc w:val="center"/>
                  </w:pPr>
                  <w:r>
                    <w:t xml:space="preserve">1.20</w:t>
                  </w:r>
                </w:p>
              </w:tc>
              <w:tc>
                <w:tcPr/>
                <w:p>
                  <w:pPr>
                    <w:pStyle w:val="Compact"/>
                    <w:jc w:val="center"/>
                    <w:jc w:val="center"/>
                  </w:pPr>
                  <w:r>
                    <w:t xml:space="preserve">0.01</w:t>
                  </w:r>
                </w:p>
              </w:tc>
              <w:tc>
                <w:tcPr/>
                <w:p>
                  <w:pPr>
                    <w:pStyle w:val="Compact"/>
                    <w:jc w:val="center"/>
                    <w:jc w:val="center"/>
                  </w:pPr>
                  <w:r>
                    <w:t xml:space="preserve">1.23</w:t>
                  </w:r>
                </w:p>
              </w:tc>
              <w:tc>
                <w:tcPr/>
                <w:p>
                  <w:pPr>
                    <w:pStyle w:val="Compact"/>
                    <w:jc w:val="center"/>
                    <w:jc w:val="center"/>
                  </w:pPr>
                  <w:r>
                    <w:t xml:space="preserve">1.18</w:t>
                  </w:r>
                </w:p>
              </w:tc>
              <w:tc>
                <w:tcPr/>
                <w:p>
                  <w:pPr>
                    <w:pStyle w:val="Compact"/>
                    <w:jc w:val="center"/>
                    <w:jc w:val="center"/>
                  </w:pPr>
                  <w:r>
                    <w:t xml:space="preserve">0.19</w:t>
                  </w:r>
                </w:p>
              </w:tc>
              <w:tc>
                <w:tcPr/>
                <w:p>
                  <w:pPr>
                    <w:pStyle w:val="Compact"/>
                    <w:jc w:val="center"/>
                    <w:jc w:val="center"/>
                  </w:pPr>
                  <w:r>
                    <w:t xml:space="preserve">1.12</w:t>
                  </w:r>
                </w:p>
              </w:tc>
            </w:tr>
            <w:tr>
              <w:tc>
                <w:tcPr/>
                <w:p>
                  <w:pPr>
                    <w:pStyle w:val="Compact"/>
                    <w:jc w:val="center"/>
                    <w:jc w:val="center"/>
                  </w:pPr>
                  <w:r>
                    <w:t xml:space="preserve">x</w:t>
                  </w:r>
                </w:p>
              </w:tc>
              <w:tc>
                <w:tcPr/>
                <w:p>
                  <w:pPr>
                    <w:pStyle w:val="Compact"/>
                    <w:jc w:val="center"/>
                    <w:jc w:val="center"/>
                  </w:pPr>
                  <w:r>
                    <w:t xml:space="preserve">0.47</w:t>
                  </w:r>
                </w:p>
              </w:tc>
              <w:tc>
                <w:tcPr/>
                <w:p>
                  <w:pPr>
                    <w:pStyle w:val="Compact"/>
                    <w:jc w:val="center"/>
                    <w:jc w:val="center"/>
                  </w:pPr>
                  <w:r>
                    <w:t xml:space="preserve">0.00</w:t>
                  </w:r>
                </w:p>
              </w:tc>
              <w:tc>
                <w:tcPr/>
                <w:p>
                  <w:pPr>
                    <w:pStyle w:val="Compact"/>
                    <w:jc w:val="center"/>
                    <w:jc w:val="center"/>
                  </w:pPr>
                  <w:r>
                    <w:t xml:space="preserve">0.48</w:t>
                  </w:r>
                </w:p>
              </w:tc>
              <w:tc>
                <w:tcPr/>
                <w:p>
                  <w:pPr>
                    <w:pStyle w:val="Compact"/>
                    <w:jc w:val="center"/>
                    <w:jc w:val="center"/>
                  </w:pPr>
                  <w:r>
                    <w:t xml:space="preserve">0.47</w:t>
                  </w:r>
                </w:p>
              </w:tc>
              <w:tc>
                <w:tcPr/>
                <w:p>
                  <w:pPr>
                    <w:pStyle w:val="Compact"/>
                    <w:jc w:val="center"/>
                    <w:jc w:val="center"/>
                  </w:pPr>
                  <w:r>
                    <w:t xml:space="preserve">0.06</w:t>
                  </w:r>
                </w:p>
              </w:tc>
              <w:tc>
                <w:tcPr/>
                <w:p>
                  <w:pPr>
                    <w:pStyle w:val="Compact"/>
                    <w:jc w:val="center"/>
                    <w:jc w:val="center"/>
                  </w:pPr>
                  <w:r>
                    <w:t xml:space="preserve">0.46</w:t>
                  </w:r>
                </w:p>
              </w:tc>
            </w:tr>
            <w:tr>
              <w:tc>
                <w:tcPr>
                  <w:gridSpan w:val="7"/>
                </w:tcPr>
                <w:p>
                  <w:pPr>
                    <w:pStyle w:val="Compact"/>
                    <w:jc w:val="center"/>
                    <w:jc w:val="center"/>
                  </w:pPr>
                  <w:r>
                    <w:t xml:space="preserve">Forest</w:t>
                  </w:r>
                </w:p>
              </w:tc>
            </w:tr>
            <w:tr>
              <w:tc>
                <w:tcPr/>
                <w:p>
                  <w:pPr>
                    <w:pStyle w:val="Compact"/>
                    <w:jc w:val="center"/>
                    <w:jc w:val="center"/>
                  </w:pPr>
                  <w:r>
                    <w:t xml:space="preserve">Ca</w:t>
                  </w:r>
                </w:p>
              </w:tc>
              <w:tc>
                <w:tcPr/>
                <w:p>
                  <w:pPr>
                    <w:pStyle w:val="Compact"/>
                    <w:jc w:val="center"/>
                    <w:jc w:val="center"/>
                  </w:pPr>
                  <w:r>
                    <w:t xml:space="preserve">1.89</w:t>
                  </w:r>
                </w:p>
              </w:tc>
              <w:tc>
                <w:tcPr/>
                <w:p>
                  <w:pPr>
                    <w:pStyle w:val="Compact"/>
                    <w:jc w:val="center"/>
                    <w:jc w:val="center"/>
                  </w:pPr>
                  <w:r>
                    <w:t xml:space="preserve">1.53</w:t>
                  </w:r>
                </w:p>
              </w:tc>
              <w:tc>
                <w:tcPr/>
                <w:p>
                  <w:pPr>
                    <w:pStyle w:val="Compact"/>
                    <w:jc w:val="center"/>
                    <w:jc w:val="center"/>
                  </w:pPr>
                  <w:r>
                    <w:t xml:space="preserve">5.46</w:t>
                  </w:r>
                </w:p>
              </w:tc>
              <w:tc>
                <w:tcPr/>
                <w:p>
                  <w:pPr>
                    <w:pStyle w:val="Compact"/>
                    <w:jc w:val="center"/>
                    <w:jc w:val="center"/>
                  </w:pPr>
                  <w:r>
                    <w:t xml:space="preserve">0.47</w:t>
                  </w:r>
                </w:p>
              </w:tc>
              <w:tc>
                <w:tcPr/>
                <w:p>
                  <w:pPr>
                    <w:pStyle w:val="Compact"/>
                    <w:jc w:val="center"/>
                    <w:jc w:val="center"/>
                  </w:pPr>
                  <w:r>
                    <w:t xml:space="preserve">1.07</w:t>
                  </w:r>
                </w:p>
              </w:tc>
              <w:tc>
                <w:tcPr/>
                <w:p>
                  <w:pPr>
                    <w:pStyle w:val="Compact"/>
                    <w:jc w:val="center"/>
                    <w:jc w:val="center"/>
                  </w:pPr>
                  <w:r>
                    <w:t xml:space="preserve">81.12</w:t>
                  </w:r>
                </w:p>
              </w:tc>
            </w:tr>
            <w:tr>
              <w:tc>
                <w:tcPr/>
                <w:p>
                  <w:pPr>
                    <w:pStyle w:val="Compact"/>
                    <w:jc w:val="center"/>
                    <w:jc w:val="center"/>
                  </w:pPr>
                  <w:r>
                    <w:t xml:space="preserve">Co</w:t>
                  </w:r>
                </w:p>
              </w:tc>
              <w:tc>
                <w:tcPr/>
                <w:p>
                  <w:pPr>
                    <w:pStyle w:val="Compact"/>
                    <w:jc w:val="center"/>
                    <w:jc w:val="center"/>
                  </w:pPr>
                  <w:r>
                    <w:t xml:space="preserve">6.76</w:t>
                  </w:r>
                </w:p>
              </w:tc>
              <w:tc>
                <w:tcPr/>
                <w:p>
                  <w:pPr>
                    <w:pStyle w:val="Compact"/>
                    <w:jc w:val="center"/>
                    <w:jc w:val="center"/>
                  </w:pPr>
                  <w:r>
                    <w:t xml:space="preserve">1.39</w:t>
                  </w:r>
                </w:p>
              </w:tc>
              <w:tc>
                <w:tcPr/>
                <w:p>
                  <w:pPr>
                    <w:pStyle w:val="Compact"/>
                    <w:jc w:val="center"/>
                    <w:jc w:val="center"/>
                  </w:pPr>
                  <w:r>
                    <w:t xml:space="preserve">9.60</w:t>
                  </w:r>
                </w:p>
              </w:tc>
              <w:tc>
                <w:tcPr/>
                <w:p>
                  <w:pPr>
                    <w:pStyle w:val="Compact"/>
                    <w:jc w:val="center"/>
                    <w:jc w:val="center"/>
                  </w:pPr>
                  <w:r>
                    <w:t xml:space="preserve">4.00</w:t>
                  </w:r>
                </w:p>
              </w:tc>
              <w:tc>
                <w:tcPr/>
                <w:p>
                  <w:pPr>
                    <w:pStyle w:val="Compact"/>
                    <w:jc w:val="center"/>
                    <w:jc w:val="center"/>
                  </w:pPr>
                  <w:r>
                    <w:t xml:space="preserve">0.03</w:t>
                  </w:r>
                </w:p>
              </w:tc>
              <w:tc>
                <w:tcPr/>
                <w:p>
                  <w:pPr>
                    <w:pStyle w:val="Compact"/>
                    <w:jc w:val="center"/>
                    <w:jc w:val="center"/>
                  </w:pPr>
                  <w:r>
                    <w:t xml:space="preserve">20.62</w:t>
                  </w:r>
                </w:p>
              </w:tc>
            </w:tr>
            <w:tr>
              <w:tc>
                <w:tcPr/>
                <w:p>
                  <w:pPr>
                    <w:pStyle w:val="Compact"/>
                    <w:jc w:val="center"/>
                    <w:jc w:val="center"/>
                  </w:pPr>
                  <w:r>
                    <w:t xml:space="preserve">Cs</w:t>
                  </w:r>
                </w:p>
              </w:tc>
              <w:tc>
                <w:tcPr/>
                <w:p>
                  <w:pPr>
                    <w:pStyle w:val="Compact"/>
                    <w:jc w:val="center"/>
                    <w:jc w:val="center"/>
                  </w:pPr>
                  <w:r>
                    <w:t xml:space="preserve">0.55</w:t>
                  </w:r>
                </w:p>
              </w:tc>
              <w:tc>
                <w:tcPr/>
                <w:p>
                  <w:pPr>
                    <w:pStyle w:val="Compact"/>
                    <w:jc w:val="center"/>
                    <w:jc w:val="center"/>
                  </w:pPr>
                  <w:r>
                    <w:t xml:space="preserve">0.12</w:t>
                  </w:r>
                </w:p>
              </w:tc>
              <w:tc>
                <w:tcPr/>
                <w:p>
                  <w:pPr>
                    <w:pStyle w:val="Compact"/>
                    <w:jc w:val="center"/>
                    <w:jc w:val="center"/>
                  </w:pPr>
                  <w:r>
                    <w:t xml:space="preserve">0.78</w:t>
                  </w:r>
                </w:p>
              </w:tc>
              <w:tc>
                <w:tcPr/>
                <w:p>
                  <w:pPr>
                    <w:pStyle w:val="Compact"/>
                    <w:jc w:val="center"/>
                    <w:jc w:val="center"/>
                  </w:pPr>
                  <w:r>
                    <w:t xml:space="preserve">0.34</w:t>
                  </w:r>
                </w:p>
              </w:tc>
              <w:tc>
                <w:tcPr/>
                <w:p>
                  <w:pPr>
                    <w:pStyle w:val="Compact"/>
                    <w:jc w:val="center"/>
                    <w:jc w:val="center"/>
                  </w:pPr>
                  <w:r>
                    <w:t xml:space="preserve">0.25</w:t>
                  </w:r>
                </w:p>
              </w:tc>
              <w:tc>
                <w:tcPr/>
                <w:p>
                  <w:pPr>
                    <w:pStyle w:val="Compact"/>
                    <w:jc w:val="center"/>
                    <w:jc w:val="center"/>
                  </w:pPr>
                  <w:r>
                    <w:t xml:space="preserve">21.73</w:t>
                  </w:r>
                </w:p>
              </w:tc>
            </w:tr>
            <w:tr>
              <w:tc>
                <w:tcPr/>
                <w:p>
                  <w:pPr>
                    <w:pStyle w:val="Compact"/>
                    <w:jc w:val="center"/>
                    <w:jc w:val="center"/>
                  </w:pPr>
                  <w:r>
                    <w:t xml:space="preserve">Fe</w:t>
                  </w:r>
                </w:p>
              </w:tc>
              <w:tc>
                <w:tcPr/>
                <w:p>
                  <w:pPr>
                    <w:pStyle w:val="Compact"/>
                    <w:jc w:val="center"/>
                    <w:jc w:val="center"/>
                  </w:pPr>
                  <w:r>
                    <w:t xml:space="preserve">1.18</w:t>
                  </w:r>
                </w:p>
              </w:tc>
              <w:tc>
                <w:tcPr/>
                <w:p>
                  <w:pPr>
                    <w:pStyle w:val="Compact"/>
                    <w:jc w:val="center"/>
                    <w:jc w:val="center"/>
                  </w:pPr>
                  <w:r>
                    <w:t xml:space="preserve">0.13</w:t>
                  </w:r>
                </w:p>
              </w:tc>
              <w:tc>
                <w:tcPr/>
                <w:p>
                  <w:pPr>
                    <w:pStyle w:val="Compact"/>
                    <w:jc w:val="center"/>
                    <w:jc w:val="center"/>
                  </w:pPr>
                  <w:r>
                    <w:t xml:space="preserve">1.46</w:t>
                  </w:r>
                </w:p>
              </w:tc>
              <w:tc>
                <w:tcPr/>
                <w:p>
                  <w:pPr>
                    <w:pStyle w:val="Compact"/>
                    <w:jc w:val="center"/>
                    <w:jc w:val="center"/>
                  </w:pPr>
                  <w:r>
                    <w:t xml:space="preserve">0.83</w:t>
                  </w:r>
                </w:p>
              </w:tc>
              <w:tc>
                <w:tcPr/>
                <w:p>
                  <w:pPr>
                    <w:pStyle w:val="Compact"/>
                    <w:jc w:val="center"/>
                    <w:jc w:val="center"/>
                  </w:pPr>
                  <w:r>
                    <w:t xml:space="preserve">−0.58</w:t>
                  </w:r>
                </w:p>
              </w:tc>
              <w:tc>
                <w:tcPr/>
                <w:p>
                  <w:pPr>
                    <w:pStyle w:val="Compact"/>
                    <w:jc w:val="center"/>
                    <w:jc w:val="center"/>
                  </w:pPr>
                  <w:r>
                    <w:t xml:space="preserve">11.24</w:t>
                  </w:r>
                </w:p>
              </w:tc>
            </w:tr>
            <w:tr>
              <w:tc>
                <w:tcPr/>
                <w:p>
                  <w:pPr>
                    <w:pStyle w:val="Compact"/>
                    <w:jc w:val="center"/>
                    <w:jc w:val="center"/>
                  </w:pPr>
                  <w:r>
                    <w:t xml:space="preserve">Li</w:t>
                  </w:r>
                </w:p>
              </w:tc>
              <w:tc>
                <w:tcPr/>
                <w:p>
                  <w:pPr>
                    <w:pStyle w:val="Compact"/>
                    <w:jc w:val="center"/>
                    <w:jc w:val="center"/>
                  </w:pPr>
                  <w:r>
                    <w:t xml:space="preserve">6.47</w:t>
                  </w:r>
                </w:p>
              </w:tc>
              <w:tc>
                <w:tcPr/>
                <w:p>
                  <w:pPr>
                    <w:pStyle w:val="Compact"/>
                    <w:jc w:val="center"/>
                    <w:jc w:val="center"/>
                  </w:pPr>
                  <w:r>
                    <w:t xml:space="preserve">0.90</w:t>
                  </w:r>
                </w:p>
              </w:tc>
              <w:tc>
                <w:tcPr/>
                <w:p>
                  <w:pPr>
                    <w:pStyle w:val="Compact"/>
                    <w:jc w:val="center"/>
                    <w:jc w:val="center"/>
                  </w:pPr>
                  <w:r>
                    <w:t xml:space="preserve">8.60</w:t>
                  </w:r>
                </w:p>
              </w:tc>
              <w:tc>
                <w:tcPr/>
                <w:p>
                  <w:pPr>
                    <w:pStyle w:val="Compact"/>
                    <w:jc w:val="center"/>
                    <w:jc w:val="center"/>
                  </w:pPr>
                  <w:r>
                    <w:t xml:space="preserve">4.30</w:t>
                  </w:r>
                </w:p>
              </w:tc>
              <w:tc>
                <w:tcPr/>
                <w:p>
                  <w:pPr>
                    <w:pStyle w:val="Compact"/>
                    <w:jc w:val="center"/>
                    <w:jc w:val="center"/>
                  </w:pPr>
                  <w:r>
                    <w:t xml:space="preserve">−0.02</w:t>
                  </w:r>
                </w:p>
              </w:tc>
              <w:tc>
                <w:tcPr/>
                <w:p>
                  <w:pPr>
                    <w:pStyle w:val="Compact"/>
                    <w:jc w:val="center"/>
                    <w:jc w:val="center"/>
                  </w:pPr>
                  <w:r>
                    <w:t xml:space="preserve">13.89</w:t>
                  </w:r>
                </w:p>
              </w:tc>
            </w:tr>
            <w:tr>
              <w:tc>
                <w:tcPr/>
                <w:p>
                  <w:pPr>
                    <w:pStyle w:val="Compact"/>
                    <w:jc w:val="center"/>
                    <w:jc w:val="center"/>
                  </w:pPr>
                  <w:r>
                    <w:t xml:space="preserve">La</w:t>
                  </w:r>
                </w:p>
              </w:tc>
              <w:tc>
                <w:tcPr/>
                <w:p>
                  <w:pPr>
                    <w:pStyle w:val="Compact"/>
                    <w:jc w:val="center"/>
                    <w:jc w:val="center"/>
                  </w:pPr>
                  <w:r>
                    <w:t xml:space="preserve">15.00</w:t>
                  </w:r>
                </w:p>
              </w:tc>
              <w:tc>
                <w:tcPr/>
                <w:p>
                  <w:pPr>
                    <w:pStyle w:val="Compact"/>
                    <w:jc w:val="center"/>
                    <w:jc w:val="center"/>
                  </w:pPr>
                  <w:r>
                    <w:t xml:space="preserve">2.60</w:t>
                  </w:r>
                </w:p>
              </w:tc>
              <w:tc>
                <w:tcPr/>
                <w:p>
                  <w:pPr>
                    <w:pStyle w:val="Compact"/>
                    <w:jc w:val="center"/>
                    <w:jc w:val="center"/>
                  </w:pPr>
                  <w:r>
                    <w:t xml:space="preserve">21.80</w:t>
                  </w:r>
                </w:p>
              </w:tc>
              <w:tc>
                <w:tcPr/>
                <w:p>
                  <w:pPr>
                    <w:pStyle w:val="Compact"/>
                    <w:jc w:val="center"/>
                    <w:jc w:val="center"/>
                  </w:pPr>
                  <w:r>
                    <w:t xml:space="preserve">10.30</w:t>
                  </w:r>
                </w:p>
              </w:tc>
              <w:tc>
                <w:tcPr/>
                <w:p>
                  <w:pPr>
                    <w:pStyle w:val="Compact"/>
                    <w:jc w:val="center"/>
                    <w:jc w:val="center"/>
                  </w:pPr>
                  <w:r>
                    <w:t xml:space="preserve">0.33</w:t>
                  </w:r>
                </w:p>
              </w:tc>
              <w:tc>
                <w:tcPr/>
                <w:p>
                  <w:pPr>
                    <w:pStyle w:val="Compact"/>
                    <w:jc w:val="center"/>
                    <w:jc w:val="center"/>
                  </w:pPr>
                  <w:r>
                    <w:t xml:space="preserve">17.31</w:t>
                  </w:r>
                </w:p>
              </w:tc>
            </w:tr>
            <w:tr>
              <w:tc>
                <w:tcPr/>
                <w:p>
                  <w:pPr>
                    <w:pStyle w:val="Compact"/>
                    <w:jc w:val="center"/>
                    <w:jc w:val="center"/>
                  </w:pPr>
                  <w:r>
                    <w:t xml:space="preserve">Nb</w:t>
                  </w:r>
                </w:p>
              </w:tc>
              <w:tc>
                <w:tcPr/>
                <w:p>
                  <w:pPr>
                    <w:pStyle w:val="Compact"/>
                    <w:jc w:val="center"/>
                    <w:jc w:val="center"/>
                  </w:pPr>
                  <w:r>
                    <w:t xml:space="preserve">0.37</w:t>
                  </w:r>
                </w:p>
              </w:tc>
              <w:tc>
                <w:tcPr/>
                <w:p>
                  <w:pPr>
                    <w:pStyle w:val="Compact"/>
                    <w:jc w:val="center"/>
                    <w:jc w:val="center"/>
                  </w:pPr>
                  <w:r>
                    <w:t xml:space="preserve">0.06</w:t>
                  </w:r>
                </w:p>
              </w:tc>
              <w:tc>
                <w:tcPr/>
                <w:p>
                  <w:pPr>
                    <w:pStyle w:val="Compact"/>
                    <w:jc w:val="center"/>
                    <w:jc w:val="center"/>
                  </w:pPr>
                  <w:r>
                    <w:t xml:space="preserve">0.56</w:t>
                  </w:r>
                </w:p>
              </w:tc>
              <w:tc>
                <w:tcPr/>
                <w:p>
                  <w:pPr>
                    <w:pStyle w:val="Compact"/>
                    <w:jc w:val="center"/>
                    <w:jc w:val="center"/>
                  </w:pPr>
                  <w:r>
                    <w:t xml:space="preserve">0.17</w:t>
                  </w:r>
                </w:p>
              </w:tc>
              <w:tc>
                <w:tcPr/>
                <w:p>
                  <w:pPr>
                    <w:pStyle w:val="Compact"/>
                    <w:jc w:val="center"/>
                    <w:jc w:val="center"/>
                  </w:pPr>
                  <w:r>
                    <w:t xml:space="preserve">−0.68</w:t>
                  </w:r>
                </w:p>
              </w:tc>
              <w:tc>
                <w:tcPr/>
                <w:p>
                  <w:pPr>
                    <w:pStyle w:val="Compact"/>
                    <w:jc w:val="center"/>
                    <w:jc w:val="center"/>
                  </w:pPr>
                  <w:r>
                    <w:t xml:space="preserve">17.10</w:t>
                  </w:r>
                </w:p>
              </w:tc>
            </w:tr>
            <w:tr>
              <w:tc>
                <w:tcPr/>
                <w:p>
                  <w:pPr>
                    <w:pStyle w:val="Compact"/>
                    <w:jc w:val="center"/>
                    <w:jc w:val="center"/>
                  </w:pPr>
                  <w:r>
                    <w:t xml:space="preserve">Ni</w:t>
                  </w:r>
                </w:p>
              </w:tc>
              <w:tc>
                <w:tcPr/>
                <w:p>
                  <w:pPr>
                    <w:pStyle w:val="Compact"/>
                    <w:jc w:val="center"/>
                    <w:jc w:val="center"/>
                  </w:pPr>
                  <w:r>
                    <w:t xml:space="preserve">18.09</w:t>
                  </w:r>
                </w:p>
              </w:tc>
              <w:tc>
                <w:tcPr/>
                <w:p>
                  <w:pPr>
                    <w:pStyle w:val="Compact"/>
                    <w:jc w:val="center"/>
                    <w:jc w:val="center"/>
                  </w:pPr>
                  <w:r>
                    <w:t xml:space="preserve">3.90</w:t>
                  </w:r>
                </w:p>
              </w:tc>
              <w:tc>
                <w:tcPr/>
                <w:p>
                  <w:pPr>
                    <w:pStyle w:val="Compact"/>
                    <w:jc w:val="center"/>
                    <w:jc w:val="center"/>
                  </w:pPr>
                  <w:r>
                    <w:t xml:space="preserve">28.00</w:t>
                  </w:r>
                </w:p>
              </w:tc>
              <w:tc>
                <w:tcPr/>
                <w:p>
                  <w:pPr>
                    <w:pStyle w:val="Compact"/>
                    <w:jc w:val="center"/>
                    <w:jc w:val="center"/>
                  </w:pPr>
                  <w:r>
                    <w:t xml:space="preserve">11.00</w:t>
                  </w:r>
                </w:p>
              </w:tc>
              <w:tc>
                <w:tcPr/>
                <w:p>
                  <w:pPr>
                    <w:pStyle w:val="Compact"/>
                    <w:jc w:val="center"/>
                    <w:jc w:val="center"/>
                  </w:pPr>
                  <w:r>
                    <w:t xml:space="preserve">0.33</w:t>
                  </w:r>
                </w:p>
              </w:tc>
              <w:tc>
                <w:tcPr/>
                <w:p>
                  <w:pPr>
                    <w:pStyle w:val="Compact"/>
                    <w:jc w:val="center"/>
                    <w:jc w:val="center"/>
                  </w:pPr>
                  <w:r>
                    <w:t xml:space="preserve">21.55</w:t>
                  </w:r>
                </w:p>
              </w:tc>
            </w:tr>
            <w:tr>
              <w:tc>
                <w:tcPr/>
                <w:p>
                  <w:pPr>
                    <w:pStyle w:val="Compact"/>
                    <w:jc w:val="center"/>
                    <w:jc w:val="center"/>
                  </w:pPr>
                  <w:r>
                    <w:t xml:space="preserve">Rb</w:t>
                  </w:r>
                </w:p>
              </w:tc>
              <w:tc>
                <w:tcPr/>
                <w:p>
                  <w:pPr>
                    <w:pStyle w:val="Compact"/>
                    <w:jc w:val="center"/>
                    <w:jc w:val="center"/>
                  </w:pPr>
                  <w:r>
                    <w:t xml:space="preserve">13.83</w:t>
                  </w:r>
                </w:p>
              </w:tc>
              <w:tc>
                <w:tcPr/>
                <w:p>
                  <w:pPr>
                    <w:pStyle w:val="Compact"/>
                    <w:jc w:val="center"/>
                    <w:jc w:val="center"/>
                  </w:pPr>
                  <w:r>
                    <w:t xml:space="preserve">1.85</w:t>
                  </w:r>
                </w:p>
              </w:tc>
              <w:tc>
                <w:tcPr/>
                <w:p>
                  <w:pPr>
                    <w:pStyle w:val="Compact"/>
                    <w:jc w:val="center"/>
                    <w:jc w:val="center"/>
                  </w:pPr>
                  <w:r>
                    <w:t xml:space="preserve">18.10</w:t>
                  </w:r>
                </w:p>
              </w:tc>
              <w:tc>
                <w:tcPr/>
                <w:p>
                  <w:pPr>
                    <w:pStyle w:val="Compact"/>
                    <w:jc w:val="center"/>
                    <w:jc w:val="center"/>
                  </w:pPr>
                  <w:r>
                    <w:t xml:space="preserve">9.90</w:t>
                  </w:r>
                </w:p>
              </w:tc>
              <w:tc>
                <w:tcPr/>
                <w:p>
                  <w:pPr>
                    <w:pStyle w:val="Compact"/>
                    <w:jc w:val="center"/>
                    <w:jc w:val="center"/>
                  </w:pPr>
                  <w:r>
                    <w:t xml:space="preserve">0.27</w:t>
                  </w:r>
                </w:p>
              </w:tc>
              <w:tc>
                <w:tcPr/>
                <w:p>
                  <w:pPr>
                    <w:pStyle w:val="Compact"/>
                    <w:jc w:val="center"/>
                    <w:jc w:val="center"/>
                  </w:pPr>
                  <w:r>
                    <w:t xml:space="preserve">13.40</w:t>
                  </w:r>
                </w:p>
              </w:tc>
            </w:tr>
            <w:tr>
              <w:tc>
                <w:tcPr/>
                <w:p>
                  <w:pPr>
                    <w:pStyle w:val="Compact"/>
                    <w:jc w:val="center"/>
                    <w:jc w:val="center"/>
                  </w:pPr>
                  <w:r>
                    <w:t xml:space="preserve">Sr</w:t>
                  </w:r>
                </w:p>
              </w:tc>
              <w:tc>
                <w:tcPr/>
                <w:p>
                  <w:pPr>
                    <w:pStyle w:val="Compact"/>
                    <w:jc w:val="center"/>
                    <w:jc w:val="center"/>
                  </w:pPr>
                  <w:r>
                    <w:t xml:space="preserve">32.43</w:t>
                  </w:r>
                </w:p>
              </w:tc>
              <w:tc>
                <w:tcPr/>
                <w:p>
                  <w:pPr>
                    <w:pStyle w:val="Compact"/>
                    <w:jc w:val="center"/>
                    <w:jc w:val="center"/>
                  </w:pPr>
                  <w:r>
                    <w:t xml:space="preserve">12.60</w:t>
                  </w:r>
                </w:p>
              </w:tc>
              <w:tc>
                <w:tcPr/>
                <w:p>
                  <w:pPr>
                    <w:pStyle w:val="Compact"/>
                    <w:jc w:val="center"/>
                    <w:jc w:val="center"/>
                  </w:pPr>
                  <w:r>
                    <w:t xml:space="preserve">64.20</w:t>
                  </w:r>
                </w:p>
              </w:tc>
              <w:tc>
                <w:tcPr/>
                <w:p>
                  <w:pPr>
                    <w:pStyle w:val="Compact"/>
                    <w:jc w:val="center"/>
                    <w:jc w:val="center"/>
                  </w:pPr>
                  <w:r>
                    <w:t xml:space="preserve">15.30</w:t>
                  </w:r>
                </w:p>
              </w:tc>
              <w:tc>
                <w:tcPr/>
                <w:p>
                  <w:pPr>
                    <w:pStyle w:val="Compact"/>
                    <w:jc w:val="center"/>
                    <w:jc w:val="center"/>
                  </w:pPr>
                  <w:r>
                    <w:t xml:space="preserve">0.98</w:t>
                  </w:r>
                </w:p>
              </w:tc>
              <w:tc>
                <w:tcPr/>
                <w:p>
                  <w:pPr>
                    <w:pStyle w:val="Compact"/>
                    <w:jc w:val="center"/>
                    <w:jc w:val="center"/>
                  </w:pPr>
                  <w:r>
                    <w:t xml:space="preserve">38.87</w:t>
                  </w:r>
                </w:p>
              </w:tc>
            </w:tr>
            <w:tr>
              <w:tc>
                <w:tcPr/>
                <w:p>
                  <w:pPr>
                    <w:pStyle w:val="Compact"/>
                    <w:jc w:val="center"/>
                    <w:jc w:val="center"/>
                  </w:pPr>
                  <w:r>
                    <w:t xml:space="preserve">a*</w:t>
                  </w:r>
                </w:p>
              </w:tc>
              <w:tc>
                <w:tcPr/>
                <w:p>
                  <w:pPr>
                    <w:pStyle w:val="Compact"/>
                    <w:jc w:val="center"/>
                    <w:jc w:val="center"/>
                  </w:pPr>
                  <w:r>
                    <w:t xml:space="preserve">5.73</w:t>
                  </w:r>
                </w:p>
              </w:tc>
              <w:tc>
                <w:tcPr/>
                <w:p>
                  <w:pPr>
                    <w:pStyle w:val="Compact"/>
                    <w:jc w:val="center"/>
                    <w:jc w:val="center"/>
                  </w:pPr>
                  <w:r>
                    <w:t xml:space="preserve">0.41</w:t>
                  </w:r>
                </w:p>
              </w:tc>
              <w:tc>
                <w:tcPr/>
                <w:p>
                  <w:pPr>
                    <w:pStyle w:val="Compact"/>
                    <w:jc w:val="center"/>
                    <w:jc w:val="center"/>
                  </w:pPr>
                  <w:r>
                    <w:t xml:space="preserve">6.56</w:t>
                  </w:r>
                </w:p>
              </w:tc>
              <w:tc>
                <w:tcPr/>
                <w:p>
                  <w:pPr>
                    <w:pStyle w:val="Compact"/>
                    <w:jc w:val="center"/>
                    <w:jc w:val="center"/>
                  </w:pPr>
                  <w:r>
                    <w:t xml:space="preserve">4.41</w:t>
                  </w:r>
                </w:p>
              </w:tc>
              <w:tc>
                <w:tcPr/>
                <w:p>
                  <w:pPr>
                    <w:pStyle w:val="Compact"/>
                    <w:jc w:val="center"/>
                    <w:jc w:val="center"/>
                  </w:pPr>
                  <w:r>
                    <w:t xml:space="preserve">−0.38</w:t>
                  </w:r>
                </w:p>
              </w:tc>
              <w:tc>
                <w:tcPr/>
                <w:p>
                  <w:pPr>
                    <w:pStyle w:val="Compact"/>
                    <w:jc w:val="center"/>
                    <w:jc w:val="center"/>
                  </w:pPr>
                  <w:r>
                    <w:t xml:space="preserve">7.10</w:t>
                  </w:r>
                </w:p>
              </w:tc>
            </w:tr>
            <w:tr>
              <w:tc>
                <w:tcPr/>
                <w:p>
                  <w:pPr>
                    <w:pStyle w:val="Compact"/>
                    <w:jc w:val="center"/>
                    <w:jc w:val="center"/>
                  </w:pPr>
                  <w:r>
                    <w:t xml:space="preserve">b*</w:t>
                  </w:r>
                </w:p>
              </w:tc>
              <w:tc>
                <w:tcPr/>
                <w:p>
                  <w:pPr>
                    <w:pStyle w:val="Compact"/>
                    <w:jc w:val="center"/>
                    <w:jc w:val="center"/>
                  </w:pPr>
                  <w:r>
                    <w:t xml:space="preserve">12.47</w:t>
                  </w:r>
                </w:p>
              </w:tc>
              <w:tc>
                <w:tcPr/>
                <w:p>
                  <w:pPr>
                    <w:pStyle w:val="Compact"/>
                    <w:jc w:val="center"/>
                    <w:jc w:val="center"/>
                  </w:pPr>
                  <w:r>
                    <w:t xml:space="preserve">2.01</w:t>
                  </w:r>
                </w:p>
              </w:tc>
              <w:tc>
                <w:tcPr/>
                <w:p>
                  <w:pPr>
                    <w:pStyle w:val="Compact"/>
                    <w:jc w:val="center"/>
                    <w:jc w:val="center"/>
                  </w:pPr>
                  <w:r>
                    <w:t xml:space="preserve">15.91</w:t>
                  </w:r>
                </w:p>
              </w:tc>
              <w:tc>
                <w:tcPr/>
                <w:p>
                  <w:pPr>
                    <w:pStyle w:val="Compact"/>
                    <w:jc w:val="center"/>
                    <w:jc w:val="center"/>
                  </w:pPr>
                  <w:r>
                    <w:t xml:space="preserve">8.02</w:t>
                  </w:r>
                </w:p>
              </w:tc>
              <w:tc>
                <w:tcPr/>
                <w:p>
                  <w:pPr>
                    <w:pStyle w:val="Compact"/>
                    <w:jc w:val="center"/>
                    <w:jc w:val="center"/>
                  </w:pPr>
                  <w:r>
                    <w:t xml:space="preserve">0.22</w:t>
                  </w:r>
                </w:p>
              </w:tc>
              <w:tc>
                <w:tcPr/>
                <w:p>
                  <w:pPr>
                    <w:pStyle w:val="Compact"/>
                    <w:jc w:val="center"/>
                    <w:jc w:val="center"/>
                  </w:pPr>
                  <w:r>
                    <w:t xml:space="preserve">16.11</w:t>
                  </w:r>
                </w:p>
              </w:tc>
            </w:tr>
            <w:tr>
              <w:tc>
                <w:tcPr/>
                <w:p>
                  <w:pPr>
                    <w:pStyle w:val="Compact"/>
                    <w:jc w:val="center"/>
                    <w:jc w:val="center"/>
                  </w:pPr>
                  <w:r>
                    <w:t xml:space="preserve">c*</w:t>
                  </w:r>
                </w:p>
              </w:tc>
              <w:tc>
                <w:tcPr/>
                <w:p>
                  <w:pPr>
                    <w:pStyle w:val="Compact"/>
                    <w:jc w:val="center"/>
                    <w:jc w:val="center"/>
                  </w:pPr>
                  <w:r>
                    <w:t xml:space="preserve">13.74</w:t>
                  </w:r>
                </w:p>
              </w:tc>
              <w:tc>
                <w:tcPr/>
                <w:p>
                  <w:pPr>
                    <w:pStyle w:val="Compact"/>
                    <w:jc w:val="center"/>
                    <w:jc w:val="center"/>
                  </w:pPr>
                  <w:r>
                    <w:t xml:space="preserve">1.94</w:t>
                  </w:r>
                </w:p>
              </w:tc>
              <w:tc>
                <w:tcPr/>
                <w:p>
                  <w:pPr>
                    <w:pStyle w:val="Compact"/>
                    <w:jc w:val="center"/>
                    <w:jc w:val="center"/>
                  </w:pPr>
                  <w:r>
                    <w:t xml:space="preserve">17.00</w:t>
                  </w:r>
                </w:p>
              </w:tc>
              <w:tc>
                <w:tcPr/>
                <w:p>
                  <w:pPr>
                    <w:pStyle w:val="Compact"/>
                    <w:jc w:val="center"/>
                    <w:jc w:val="center"/>
                  </w:pPr>
                  <w:r>
                    <w:t xml:space="preserve">9.15</w:t>
                  </w:r>
                </w:p>
              </w:tc>
              <w:tc>
                <w:tcPr/>
                <w:p>
                  <w:pPr>
                    <w:pStyle w:val="Compact"/>
                    <w:jc w:val="center"/>
                    <w:jc w:val="center"/>
                  </w:pPr>
                  <w:r>
                    <w:t xml:space="preserve">0.15</w:t>
                  </w:r>
                </w:p>
              </w:tc>
              <w:tc>
                <w:tcPr/>
                <w:p>
                  <w:pPr>
                    <w:pStyle w:val="Compact"/>
                    <w:jc w:val="center"/>
                    <w:jc w:val="center"/>
                  </w:pPr>
                  <w:r>
                    <w:t xml:space="preserve">14.15</w:t>
                  </w:r>
                </w:p>
              </w:tc>
            </w:tr>
            <w:tr>
              <w:tc>
                <w:tcPr/>
                <w:p>
                  <w:pPr>
                    <w:pStyle w:val="Compact"/>
                    <w:jc w:val="center"/>
                    <w:jc w:val="center"/>
                  </w:pPr>
                  <w:r>
                    <w:t xml:space="preserve">h*</w:t>
                  </w:r>
                </w:p>
              </w:tc>
              <w:tc>
                <w:tcPr/>
                <w:p>
                  <w:pPr>
                    <w:pStyle w:val="Compact"/>
                    <w:jc w:val="center"/>
                    <w:jc w:val="center"/>
                  </w:pPr>
                  <w:r>
                    <w:t xml:space="preserve">1.13</w:t>
                  </w:r>
                </w:p>
              </w:tc>
              <w:tc>
                <w:tcPr/>
                <w:p>
                  <w:pPr>
                    <w:pStyle w:val="Compact"/>
                    <w:jc w:val="center"/>
                    <w:jc w:val="center"/>
                  </w:pPr>
                  <w:r>
                    <w:t xml:space="preserve">0.05</w:t>
                  </w:r>
                </w:p>
              </w:tc>
              <w:tc>
                <w:tcPr/>
                <w:p>
                  <w:pPr>
                    <w:pStyle w:val="Compact"/>
                    <w:jc w:val="center"/>
                    <w:jc w:val="center"/>
                  </w:pPr>
                  <w:r>
                    <w:t xml:space="preserve">1.23</w:t>
                  </w:r>
                </w:p>
              </w:tc>
              <w:tc>
                <w:tcPr/>
                <w:p>
                  <w:pPr>
                    <w:pStyle w:val="Compact"/>
                    <w:jc w:val="center"/>
                    <w:jc w:val="center"/>
                  </w:pPr>
                  <w:r>
                    <w:t xml:space="preserve">1.06</w:t>
                  </w:r>
                </w:p>
              </w:tc>
              <w:tc>
                <w:tcPr/>
                <w:p>
                  <w:pPr>
                    <w:pStyle w:val="Compact"/>
                    <w:jc w:val="center"/>
                    <w:jc w:val="center"/>
                  </w:pPr>
                  <w:r>
                    <w:t xml:space="preserve">0.34</w:t>
                  </w:r>
                </w:p>
              </w:tc>
              <w:tc>
                <w:tcPr/>
                <w:p>
                  <w:pPr>
                    <w:pStyle w:val="Compact"/>
                    <w:jc w:val="center"/>
                    <w:jc w:val="center"/>
                  </w:pPr>
                  <w:r>
                    <w:t xml:space="preserve">4.13</w:t>
                  </w:r>
                </w:p>
              </w:tc>
            </w:tr>
            <w:tr>
              <w:tc>
                <w:tcPr/>
                <w:p>
                  <w:pPr>
                    <w:pStyle w:val="Compact"/>
                    <w:jc w:val="center"/>
                    <w:jc w:val="center"/>
                  </w:pPr>
                  <w:r>
                    <w:t xml:space="preserve">x</w:t>
                  </w:r>
                </w:p>
              </w:tc>
              <w:tc>
                <w:tcPr/>
                <w:p>
                  <w:pPr>
                    <w:pStyle w:val="Compact"/>
                    <w:jc w:val="center"/>
                    <w:jc w:val="center"/>
                  </w:pPr>
                  <w:r>
                    <w:t xml:space="preserve">0.49</w:t>
                  </w:r>
                </w:p>
              </w:tc>
              <w:tc>
                <w:tcPr/>
                <w:p>
                  <w:pPr>
                    <w:pStyle w:val="Compact"/>
                    <w:jc w:val="center"/>
                    <w:jc w:val="center"/>
                  </w:pPr>
                  <w:r>
                    <w:t xml:space="preserve">0.00</w:t>
                  </w:r>
                </w:p>
              </w:tc>
              <w:tc>
                <w:tcPr/>
                <w:p>
                  <w:pPr>
                    <w:pStyle w:val="Compact"/>
                    <w:jc w:val="center"/>
                    <w:jc w:val="center"/>
                  </w:pPr>
                  <w:r>
                    <w:t xml:space="preserve">0.49</w:t>
                  </w:r>
                </w:p>
              </w:tc>
              <w:tc>
                <w:tcPr/>
                <w:p>
                  <w:pPr>
                    <w:pStyle w:val="Compact"/>
                    <w:jc w:val="center"/>
                    <w:jc w:val="center"/>
                  </w:pPr>
                  <w:r>
                    <w:t xml:space="preserve">0.48</w:t>
                  </w:r>
                </w:p>
              </w:tc>
              <w:tc>
                <w:tcPr/>
                <w:p>
                  <w:pPr>
                    <w:pStyle w:val="Compact"/>
                    <w:jc w:val="center"/>
                    <w:jc w:val="center"/>
                  </w:pPr>
                  <w:r>
                    <w:t xml:space="preserve">−0.21</w:t>
                  </w:r>
                </w:p>
              </w:tc>
              <w:tc>
                <w:tcPr/>
                <w:p>
                  <w:pPr>
                    <w:pStyle w:val="Compact"/>
                    <w:jc w:val="center"/>
                    <w:jc w:val="center"/>
                  </w:pPr>
                  <w:r>
                    <w:t xml:space="preserve">0.47</w:t>
                  </w:r>
                </w:p>
              </w:tc>
            </w:tr>
          </w:tbl>
          <w:bookmarkEnd w:id="21"/>
          <w:p/>
        </w:tc>
      </w:tr>
    </w:tbl>
    <w:p>
      <w:pPr>
        <w:pStyle w:val="TextBody"/>
      </w:pPr>
      <w:r>
        <w:rPr>
          <w:vertAlign w:val="subscript"/>
        </w:rPr>
        <w:t xml:space="preserve">Source:</w:t>
      </w:r>
      <w:r>
        <w:rPr>
          <w:vertAlign w:val="subscript"/>
        </w:rPr>
        <w:t xml:space="preserve"> </w:t>
      </w:r>
      <w:hyperlink r:id="rId22">
        <w:r>
          <w:rPr>
            <w:rStyle w:val="InternetLink"/>
            <w:vertAlign w:val="subscript"/>
          </w:rPr>
          <w:t xml:space="preserve">Univariate summary</w:t>
        </w:r>
      </w:hyperlink>
    </w:p>
    <w:tbl>
      <w:tblPr>
        <w:tblStyle w:val="Table"/>
        <w:tblW w:type="pct" w:w="5000"/>
        <w:tblLayout w:type="fixed"/>
        <w:tblLook w:firstRow="0" w:lastRow="0" w:firstColumn="0" w:lastColumn="0" w:noHBand="0" w:noVBand="0" w:val="0000"/>
      </w:tblPr>
      <w:tblGrid>
        <w:gridCol w:w="7920"/>
      </w:tblGrid>
      <w:tr>
        <w:tc>
          <w:tcPr/>
          <w:bookmarkStart w:id="23" w:name="tbl-univariate-summary2"/>
          <w:p>
            <w:pPr>
              <w:jc w:val="center"/>
            </w:pPr>
            <w:pPr>
              <w:jc w:val="left"/>
              <w:spacing w:before="200"/>
              <w:pStyle w:val="ImageCaption"/>
            </w:pPr>
            <w:r>
              <w:t xml:space="preserve">Table 2: Summary univariate statistics of terrain attributes for each site (n = 49).</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jc w:val="center"/>
                  </w:pPr>
                  <w:r>
                    <w:t xml:space="preserve">Terrain Attribute</w:t>
                  </w:r>
                </w:p>
              </w:tc>
              <w:tc>
                <w:tcPr/>
                <w:p>
                  <w:pPr>
                    <w:pStyle w:val="Compact"/>
                    <w:jc w:val="center"/>
                    <w:jc w:val="center"/>
                  </w:pPr>
                  <w:r>
                    <w:t xml:space="preserve">Mean</w:t>
                  </w:r>
                </w:p>
              </w:tc>
              <w:tc>
                <w:tcPr/>
                <w:p>
                  <w:pPr>
                    <w:pStyle w:val="Compact"/>
                    <w:jc w:val="center"/>
                    <w:jc w:val="center"/>
                  </w:pPr>
                  <w:r>
                    <w:t xml:space="preserve">SD</w:t>
                  </w:r>
                </w:p>
              </w:tc>
              <w:tc>
                <w:tcPr/>
                <w:p>
                  <w:pPr>
                    <w:pStyle w:val="Compact"/>
                    <w:jc w:val="center"/>
                    <w:jc w:val="center"/>
                  </w:pPr>
                  <w:r>
                    <w:t xml:space="preserve">Max</w:t>
                  </w:r>
                </w:p>
              </w:tc>
              <w:tc>
                <w:tcPr/>
                <w:p>
                  <w:pPr>
                    <w:pStyle w:val="Compact"/>
                    <w:jc w:val="center"/>
                    <w:jc w:val="center"/>
                  </w:pPr>
                  <w:r>
                    <w:t xml:space="preserve">Min</w:t>
                  </w:r>
                </w:p>
              </w:tc>
              <w:tc>
                <w:tcPr/>
                <w:p>
                  <w:pPr>
                    <w:pStyle w:val="Compact"/>
                    <w:jc w:val="center"/>
                    <w:jc w:val="center"/>
                  </w:pPr>
                  <w:r>
                    <w:t xml:space="preserve">Skewness</w:t>
                  </w:r>
                </w:p>
              </w:tc>
              <w:tc>
                <w:tcPr/>
                <w:p>
                  <w:pPr>
                    <w:pStyle w:val="Compact"/>
                    <w:jc w:val="center"/>
                    <w:jc w:val="center"/>
                  </w:pPr>
                  <w:r>
                    <w:t xml:space="preserve">CV</w:t>
                  </w:r>
                </w:p>
              </w:tc>
            </w:tr>
            <w:tr>
              <w:tc>
                <w:tcPr>
                  <w:gridSpan w:val="7"/>
                </w:tcPr>
                <w:p>
                  <w:pPr>
                    <w:pStyle w:val="Compact"/>
                    <w:jc w:val="center"/>
                    <w:jc w:val="center"/>
                  </w:pPr>
                  <w:r>
                    <w:t xml:space="preserve">Agriculture</w:t>
                  </w:r>
                </w:p>
              </w:tc>
            </w:tr>
            <w:tr>
              <w:tc>
                <w:tcPr/>
                <w:p>
                  <w:pPr>
                    <w:pStyle w:val="Compact"/>
                    <w:jc w:val="center"/>
                    <w:jc w:val="center"/>
                  </w:pPr>
                  <w:r>
                    <w:t xml:space="preserve">Catchment Area</w:t>
                  </w:r>
                </w:p>
              </w:tc>
              <w:tc>
                <w:tcPr/>
                <w:p>
                  <w:pPr>
                    <w:pStyle w:val="Compact"/>
                    <w:jc w:val="center"/>
                    <w:jc w:val="center"/>
                  </w:pPr>
                  <w:r>
                    <w:t xml:space="preserve">454.54</w:t>
                  </w:r>
                </w:p>
              </w:tc>
              <w:tc>
                <w:tcPr/>
                <w:p>
                  <w:pPr>
                    <w:pStyle w:val="Compact"/>
                    <w:jc w:val="center"/>
                    <w:jc w:val="center"/>
                  </w:pPr>
                  <w:r>
                    <w:t xml:space="preserve">1,033.10</w:t>
                  </w:r>
                </w:p>
              </w:tc>
              <w:tc>
                <w:tcPr/>
                <w:p>
                  <w:pPr>
                    <w:pStyle w:val="Compact"/>
                    <w:jc w:val="center"/>
                    <w:jc w:val="center"/>
                  </w:pPr>
                  <w:r>
                    <w:t xml:space="preserve">6,442.41</w:t>
                  </w:r>
                </w:p>
              </w:tc>
              <w:tc>
                <w:tcPr/>
                <w:p>
                  <w:pPr>
                    <w:pStyle w:val="Compact"/>
                    <w:jc w:val="center"/>
                    <w:jc w:val="center"/>
                  </w:pPr>
                  <w:r>
                    <w:t xml:space="preserve">8.41</w:t>
                  </w:r>
                </w:p>
              </w:tc>
              <w:tc>
                <w:tcPr/>
                <w:p>
                  <w:pPr>
                    <w:pStyle w:val="Compact"/>
                    <w:jc w:val="center"/>
                    <w:jc w:val="center"/>
                  </w:pPr>
                  <w:r>
                    <w:t xml:space="preserve">4.46</w:t>
                  </w:r>
                </w:p>
              </w:tc>
              <w:tc>
                <w:tcPr/>
                <w:p>
                  <w:pPr>
                    <w:pStyle w:val="Compact"/>
                    <w:jc w:val="center"/>
                    <w:jc w:val="center"/>
                  </w:pPr>
                  <w:r>
                    <w:t xml:space="preserve">227.29</w:t>
                  </w:r>
                </w:p>
              </w:tc>
            </w:tr>
            <w:tr>
              <w:tc>
                <w:tcPr/>
                <w:p>
                  <w:pPr>
                    <w:pStyle w:val="Compact"/>
                    <w:jc w:val="center"/>
                    <w:jc w:val="center"/>
                  </w:pPr>
                  <w:r>
                    <w:t xml:space="preserve">Vert. Dist. Channel</w:t>
                  </w:r>
                </w:p>
              </w:tc>
              <w:tc>
                <w:tcPr/>
                <w:p>
                  <w:pPr>
                    <w:pStyle w:val="Compact"/>
                    <w:jc w:val="center"/>
                    <w:jc w:val="center"/>
                  </w:pPr>
                  <w:r>
                    <w:t xml:space="preserve">0.06</w:t>
                  </w:r>
                </w:p>
              </w:tc>
              <w:tc>
                <w:tcPr/>
                <w:p>
                  <w:pPr>
                    <w:pStyle w:val="Compact"/>
                    <w:jc w:val="center"/>
                    <w:jc w:val="center"/>
                  </w:pPr>
                  <w:r>
                    <w:t xml:space="preserve">0.05</w:t>
                  </w:r>
                </w:p>
              </w:tc>
              <w:tc>
                <w:tcPr/>
                <w:p>
                  <w:pPr>
                    <w:pStyle w:val="Compact"/>
                    <w:jc w:val="center"/>
                    <w:jc w:val="center"/>
                  </w:pPr>
                  <w:r>
                    <w:t xml:space="preserve">0.22</w:t>
                  </w:r>
                </w:p>
              </w:tc>
              <w:tc>
                <w:tcPr/>
                <w:p>
                  <w:pPr>
                    <w:pStyle w:val="Compact"/>
                    <w:jc w:val="center"/>
                    <w:jc w:val="center"/>
                  </w:pPr>
                  <w:r>
                    <w:t xml:space="preserve">0.01</w:t>
                  </w:r>
                </w:p>
              </w:tc>
              <w:tc>
                <w:tcPr/>
                <w:p>
                  <w:pPr>
                    <w:pStyle w:val="Compact"/>
                    <w:jc w:val="center"/>
                    <w:jc w:val="center"/>
                  </w:pPr>
                  <w:r>
                    <w:t xml:space="preserve">1.14</w:t>
                  </w:r>
                </w:p>
              </w:tc>
              <w:tc>
                <w:tcPr/>
                <w:p>
                  <w:pPr>
                    <w:pStyle w:val="Compact"/>
                    <w:jc w:val="center"/>
                    <w:jc w:val="center"/>
                  </w:pPr>
                  <w:r>
                    <w:t xml:space="preserve">81.39</w:t>
                  </w:r>
                </w:p>
              </w:tc>
            </w:tr>
            <w:tr>
              <w:tc>
                <w:tcPr/>
                <w:p>
                  <w:pPr>
                    <w:pStyle w:val="Compact"/>
                    <w:jc w:val="center"/>
                    <w:jc w:val="center"/>
                  </w:pPr>
                  <w:r>
                    <w:t xml:space="preserve">Elevation</w:t>
                  </w:r>
                </w:p>
              </w:tc>
              <w:tc>
                <w:tcPr/>
                <w:p>
                  <w:pPr>
                    <w:pStyle w:val="Compact"/>
                    <w:jc w:val="center"/>
                    <w:jc w:val="center"/>
                  </w:pPr>
                  <w:r>
                    <w:t xml:space="preserve">309.96</w:t>
                  </w:r>
                </w:p>
              </w:tc>
              <w:tc>
                <w:tcPr/>
                <w:p>
                  <w:pPr>
                    <w:pStyle w:val="Compact"/>
                    <w:jc w:val="center"/>
                    <w:jc w:val="center"/>
                  </w:pPr>
                  <w:r>
                    <w:t xml:space="preserve">0.69</w:t>
                  </w:r>
                </w:p>
              </w:tc>
              <w:tc>
                <w:tcPr/>
                <w:p>
                  <w:pPr>
                    <w:pStyle w:val="Compact"/>
                    <w:jc w:val="center"/>
                    <w:jc w:val="center"/>
                  </w:pPr>
                  <w:r>
                    <w:t xml:space="preserve">311.78</w:t>
                  </w:r>
                </w:p>
              </w:tc>
              <w:tc>
                <w:tcPr/>
                <w:p>
                  <w:pPr>
                    <w:pStyle w:val="Compact"/>
                    <w:jc w:val="center"/>
                    <w:jc w:val="center"/>
                  </w:pPr>
                  <w:r>
                    <w:t xml:space="preserve">309.03</w:t>
                  </w:r>
                </w:p>
              </w:tc>
              <w:tc>
                <w:tcPr/>
                <w:p>
                  <w:pPr>
                    <w:pStyle w:val="Compact"/>
                    <w:jc w:val="center"/>
                    <w:jc w:val="center"/>
                  </w:pPr>
                  <w:r>
                    <w:t xml:space="preserve">0.68</w:t>
                  </w:r>
                </w:p>
              </w:tc>
              <w:tc>
                <w:tcPr/>
                <w:p>
                  <w:pPr>
                    <w:pStyle w:val="Compact"/>
                    <w:jc w:val="center"/>
                    <w:jc w:val="center"/>
                  </w:pPr>
                  <w:r>
                    <w:t xml:space="preserve">0.22</w:t>
                  </w:r>
                </w:p>
              </w:tc>
            </w:tr>
            <w:tr>
              <w:tc>
                <w:tcPr/>
                <w:p>
                  <w:pPr>
                    <w:pStyle w:val="Compact"/>
                    <w:jc w:val="center"/>
                    <w:jc w:val="center"/>
                  </w:pPr>
                  <w:r>
                    <w:t xml:space="preserve">Plan Curvature</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−0.10</w:t>
                  </w:r>
                </w:p>
              </w:tc>
              <w:tc>
                <w:tcPr/>
                <w:p>
                  <w:pPr>
                    <w:pStyle w:val="Compact"/>
                    <w:jc w:val="center"/>
                    <w:jc w:val="center"/>
                  </w:pPr>
                  <w:r>
                    <w:t xml:space="preserve">−3,103.61</w:t>
                  </w:r>
                </w:p>
              </w:tc>
            </w:tr>
            <w:tr>
              <w:tc>
                <w:tcPr/>
                <w:p>
                  <w:pPr>
                    <w:pStyle w:val="Compact"/>
                    <w:jc w:val="center"/>
                    <w:jc w:val="center"/>
                  </w:pPr>
                  <w:r>
                    <w:t xml:space="preserve">Profile Curvature</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−0.31</w:t>
                  </w:r>
                </w:p>
              </w:tc>
              <w:tc>
                <w:tcPr/>
                <w:p>
                  <w:pPr>
                    <w:pStyle w:val="Compact"/>
                    <w:jc w:val="center"/>
                    <w:jc w:val="center"/>
                  </w:pPr>
                  <w:r>
                    <w:t xml:space="preserve">−1,309.29</w:t>
                  </w:r>
                </w:p>
              </w:tc>
            </w:tr>
            <w:tr>
              <w:tc>
                <w:tcPr/>
                <w:p>
                  <w:pPr>
                    <w:pStyle w:val="Compact"/>
                    <w:jc w:val="center"/>
                    <w:jc w:val="center"/>
                  </w:pPr>
                  <w:r>
                    <w:t xml:space="preserve">Rel. Slope Position</w:t>
                  </w:r>
                </w:p>
              </w:tc>
              <w:tc>
                <w:tcPr/>
                <w:p>
                  <w:pPr>
                    <w:pStyle w:val="Compact"/>
                    <w:jc w:val="center"/>
                    <w:jc w:val="center"/>
                  </w:pPr>
                  <w:r>
                    <w:t xml:space="preserve">0.67</w:t>
                  </w:r>
                </w:p>
              </w:tc>
              <w:tc>
                <w:tcPr/>
                <w:p>
                  <w:pPr>
                    <w:pStyle w:val="Compact"/>
                    <w:jc w:val="center"/>
                    <w:jc w:val="center"/>
                  </w:pPr>
                  <w:r>
                    <w:t xml:space="preserve">0.33</w:t>
                  </w:r>
                </w:p>
              </w:tc>
              <w:tc>
                <w:tcPr/>
                <w:p>
                  <w:pPr>
                    <w:pStyle w:val="Compact"/>
                    <w:jc w:val="center"/>
                    <w:jc w:val="center"/>
                  </w:pPr>
                  <w:r>
                    <w:t xml:space="preserve">1.00</w:t>
                  </w:r>
                </w:p>
              </w:tc>
              <w:tc>
                <w:tcPr/>
                <w:p>
                  <w:pPr>
                    <w:pStyle w:val="Compact"/>
                    <w:jc w:val="center"/>
                    <w:jc w:val="center"/>
                  </w:pPr>
                  <w:r>
                    <w:t xml:space="preserve">0.05</w:t>
                  </w:r>
                </w:p>
              </w:tc>
              <w:tc>
                <w:tcPr/>
                <w:p>
                  <w:pPr>
                    <w:pStyle w:val="Compact"/>
                    <w:jc w:val="center"/>
                    <w:jc w:val="center"/>
                  </w:pPr>
                  <w:r>
                    <w:t xml:space="preserve">−0.73</w:t>
                  </w:r>
                </w:p>
              </w:tc>
              <w:tc>
                <w:tcPr/>
                <w:p>
                  <w:pPr>
                    <w:pStyle w:val="Compact"/>
                    <w:jc w:val="center"/>
                    <w:jc w:val="center"/>
                  </w:pPr>
                  <w:r>
                    <w:t xml:space="preserve">49.05</w:t>
                  </w:r>
                </w:p>
              </w:tc>
            </w:tr>
            <w:tr>
              <w:tc>
                <w:tcPr/>
                <w:p>
                  <w:pPr>
                    <w:pStyle w:val="Compact"/>
                    <w:jc w:val="center"/>
                    <w:jc w:val="center"/>
                  </w:pPr>
                  <w:r>
                    <w:t xml:space="preserve">SAGA Wetness Index</w:t>
                  </w:r>
                </w:p>
              </w:tc>
              <w:tc>
                <w:tcPr/>
                <w:p>
                  <w:pPr>
                    <w:pStyle w:val="Compact"/>
                    <w:jc w:val="center"/>
                    <w:jc w:val="center"/>
                  </w:pPr>
                  <w:r>
                    <w:t xml:space="preserve">9.57</w:t>
                  </w:r>
                </w:p>
              </w:tc>
              <w:tc>
                <w:tcPr/>
                <w:p>
                  <w:pPr>
                    <w:pStyle w:val="Compact"/>
                    <w:jc w:val="center"/>
                    <w:jc w:val="center"/>
                  </w:pPr>
                  <w:r>
                    <w:t xml:space="preserve">0.81</w:t>
                  </w:r>
                </w:p>
              </w:tc>
              <w:tc>
                <w:tcPr/>
                <w:p>
                  <w:pPr>
                    <w:pStyle w:val="Compact"/>
                    <w:jc w:val="center"/>
                    <w:jc w:val="center"/>
                  </w:pPr>
                  <w:r>
                    <w:t xml:space="preserve">10.88</w:t>
                  </w:r>
                </w:p>
              </w:tc>
              <w:tc>
                <w:tcPr/>
                <w:p>
                  <w:pPr>
                    <w:pStyle w:val="Compact"/>
                    <w:jc w:val="center"/>
                    <w:jc w:val="center"/>
                  </w:pPr>
                  <w:r>
                    <w:t xml:space="preserve">7.86</w:t>
                  </w:r>
                </w:p>
              </w:tc>
              <w:tc>
                <w:tcPr/>
                <w:p>
                  <w:pPr>
                    <w:pStyle w:val="Compact"/>
                    <w:jc w:val="center"/>
                    <w:jc w:val="center"/>
                  </w:pPr>
                  <w:r>
                    <w:t xml:space="preserve">−0.23</w:t>
                  </w:r>
                </w:p>
              </w:tc>
              <w:tc>
                <w:tcPr/>
                <w:p>
                  <w:pPr>
                    <w:pStyle w:val="Compact"/>
                    <w:jc w:val="center"/>
                    <w:jc w:val="center"/>
                  </w:pPr>
                  <w:r>
                    <w:t xml:space="preserve">8.50</w:t>
                  </w:r>
                </w:p>
              </w:tc>
            </w:tr>
            <w:tr>
              <w:tc>
                <w:tcPr>
                  <w:gridSpan w:val="7"/>
                </w:tcPr>
                <w:p>
                  <w:pPr>
                    <w:pStyle w:val="Compact"/>
                    <w:jc w:val="center"/>
                    <w:jc w:val="center"/>
                  </w:pPr>
                  <w:r>
                    <w:t xml:space="preserve">Forest</w:t>
                  </w:r>
                </w:p>
              </w:tc>
            </w:tr>
            <w:tr>
              <w:tc>
                <w:tcPr/>
                <w:p>
                  <w:pPr>
                    <w:pStyle w:val="Compact"/>
                    <w:jc w:val="center"/>
                    <w:jc w:val="center"/>
                  </w:pPr>
                  <w:r>
                    <w:t xml:space="preserve">Catchment Area</w:t>
                  </w:r>
                </w:p>
              </w:tc>
              <w:tc>
                <w:tcPr/>
                <w:p>
                  <w:pPr>
                    <w:pStyle w:val="Compact"/>
                    <w:jc w:val="center"/>
                    <w:jc w:val="center"/>
                  </w:pPr>
                  <w:r>
                    <w:t xml:space="preserve">987.43</w:t>
                  </w:r>
                </w:p>
              </w:tc>
              <w:tc>
                <w:tcPr/>
                <w:p>
                  <w:pPr>
                    <w:pStyle w:val="Compact"/>
                    <w:jc w:val="center"/>
                    <w:jc w:val="center"/>
                  </w:pPr>
                  <w:r>
                    <w:t xml:space="preserve">3,567.87</w:t>
                  </w:r>
                </w:p>
              </w:tc>
              <w:tc>
                <w:tcPr/>
                <w:p>
                  <w:pPr>
                    <w:pStyle w:val="Compact"/>
                    <w:jc w:val="center"/>
                    <w:jc w:val="center"/>
                  </w:pPr>
                  <w:r>
                    <w:t xml:space="preserve">23,581.83</w:t>
                  </w:r>
                </w:p>
              </w:tc>
              <w:tc>
                <w:tcPr/>
                <w:p>
                  <w:pPr>
                    <w:pStyle w:val="Compact"/>
                    <w:jc w:val="center"/>
                    <w:jc w:val="center"/>
                  </w:pPr>
                  <w:r>
                    <w:t xml:space="preserve">4.34</w:t>
                  </w:r>
                </w:p>
              </w:tc>
              <w:tc>
                <w:tcPr/>
                <w:p>
                  <w:pPr>
                    <w:pStyle w:val="Compact"/>
                    <w:jc w:val="center"/>
                    <w:jc w:val="center"/>
                  </w:pPr>
                  <w:r>
                    <w:t xml:space="preserve">5.53</w:t>
                  </w:r>
                </w:p>
              </w:tc>
              <w:tc>
                <w:tcPr/>
                <w:p>
                  <w:pPr>
                    <w:pStyle w:val="Compact"/>
                    <w:jc w:val="center"/>
                    <w:jc w:val="center"/>
                  </w:pPr>
                  <w:r>
                    <w:t xml:space="preserve">361.33</w:t>
                  </w:r>
                </w:p>
              </w:tc>
            </w:tr>
            <w:tr>
              <w:tc>
                <w:tcPr/>
                <w:p>
                  <w:pPr>
                    <w:pStyle w:val="Compact"/>
                    <w:jc w:val="center"/>
                    <w:jc w:val="center"/>
                  </w:pPr>
                  <w:r>
                    <w:t xml:space="preserve">Vert. Dist. Channel</w:t>
                  </w:r>
                </w:p>
              </w:tc>
              <w:tc>
                <w:tcPr/>
                <w:p>
                  <w:pPr>
                    <w:pStyle w:val="Compact"/>
                    <w:jc w:val="center"/>
                    <w:jc w:val="center"/>
                  </w:pPr>
                  <w:r>
                    <w:t xml:space="preserve">0.48</w:t>
                  </w:r>
                </w:p>
              </w:tc>
              <w:tc>
                <w:tcPr/>
                <w:p>
                  <w:pPr>
                    <w:pStyle w:val="Compact"/>
                    <w:jc w:val="center"/>
                    <w:jc w:val="center"/>
                  </w:pPr>
                  <w:r>
                    <w:t xml:space="preserve">0.49</w:t>
                  </w:r>
                </w:p>
              </w:tc>
              <w:tc>
                <w:tcPr/>
                <w:p>
                  <w:pPr>
                    <w:pStyle w:val="Compact"/>
                    <w:jc w:val="center"/>
                    <w:jc w:val="center"/>
                  </w:pPr>
                  <w:r>
                    <w:t xml:space="preserve">2.83</w:t>
                  </w:r>
                </w:p>
              </w:tc>
              <w:tc>
                <w:tcPr/>
                <w:p>
                  <w:pPr>
                    <w:pStyle w:val="Compact"/>
                    <w:jc w:val="center"/>
                    <w:jc w:val="center"/>
                  </w:pPr>
                  <w:r>
                    <w:t xml:space="preserve">0.05</w:t>
                  </w:r>
                </w:p>
              </w:tc>
              <w:tc>
                <w:tcPr/>
                <w:p>
                  <w:pPr>
                    <w:pStyle w:val="Compact"/>
                    <w:jc w:val="center"/>
                    <w:jc w:val="center"/>
                  </w:pPr>
                  <w:r>
                    <w:t xml:space="preserve">2.68</w:t>
                  </w:r>
                </w:p>
              </w:tc>
              <w:tc>
                <w:tcPr/>
                <w:p>
                  <w:pPr>
                    <w:pStyle w:val="Compact"/>
                    <w:jc w:val="center"/>
                    <w:jc w:val="center"/>
                  </w:pPr>
                  <w:r>
                    <w:t xml:space="preserve">103.92</w:t>
                  </w:r>
                </w:p>
              </w:tc>
            </w:tr>
            <w:tr>
              <w:tc>
                <w:tcPr/>
                <w:p>
                  <w:pPr>
                    <w:pStyle w:val="Compact"/>
                    <w:jc w:val="center"/>
                    <w:jc w:val="center"/>
                  </w:pPr>
                  <w:r>
                    <w:t xml:space="preserve">Elevation</w:t>
                  </w:r>
                </w:p>
              </w:tc>
              <w:tc>
                <w:tcPr/>
                <w:p>
                  <w:pPr>
                    <w:pStyle w:val="Compact"/>
                    <w:jc w:val="center"/>
                    <w:jc w:val="center"/>
                  </w:pPr>
                  <w:r>
                    <w:t xml:space="preserve">368.81</w:t>
                  </w:r>
                </w:p>
              </w:tc>
              <w:tc>
                <w:tcPr/>
                <w:p>
                  <w:pPr>
                    <w:pStyle w:val="Compact"/>
                    <w:jc w:val="center"/>
                    <w:jc w:val="center"/>
                  </w:pPr>
                  <w:r>
                    <w:t xml:space="preserve">3.51</w:t>
                  </w:r>
                </w:p>
              </w:tc>
              <w:tc>
                <w:tcPr/>
                <w:p>
                  <w:pPr>
                    <w:pStyle w:val="Compact"/>
                    <w:jc w:val="center"/>
                    <w:jc w:val="center"/>
                  </w:pPr>
                  <w:r>
                    <w:t xml:space="preserve">375.93</w:t>
                  </w:r>
                </w:p>
              </w:tc>
              <w:tc>
                <w:tcPr/>
                <w:p>
                  <w:pPr>
                    <w:pStyle w:val="Compact"/>
                    <w:jc w:val="center"/>
                    <w:jc w:val="center"/>
                  </w:pPr>
                  <w:r>
                    <w:t xml:space="preserve">360.86</w:t>
                  </w:r>
                </w:p>
              </w:tc>
              <w:tc>
                <w:tcPr/>
                <w:p>
                  <w:pPr>
                    <w:pStyle w:val="Compact"/>
                    <w:jc w:val="center"/>
                    <w:jc w:val="center"/>
                  </w:pPr>
                  <w:r>
                    <w:t xml:space="preserve">0.09</w:t>
                  </w:r>
                </w:p>
              </w:tc>
              <w:tc>
                <w:tcPr/>
                <w:p>
                  <w:pPr>
                    <w:pStyle w:val="Compact"/>
                    <w:jc w:val="center"/>
                    <w:jc w:val="center"/>
                  </w:pPr>
                  <w:r>
                    <w:t xml:space="preserve">0.95</w:t>
                  </w:r>
                </w:p>
              </w:tc>
            </w:tr>
            <w:tr>
              <w:tc>
                <w:tcPr/>
                <w:p>
                  <w:pPr>
                    <w:pStyle w:val="Compact"/>
                    <w:jc w:val="center"/>
                    <w:jc w:val="center"/>
                  </w:pPr>
                  <w:r>
                    <w:t xml:space="preserve">Plan Curvature</w:t>
                  </w:r>
                </w:p>
              </w:tc>
              <w:tc>
                <w:tcPr/>
                <w:p>
                  <w:pPr>
                    <w:pStyle w:val="Compact"/>
                    <w:jc w:val="center"/>
                    <w:jc w:val="center"/>
                  </w:pPr>
                  <w:r>
                    <w:t xml:space="preserve">0.00</w:t>
                  </w:r>
                </w:p>
              </w:tc>
              <w:tc>
                <w:tcPr/>
                <w:p>
                  <w:pPr>
                    <w:pStyle w:val="Compact"/>
                    <w:jc w:val="center"/>
                    <w:jc w:val="center"/>
                  </w:pPr>
                  <w:r>
                    <w:t xml:space="preserve">0.01</w:t>
                  </w:r>
                </w:p>
              </w:tc>
              <w:tc>
                <w:tcPr/>
                <w:p>
                  <w:pPr>
                    <w:pStyle w:val="Compact"/>
                    <w:jc w:val="center"/>
                    <w:jc w:val="center"/>
                  </w:pPr>
                  <w:r>
                    <w:t xml:space="preserve">0.03</w:t>
                  </w:r>
                </w:p>
              </w:tc>
              <w:tc>
                <w:tcPr/>
                <w:p>
                  <w:pPr>
                    <w:pStyle w:val="Compact"/>
                    <w:jc w:val="center"/>
                    <w:jc w:val="center"/>
                  </w:pPr>
                  <w:r>
                    <w:t xml:space="preserve">−0.01</w:t>
                  </w:r>
                </w:p>
              </w:tc>
              <w:tc>
                <w:tcPr/>
                <w:p>
                  <w:pPr>
                    <w:pStyle w:val="Compact"/>
                    <w:jc w:val="center"/>
                    <w:jc w:val="center"/>
                  </w:pPr>
                  <w:r>
                    <w:t xml:space="preserve">2.25</w:t>
                  </w:r>
                </w:p>
              </w:tc>
              <w:tc>
                <w:tcPr/>
                <w:p>
                  <w:pPr>
                    <w:pStyle w:val="Compact"/>
                    <w:jc w:val="center"/>
                    <w:jc w:val="center"/>
                  </w:pPr>
                  <w:r>
                    <w:t xml:space="preserve">396.75</w:t>
                  </w:r>
                </w:p>
              </w:tc>
            </w:tr>
            <w:tr>
              <w:tc>
                <w:tcPr/>
                <w:p>
                  <w:pPr>
                    <w:pStyle w:val="Compact"/>
                    <w:jc w:val="center"/>
                    <w:jc w:val="center"/>
                  </w:pPr>
                  <w:r>
                    <w:t xml:space="preserve">Profile Curvature</w:t>
                  </w:r>
                </w:p>
              </w:tc>
              <w:tc>
                <w:tcPr/>
                <w:p>
                  <w:pPr>
                    <w:pStyle w:val="Compact"/>
                    <w:jc w:val="center"/>
                    <w:jc w:val="center"/>
                  </w:pPr>
                  <w:r>
                    <w:t xml:space="preserve">0.00</w:t>
                  </w:r>
                </w:p>
              </w:tc>
              <w:tc>
                <w:tcPr/>
                <w:p>
                  <w:pPr>
                    <w:pStyle w:val="Compact"/>
                    <w:jc w:val="center"/>
                    <w:jc w:val="center"/>
                  </w:pPr>
                  <w:r>
                    <w:t xml:space="preserve">0.02</w:t>
                  </w:r>
                </w:p>
              </w:tc>
              <w:tc>
                <w:tcPr/>
                <w:p>
                  <w:pPr>
                    <w:pStyle w:val="Compact"/>
                    <w:jc w:val="center"/>
                    <w:jc w:val="center"/>
                  </w:pPr>
                  <w:r>
                    <w:t xml:space="preserve">0.05</w:t>
                  </w:r>
                </w:p>
              </w:tc>
              <w:tc>
                <w:tcPr/>
                <w:p>
                  <w:pPr>
                    <w:pStyle w:val="Compact"/>
                    <w:jc w:val="center"/>
                    <w:jc w:val="center"/>
                  </w:pPr>
                  <w:r>
                    <w:t xml:space="preserve">−0.07</w:t>
                  </w:r>
                </w:p>
              </w:tc>
              <w:tc>
                <w:tcPr/>
                <w:p>
                  <w:pPr>
                    <w:pStyle w:val="Compact"/>
                    <w:jc w:val="center"/>
                    <w:jc w:val="center"/>
                  </w:pPr>
                  <w:r>
                    <w:t xml:space="preserve">−1.66</w:t>
                  </w:r>
                </w:p>
              </w:tc>
              <w:tc>
                <w:tcPr/>
                <w:p>
                  <w:pPr>
                    <w:pStyle w:val="Compact"/>
                    <w:jc w:val="center"/>
                    <w:jc w:val="center"/>
                  </w:pPr>
                  <w:r>
                    <w:t xml:space="preserve">2,724.16</w:t>
                  </w:r>
                </w:p>
              </w:tc>
            </w:tr>
            <w:tr>
              <w:tc>
                <w:tcPr/>
                <w:p>
                  <w:pPr>
                    <w:pStyle w:val="Compact"/>
                    <w:jc w:val="center"/>
                    <w:jc w:val="center"/>
                  </w:pPr>
                  <w:r>
                    <w:t xml:space="preserve">Rel. Slope Position</w:t>
                  </w:r>
                </w:p>
              </w:tc>
              <w:tc>
                <w:tcPr/>
                <w:p>
                  <w:pPr>
                    <w:pStyle w:val="Compact"/>
                    <w:jc w:val="center"/>
                    <w:jc w:val="center"/>
                  </w:pPr>
                  <w:r>
                    <w:t xml:space="preserve">0.23</w:t>
                  </w:r>
                </w:p>
              </w:tc>
              <w:tc>
                <w:tcPr/>
                <w:p>
                  <w:pPr>
                    <w:pStyle w:val="Compact"/>
                    <w:jc w:val="center"/>
                    <w:jc w:val="center"/>
                  </w:pPr>
                  <w:r>
                    <w:t xml:space="preserve">0.23</w:t>
                  </w:r>
                </w:p>
              </w:tc>
              <w:tc>
                <w:tcPr/>
                <w:p>
                  <w:pPr>
                    <w:pStyle w:val="Compact"/>
                    <w:jc w:val="center"/>
                    <w:jc w:val="center"/>
                  </w:pPr>
                  <w:r>
                    <w:t xml:space="preserve">0.87</w:t>
                  </w:r>
                </w:p>
              </w:tc>
              <w:tc>
                <w:tcPr/>
                <w:p>
                  <w:pPr>
                    <w:pStyle w:val="Compact"/>
                    <w:jc w:val="center"/>
                    <w:jc w:val="center"/>
                  </w:pPr>
                  <w:r>
                    <w:t xml:space="preserve">0.02</w:t>
                  </w:r>
                </w:p>
              </w:tc>
              <w:tc>
                <w:tcPr/>
                <w:p>
                  <w:pPr>
                    <w:pStyle w:val="Compact"/>
                    <w:jc w:val="center"/>
                    <w:jc w:val="center"/>
                  </w:pPr>
                  <w:r>
                    <w:t xml:space="preserve">1.39</w:t>
                  </w:r>
                </w:p>
              </w:tc>
              <w:tc>
                <w:tcPr/>
                <w:p>
                  <w:pPr>
                    <w:pStyle w:val="Compact"/>
                    <w:jc w:val="center"/>
                    <w:jc w:val="center"/>
                  </w:pPr>
                  <w:r>
                    <w:t xml:space="preserve">100.24</w:t>
                  </w:r>
                </w:p>
              </w:tc>
            </w:tr>
            <w:tr>
              <w:tc>
                <w:tcPr/>
                <w:p>
                  <w:pPr>
                    <w:pStyle w:val="Compact"/>
                    <w:jc w:val="center"/>
                    <w:jc w:val="center"/>
                  </w:pPr>
                  <w:r>
                    <w:t xml:space="preserve">SAGA Wetness Index</w:t>
                  </w:r>
                </w:p>
              </w:tc>
              <w:tc>
                <w:tcPr/>
                <w:p>
                  <w:pPr>
                    <w:pStyle w:val="Compact"/>
                    <w:jc w:val="center"/>
                    <w:jc w:val="center"/>
                  </w:pPr>
                  <w:r>
                    <w:t xml:space="preserve">5.79</w:t>
                  </w:r>
                </w:p>
              </w:tc>
              <w:tc>
                <w:tcPr/>
                <w:p>
                  <w:pPr>
                    <w:pStyle w:val="Compact"/>
                    <w:jc w:val="center"/>
                    <w:jc w:val="center"/>
                  </w:pPr>
                  <w:r>
                    <w:t xml:space="preserve">1.17</w:t>
                  </w:r>
                </w:p>
              </w:tc>
              <w:tc>
                <w:tcPr/>
                <w:p>
                  <w:pPr>
                    <w:pStyle w:val="Compact"/>
                    <w:jc w:val="center"/>
                    <w:jc w:val="center"/>
                  </w:pPr>
                  <w:r>
                    <w:t xml:space="preserve">8.00</w:t>
                  </w:r>
                </w:p>
              </w:tc>
              <w:tc>
                <w:tcPr/>
                <w:p>
                  <w:pPr>
                    <w:pStyle w:val="Compact"/>
                    <w:jc w:val="center"/>
                    <w:jc w:val="center"/>
                  </w:pPr>
                  <w:r>
                    <w:t xml:space="preserve">2.64</w:t>
                  </w:r>
                </w:p>
              </w:tc>
              <w:tc>
                <w:tcPr/>
                <w:p>
                  <w:pPr>
                    <w:pStyle w:val="Compact"/>
                    <w:jc w:val="center"/>
                    <w:jc w:val="center"/>
                  </w:pPr>
                  <w:r>
                    <w:t xml:space="preserve">−0.56</w:t>
                  </w:r>
                </w:p>
              </w:tc>
              <w:tc>
                <w:tcPr/>
                <w:p>
                  <w:pPr>
                    <w:pStyle w:val="Compact"/>
                    <w:jc w:val="center"/>
                    <w:jc w:val="center"/>
                  </w:pPr>
                  <w:r>
                    <w:t xml:space="preserve">20.17</w:t>
                  </w:r>
                </w:p>
              </w:tc>
            </w:tr>
          </w:tbl>
          <w:bookmarkEnd w:id="23"/>
          <w:p/>
        </w:tc>
      </w:tr>
    </w:tbl>
    <w:p>
      <w:pPr>
        <w:pStyle w:val="TextBody"/>
      </w:pPr>
      <w:r>
        <w:rPr>
          <w:vertAlign w:val="subscript"/>
        </w:rPr>
        <w:t xml:space="preserve">Source:</w:t>
      </w:r>
      <w:r>
        <w:rPr>
          <w:vertAlign w:val="subscript"/>
        </w:rPr>
        <w:t xml:space="preserve"> </w:t>
      </w:r>
      <w:hyperlink r:id="rId24">
        <w:r>
          <w:rPr>
            <w:rStyle w:val="InternetLink"/>
            <w:vertAlign w:val="subscript"/>
          </w:rPr>
          <w:t xml:space="preserve">Univariate summary</w:t>
        </w:r>
      </w:hyperlink>
    </w:p>
    <w:bookmarkEnd w:id="25"/>
    <w:bookmarkStart w:id="54" w:name="spatial-analysis"/>
    <w:p>
      <w:pPr>
        <w:pStyle w:val="Heading3"/>
      </w:pPr>
      <w:r>
        <w:t xml:space="preserve">3.2 Spatial analysis</w:t>
      </w:r>
    </w:p>
    <w:p>
      <w:pPr>
        <w:pStyle w:val="FirstParagraph"/>
      </w:pPr>
      <w:r>
        <w:t xml:space="preserve">Based on the nugget-to-sill ratio, spatial dependence at the agricultural site was strong for 12 properties and moderate for three (</w:t>
      </w:r>
      <w:hyperlink w:anchor="tbl-geocol-semivariogram">
        <w:r>
          <w:rPr>
            <w:rStyle w:val="InternetLink"/>
          </w:rPr>
          <w:t xml:space="preserve">Table 3</w:t>
        </w:r>
      </w:hyperlink>
      <w:r>
        <w:t xml:space="preserve">). Semivariogram ranges spanned ~185–580 m (median ≈210 m). Ca and Rb exhibited large ranges (580 m and 551 m), while colour metrics such as</w:t>
      </w:r>
      <w:r>
        <w:t xml:space="preserve"> </w:t>
      </w:r>
      <w:r>
        <w:rPr>
          <w:i/>
          <w:iCs/>
        </w:rPr>
        <w:t xml:space="preserve">b*</w:t>
      </w:r>
      <w:r>
        <w:t xml:space="preserve"> </w:t>
      </w:r>
      <w:r>
        <w:t xml:space="preserve">and</w:t>
      </w:r>
      <w:r>
        <w:t xml:space="preserve"> </w:t>
      </w:r>
      <w:r>
        <w:rPr>
          <w:i/>
          <w:iCs/>
        </w:rPr>
        <w:t xml:space="preserve">c*</w:t>
      </w:r>
      <w:r>
        <w:t xml:space="preserve"> </w:t>
      </w:r>
      <w:r>
        <w:t xml:space="preserve">had ranges ~199 m. A few of the soil properties presented a pattern that roughly matches (e.g., Rb) or mirrors (e.g., Ca, Sr) the overall topography of the site with a gradation between the highest point in the south-west corner towards the lowest points in the north-east (</w:t>
      </w:r>
      <w:hyperlink w:anchor="fig-ag_map">
        <w:r>
          <w:rPr>
            <w:rStyle w:val="InternetLink"/>
          </w:rPr>
          <w:t xml:space="preserve">Figure 2</w:t>
        </w:r>
      </w:hyperlink>
      <w:r>
        <w:t xml:space="preserve">). Other properties appear to have more localized high and low concentrations/values (e.g.,</w:t>
      </w:r>
      <w:r>
        <w:t xml:space="preserve"> </w:t>
      </w:r>
      <w:r>
        <w:rPr>
          <w:i/>
          <w:iCs/>
        </w:rPr>
        <w:t xml:space="preserve">c*</w:t>
      </w:r>
      <w:r>
        <w:t xml:space="preserve">,</w:t>
      </w:r>
      <w:r>
        <w:t xml:space="preserve"> </w:t>
      </w:r>
      <w:r>
        <w:rPr>
          <w:i/>
          <w:iCs/>
        </w:rPr>
        <w:t xml:space="preserve">h*</w:t>
      </w:r>
      <w:r>
        <w:t xml:space="preserve">). Cross-validation indicated that interpolation performance at this site ranged from very good (R² = 1.0) to poor (R² = 0.1), with 8 of the 15 properties achieving R² ≥ 0.5. Within the forested site nine properties showed spatial dependence (moderate to strong) with ranges 176–298 m; Fe, Rb and colour</w:t>
      </w:r>
      <w:r>
        <w:t xml:space="preserve"> </w:t>
      </w:r>
      <w:r>
        <w:rPr>
          <w:i/>
          <w:iCs/>
        </w:rPr>
        <w:t xml:space="preserve">a*</w:t>
      </w:r>
      <w:r>
        <w:t xml:space="preserve">,</w:t>
      </w:r>
      <w:r>
        <w:t xml:space="preserve"> </w:t>
      </w:r>
      <w:r>
        <w:rPr>
          <w:i/>
          <w:iCs/>
        </w:rPr>
        <w:t xml:space="preserve">b*</w:t>
      </w:r>
      <w:r>
        <w:t xml:space="preserve">,</w:t>
      </w:r>
      <w:r>
        <w:t xml:space="preserve"> </w:t>
      </w:r>
      <w:r>
        <w:rPr>
          <w:i/>
          <w:iCs/>
        </w:rPr>
        <w:t xml:space="preserve">c*</w:t>
      </w:r>
      <w:r>
        <w:t xml:space="preserve">,</w:t>
      </w:r>
      <w:r>
        <w:t xml:space="preserve"> </w:t>
      </w:r>
      <w:r>
        <w:rPr>
          <w:i/>
          <w:iCs/>
        </w:rPr>
        <w:t xml:space="preserve">x</w:t>
      </w:r>
      <w:r>
        <w:t xml:space="preserve"> </w:t>
      </w:r>
      <w:r>
        <w:t xml:space="preserve">lacked detectable autocorrelation, consistent with more complex depositional/topographic features found at this site (</w:t>
      </w:r>
      <w:hyperlink w:anchor="tbl-geocol-semivariogram">
        <w:r>
          <w:rPr>
            <w:rStyle w:val="InternetLink"/>
          </w:rPr>
          <w:t xml:space="preserve">Table 3</w:t>
        </w:r>
      </w:hyperlink>
      <w:r>
        <w:t xml:space="preserve">). This complexity also resulted in poorer spatial interpolation performance compared to the agricultural site, with R² ranging only from moderate (0.4) to poor (0.1). Overall, the influence of the channel and floodplain environment can be seen in the pattern of the nine soil properties (</w:t>
      </w:r>
      <w:hyperlink w:anchor="fig-forest_map">
        <w:r>
          <w:rPr>
            <w:rStyle w:val="Internet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tbl-geocol-semivariogram"/>
          <w:p>
            <w:pPr>
              <w:jc w:val="center"/>
            </w:pPr>
            <w:pPr>
              <w:jc w:val="left"/>
              <w:spacing w:before="200"/>
              <w:pStyle w:val="ImageCaption"/>
            </w:pPr>
            <w:r>
              <w:t xml:space="preserve">Table 3: Geostatistical parameters of the fitted semivariogram models of colour and geochemical properties within the agricultural and forested sites.</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jc w:val="center"/>
                  </w:pPr>
                  <w:r>
                    <w:t xml:space="preserve">Property</w:t>
                  </w:r>
                </w:p>
              </w:tc>
              <w:tc>
                <w:tcPr/>
                <w:p>
                  <w:pPr>
                    <w:pStyle w:val="Compact"/>
                    <w:jc w:val="center"/>
                    <w:jc w:val="center"/>
                  </w:pPr>
                  <w:r>
                    <w:t xml:space="preserve">Kriging Type</w:t>
                  </w:r>
                  <w:r>
                    <w:rPr>
                      <w:vertAlign w:val="superscript"/>
                    </w:rPr>
                    <w:t xml:space="preserve">*</w:t>
                  </w:r>
                </w:p>
              </w:tc>
              <w:tc>
                <w:tcPr/>
                <w:p>
                  <w:pPr>
                    <w:pStyle w:val="Compact"/>
                    <w:jc w:val="center"/>
                    <w:jc w:val="center"/>
                  </w:pPr>
                  <w:r>
                    <w:t xml:space="preserve">Nugget (Co)</w:t>
                  </w:r>
                </w:p>
              </w:tc>
              <w:tc>
                <w:tcPr/>
                <w:p>
                  <w:pPr>
                    <w:pStyle w:val="Compact"/>
                    <w:jc w:val="center"/>
                    <w:jc w:val="center"/>
                  </w:pPr>
                  <w:r>
                    <w:t xml:space="preserve">Sill (Co + C)</w:t>
                  </w:r>
                </w:p>
              </w:tc>
              <w:tc>
                <w:tcPr/>
                <w:p>
                  <w:pPr>
                    <w:pStyle w:val="Compact"/>
                    <w:jc w:val="center"/>
                    <w:jc w:val="center"/>
                  </w:pPr>
                  <w:r>
                    <w:t xml:space="preserve">C/(C + Co) (%)</w:t>
                  </w:r>
                </w:p>
              </w:tc>
              <w:tc>
                <w:tcPr/>
                <w:p>
                  <w:pPr>
                    <w:pStyle w:val="Compact"/>
                    <w:jc w:val="center"/>
                    <w:jc w:val="center"/>
                  </w:pPr>
                  <w:r>
                    <w:t xml:space="preserve">Range (m)</w:t>
                  </w:r>
                </w:p>
              </w:tc>
              <w:tc>
                <w:tcPr/>
                <w:p>
                  <w:pPr>
                    <w:pStyle w:val="Compact"/>
                    <w:jc w:val="center"/>
                    <w:jc w:val="center"/>
                  </w:pPr>
                  <w:r>
                    <w:t xml:space="preserve">r</w:t>
                  </w:r>
                  <w:r>
                    <w:rPr>
                      <w:vertAlign w:val="superscript"/>
                    </w:rPr>
                    <w:t xml:space="preserve">2</w:t>
                  </w:r>
                  <w:r>
                    <w:rPr>
                      <w:vertAlign w:val="superscript"/>
                    </w:rPr>
                    <w:t xml:space="preserve">†</w:t>
                  </w:r>
                </w:p>
              </w:tc>
              <w:tc>
                <w:tcPr/>
                <w:p>
                  <w:pPr>
                    <w:pStyle w:val="Compact"/>
                    <w:jc w:val="center"/>
                    <w:jc w:val="center"/>
                  </w:pPr>
                  <w:r>
                    <w:t xml:space="preserve">Spatial Class</w:t>
                  </w:r>
                  <w:r>
                    <w:rPr>
                      <w:vertAlign w:val="superscript"/>
                    </w:rPr>
                    <w:t xml:space="preserve">‡</w:t>
                  </w:r>
                </w:p>
              </w:tc>
            </w:tr>
            <w:tr>
              <w:tc>
                <w:tcPr>
                  <w:gridSpan w:val="8"/>
                </w:tcPr>
                <w:p>
                  <w:pPr>
                    <w:pStyle w:val="Compact"/>
                    <w:jc w:val="center"/>
                    <w:jc w:val="center"/>
                  </w:pPr>
                  <w:r>
                    <w:t xml:space="preserve">Agriculture</w:t>
                  </w:r>
                </w:p>
              </w:tc>
            </w:tr>
            <w:tr>
              <w:tc>
                <w:tcPr/>
                <w:p>
                  <w:pPr>
                    <w:pStyle w:val="Compact"/>
                    <w:jc w:val="center"/>
                    <w:jc w:val="center"/>
                  </w:pPr>
                  <w:r>
                    <w:t xml:space="preserve">Ca</w:t>
                  </w:r>
                </w:p>
              </w:tc>
              <w:tc>
                <w:tcPr/>
                <w:p>
                  <w:pPr>
                    <w:pStyle w:val="Compact"/>
                    <w:jc w:val="center"/>
                    <w:jc w:val="center"/>
                  </w:pPr>
                  <w:r>
                    <w:t xml:space="preserve">Universal</w:t>
                  </w:r>
                </w:p>
              </w:tc>
              <w:tc>
                <w:tcPr/>
                <w:p>
                  <w:pPr>
                    <w:pStyle w:val="Compact"/>
                    <w:jc w:val="center"/>
                    <w:jc w:val="center"/>
                  </w:pPr>
                  <w:r>
                    <w:t xml:space="preserve">0.0</w:t>
                  </w:r>
                </w:p>
              </w:tc>
              <w:tc>
                <w:tcPr/>
                <w:p>
                  <w:pPr>
                    <w:pStyle w:val="Compact"/>
                    <w:jc w:val="center"/>
                    <w:jc w:val="center"/>
                  </w:pPr>
                  <w:r>
                    <w:t xml:space="preserve">7.2</w:t>
                  </w:r>
                </w:p>
              </w:tc>
              <w:tc>
                <w:tcPr/>
                <w:p>
                  <w:pPr>
                    <w:pStyle w:val="Compact"/>
                    <w:jc w:val="center"/>
                    <w:jc w:val="center"/>
                  </w:pPr>
                  <w:r>
                    <w:t xml:space="preserve">100</w:t>
                  </w:r>
                </w:p>
              </w:tc>
              <w:tc>
                <w:tcPr/>
                <w:p>
                  <w:pPr>
                    <w:pStyle w:val="Compact"/>
                    <w:jc w:val="center"/>
                    <w:jc w:val="center"/>
                  </w:pPr>
                  <w:r>
                    <w:t xml:space="preserve">580</w:t>
                  </w:r>
                </w:p>
              </w:tc>
              <w:tc>
                <w:tcPr/>
                <w:p>
                  <w:pPr>
                    <w:pStyle w:val="Compact"/>
                    <w:jc w:val="center"/>
                    <w:jc w:val="center"/>
                  </w:pPr>
                  <w:r>
                    <w:t xml:space="preserve">0.9</w:t>
                  </w:r>
                </w:p>
              </w:tc>
              <w:tc>
                <w:tcPr/>
                <w:p>
                  <w:pPr>
                    <w:pStyle w:val="Compact"/>
                    <w:jc w:val="center"/>
                    <w:jc w:val="center"/>
                  </w:pPr>
                  <w:r>
                    <w:t xml:space="preserve">Strong</w:t>
                  </w:r>
                </w:p>
              </w:tc>
            </w:tr>
            <w:tr>
              <w:tc>
                <w:tcPr/>
                <w:p>
                  <w:pPr>
                    <w:pStyle w:val="Compact"/>
                    <w:jc w:val="center"/>
                    <w:jc w:val="center"/>
                  </w:pPr>
                  <w:r>
                    <w:t xml:space="preserve">Co</w:t>
                  </w:r>
                </w:p>
              </w:tc>
              <w:tc>
                <w:tcPr/>
                <w:p>
                  <w:pPr>
                    <w:pStyle w:val="Compact"/>
                    <w:jc w:val="center"/>
                    <w:jc w:val="center"/>
                  </w:pPr>
                  <w:r>
                    <w:t xml:space="preserve">Simple</w:t>
                  </w:r>
                </w:p>
              </w:tc>
              <w:tc>
                <w:tcPr/>
                <w:p>
                  <w:pPr>
                    <w:pStyle w:val="Compact"/>
                    <w:jc w:val="center"/>
                    <w:jc w:val="center"/>
                  </w:pPr>
                  <w:r>
                    <w:t xml:space="preserve">0.0</w:t>
                  </w:r>
                </w:p>
              </w:tc>
              <w:tc>
                <w:tcPr/>
                <w:p>
                  <w:pPr>
                    <w:pStyle w:val="Compact"/>
                    <w:jc w:val="center"/>
                    <w:jc w:val="center"/>
                  </w:pPr>
                  <w:r>
                    <w:t xml:space="preserve">0.7</w:t>
                  </w:r>
                </w:p>
              </w:tc>
              <w:tc>
                <w:tcPr/>
                <w:p>
                  <w:pPr>
                    <w:pStyle w:val="Compact"/>
                    <w:jc w:val="center"/>
                    <w:jc w:val="center"/>
                  </w:pPr>
                  <w:r>
                    <w:t xml:space="preserve">100</w:t>
                  </w:r>
                </w:p>
              </w:tc>
              <w:tc>
                <w:tcPr/>
                <w:p>
                  <w:pPr>
                    <w:pStyle w:val="Compact"/>
                    <w:jc w:val="center"/>
                    <w:jc w:val="center"/>
                  </w:pPr>
                  <w:r>
                    <w:t xml:space="preserve">208</w:t>
                  </w:r>
                </w:p>
              </w:tc>
              <w:tc>
                <w:tcPr/>
                <w:p>
                  <w:pPr>
                    <w:pStyle w:val="Compact"/>
                    <w:jc w:val="center"/>
                    <w:jc w:val="center"/>
                  </w:pPr>
                  <w:r>
                    <w:t xml:space="preserve">0.4</w:t>
                  </w:r>
                </w:p>
              </w:tc>
              <w:tc>
                <w:tcPr/>
                <w:p>
                  <w:pPr>
                    <w:pStyle w:val="Compact"/>
                    <w:jc w:val="center"/>
                    <w:jc w:val="center"/>
                  </w:pPr>
                  <w:r>
                    <w:t xml:space="preserve">Strong</w:t>
                  </w:r>
                </w:p>
              </w:tc>
            </w:tr>
            <w:tr>
              <w:tc>
                <w:tcPr/>
                <w:p>
                  <w:pPr>
                    <w:pStyle w:val="Compact"/>
                    <w:jc w:val="center"/>
                    <w:jc w:val="center"/>
                  </w:pPr>
                  <w:r>
                    <w:t xml:space="preserve">Cs</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100</w:t>
                  </w:r>
                </w:p>
              </w:tc>
              <w:tc>
                <w:tcPr/>
                <w:p>
                  <w:pPr>
                    <w:pStyle w:val="Compact"/>
                    <w:jc w:val="center"/>
                    <w:jc w:val="center"/>
                  </w:pPr>
                  <w:r>
                    <w:t xml:space="preserve">210</w:t>
                  </w:r>
                </w:p>
              </w:tc>
              <w:tc>
                <w:tcPr/>
                <w:p>
                  <w:pPr>
                    <w:pStyle w:val="Compact"/>
                    <w:jc w:val="center"/>
                    <w:jc w:val="center"/>
                  </w:pPr>
                  <w:r>
                    <w:t xml:space="preserve">0.5</w:t>
                  </w:r>
                </w:p>
              </w:tc>
              <w:tc>
                <w:tcPr/>
                <w:p>
                  <w:pPr>
                    <w:pStyle w:val="Compact"/>
                    <w:jc w:val="center"/>
                    <w:jc w:val="center"/>
                  </w:pPr>
                  <w:r>
                    <w:t xml:space="preserve">Strong</w:t>
                  </w:r>
                </w:p>
              </w:tc>
            </w:tr>
            <w:tr>
              <w:tc>
                <w:tcPr/>
                <w:p>
                  <w:pPr>
                    <w:pStyle w:val="Compact"/>
                    <w:jc w:val="center"/>
                    <w:jc w:val="center"/>
                  </w:pPr>
                  <w:r>
                    <w:t xml:space="preserve">Fe</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100</w:t>
                  </w:r>
                </w:p>
              </w:tc>
              <w:tc>
                <w:tcPr/>
                <w:p>
                  <w:pPr>
                    <w:pStyle w:val="Compact"/>
                    <w:jc w:val="center"/>
                    <w:jc w:val="center"/>
                  </w:pPr>
                  <w:r>
                    <w:t xml:space="preserve">185</w:t>
                  </w:r>
                </w:p>
              </w:tc>
              <w:tc>
                <w:tcPr/>
                <w:p>
                  <w:pPr>
                    <w:pStyle w:val="Compact"/>
                    <w:jc w:val="center"/>
                    <w:jc w:val="center"/>
                  </w:pPr>
                  <w:r>
                    <w:t xml:space="preserve">0.2</w:t>
                  </w:r>
                </w:p>
              </w:tc>
              <w:tc>
                <w:tcPr/>
                <w:p>
                  <w:pPr>
                    <w:pStyle w:val="Compact"/>
                    <w:jc w:val="center"/>
                    <w:jc w:val="center"/>
                  </w:pPr>
                  <w:r>
                    <w:t xml:space="preserve">Strong</w:t>
                  </w:r>
                </w:p>
              </w:tc>
            </w:tr>
            <w:tr>
              <w:tc>
                <w:tcPr/>
                <w:p>
                  <w:pPr>
                    <w:pStyle w:val="Compact"/>
                    <w:jc w:val="center"/>
                    <w:jc w:val="center"/>
                  </w:pPr>
                  <w:r>
                    <w:t xml:space="preserve">Li</w:t>
                  </w:r>
                </w:p>
              </w:tc>
              <w:tc>
                <w:tcPr/>
                <w:p>
                  <w:pPr>
                    <w:pStyle w:val="Compact"/>
                    <w:jc w:val="center"/>
                    <w:jc w:val="center"/>
                  </w:pPr>
                  <w:r>
                    <w:t xml:space="preserve">Universal</w:t>
                  </w:r>
                </w:p>
              </w:tc>
              <w:tc>
                <w:tcPr/>
                <w:p>
                  <w:pPr>
                    <w:pStyle w:val="Compact"/>
                    <w:jc w:val="center"/>
                    <w:jc w:val="center"/>
                  </w:pPr>
                  <w:r>
                    <w:t xml:space="preserve">0.3</w:t>
                  </w:r>
                </w:p>
              </w:tc>
              <w:tc>
                <w:tcPr/>
                <w:p>
                  <w:pPr>
                    <w:pStyle w:val="Compact"/>
                    <w:jc w:val="center"/>
                    <w:jc w:val="center"/>
                  </w:pPr>
                  <w:r>
                    <w:t xml:space="preserve">1.5</w:t>
                  </w:r>
                </w:p>
              </w:tc>
              <w:tc>
                <w:tcPr/>
                <w:p>
                  <w:pPr>
                    <w:pStyle w:val="Compact"/>
                    <w:jc w:val="center"/>
                    <w:jc w:val="center"/>
                  </w:pPr>
                  <w:r>
                    <w:t xml:space="preserve">81</w:t>
                  </w:r>
                </w:p>
              </w:tc>
              <w:tc>
                <w:tcPr/>
                <w:p>
                  <w:pPr>
                    <w:pStyle w:val="Compact"/>
                    <w:jc w:val="center"/>
                    <w:jc w:val="center"/>
                  </w:pPr>
                  <w:r>
                    <w:t xml:space="preserve">185</w:t>
                  </w:r>
                </w:p>
              </w:tc>
              <w:tc>
                <w:tcPr/>
                <w:p>
                  <w:pPr>
                    <w:pStyle w:val="Compact"/>
                    <w:jc w:val="center"/>
                    <w:jc w:val="center"/>
                  </w:pPr>
                  <w:r>
                    <w:t xml:space="preserve">0.6</w:t>
                  </w:r>
                </w:p>
              </w:tc>
              <w:tc>
                <w:tcPr/>
                <w:p>
                  <w:pPr>
                    <w:pStyle w:val="Compact"/>
                    <w:jc w:val="center"/>
                    <w:jc w:val="center"/>
                  </w:pPr>
                  <w:r>
                    <w:t xml:space="preserve">Strong</w:t>
                  </w:r>
                </w:p>
              </w:tc>
            </w:tr>
            <w:tr>
              <w:tc>
                <w:tcPr/>
                <w:p>
                  <w:pPr>
                    <w:pStyle w:val="Compact"/>
                    <w:jc w:val="center"/>
                    <w:jc w:val="center"/>
                  </w:pPr>
                  <w:r>
                    <w:t xml:space="preserve">La</w:t>
                  </w:r>
                </w:p>
              </w:tc>
              <w:tc>
                <w:tcPr/>
                <w:p>
                  <w:pPr>
                    <w:pStyle w:val="Compact"/>
                    <w:jc w:val="center"/>
                    <w:jc w:val="center"/>
                  </w:pPr>
                  <w:r>
                    <w:t xml:space="preserve">Simple</w:t>
                  </w:r>
                </w:p>
              </w:tc>
              <w:tc>
                <w:tcPr/>
                <w:p>
                  <w:pPr>
                    <w:pStyle w:val="Compact"/>
                    <w:jc w:val="center"/>
                    <w:jc w:val="center"/>
                  </w:pPr>
                  <w:r>
                    <w:t xml:space="preserve">0.4</w:t>
                  </w:r>
                </w:p>
              </w:tc>
              <w:tc>
                <w:tcPr/>
                <w:p>
                  <w:pPr>
                    <w:pStyle w:val="Compact"/>
                    <w:jc w:val="center"/>
                    <w:jc w:val="center"/>
                  </w:pPr>
                  <w:r>
                    <w:t xml:space="preserve">1.0</w:t>
                  </w:r>
                </w:p>
              </w:tc>
              <w:tc>
                <w:tcPr/>
                <w:p>
                  <w:pPr>
                    <w:pStyle w:val="Compact"/>
                    <w:jc w:val="center"/>
                    <w:jc w:val="center"/>
                  </w:pPr>
                  <w:r>
                    <w:t xml:space="preserve">56</w:t>
                  </w:r>
                </w:p>
              </w:tc>
              <w:tc>
                <w:tcPr/>
                <w:p>
                  <w:pPr>
                    <w:pStyle w:val="Compact"/>
                    <w:jc w:val="center"/>
                    <w:jc w:val="center"/>
                  </w:pPr>
                  <w:r>
                    <w:t xml:space="preserve">308</w:t>
                  </w:r>
                </w:p>
              </w:tc>
              <w:tc>
                <w:tcPr/>
                <w:p>
                  <w:pPr>
                    <w:pStyle w:val="Compact"/>
                    <w:jc w:val="center"/>
                    <w:jc w:val="center"/>
                  </w:pPr>
                  <w:r>
                    <w:t xml:space="preserve">0.5</w:t>
                  </w:r>
                </w:p>
              </w:tc>
              <w:tc>
                <w:tcPr/>
                <w:p>
                  <w:pPr>
                    <w:pStyle w:val="Compact"/>
                    <w:jc w:val="center"/>
                    <w:jc w:val="center"/>
                  </w:pPr>
                  <w:r>
                    <w:t xml:space="preserve">Moderate</w:t>
                  </w:r>
                </w:p>
              </w:tc>
            </w:tr>
            <w:tr>
              <w:tc>
                <w:tcPr/>
                <w:p>
                  <w:pPr>
                    <w:pStyle w:val="Compact"/>
                    <w:jc w:val="center"/>
                    <w:jc w:val="center"/>
                  </w:pPr>
                  <w:r>
                    <w:t xml:space="preserve">Nb</w:t>
                  </w:r>
                </w:p>
              </w:tc>
              <w:tc>
                <w:tcPr/>
                <w:p>
                  <w:pPr>
                    <w:pStyle w:val="Compact"/>
                    <w:jc w:val="center"/>
                    <w:jc w:val="center"/>
                  </w:pPr>
                  <w:r>
                    <w:t xml:space="preserve">Universal</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91</w:t>
                  </w:r>
                </w:p>
              </w:tc>
              <w:tc>
                <w:tcPr/>
                <w:p>
                  <w:pPr>
                    <w:pStyle w:val="Compact"/>
                    <w:jc w:val="center"/>
                    <w:jc w:val="center"/>
                  </w:pPr>
                  <w:r>
                    <w:t xml:space="preserve">210</w:t>
                  </w:r>
                </w:p>
              </w:tc>
              <w:tc>
                <w:tcPr/>
                <w:p>
                  <w:pPr>
                    <w:pStyle w:val="Compact"/>
                    <w:jc w:val="center"/>
                    <w:jc w:val="center"/>
                  </w:pPr>
                  <w:r>
                    <w:t xml:space="preserve">0.7</w:t>
                  </w:r>
                </w:p>
              </w:tc>
              <w:tc>
                <w:tcPr/>
                <w:p>
                  <w:pPr>
                    <w:pStyle w:val="Compact"/>
                    <w:jc w:val="center"/>
                    <w:jc w:val="center"/>
                  </w:pPr>
                  <w:r>
                    <w:t xml:space="preserve">Strong</w:t>
                  </w:r>
                </w:p>
              </w:tc>
            </w:tr>
            <w:tr>
              <w:tc>
                <w:tcPr/>
                <w:p>
                  <w:pPr>
                    <w:pStyle w:val="Compact"/>
                    <w:jc w:val="center"/>
                    <w:jc w:val="center"/>
                  </w:pPr>
                  <w:r>
                    <w:t xml:space="preserve">Ni</w:t>
                  </w:r>
                </w:p>
              </w:tc>
              <w:tc>
                <w:tcPr/>
                <w:p>
                  <w:pPr>
                    <w:pStyle w:val="Compact"/>
                    <w:jc w:val="center"/>
                    <w:jc w:val="center"/>
                  </w:pPr>
                  <w:r>
                    <w:t xml:space="preserve">Ordinary</w:t>
                  </w:r>
                </w:p>
              </w:tc>
              <w:tc>
                <w:tcPr/>
                <w:p>
                  <w:pPr>
                    <w:pStyle w:val="Compact"/>
                    <w:jc w:val="center"/>
                    <w:jc w:val="center"/>
                  </w:pPr>
                  <w:r>
                    <w:t xml:space="preserve">1.4</w:t>
                  </w:r>
                </w:p>
              </w:tc>
              <w:tc>
                <w:tcPr/>
                <w:p>
                  <w:pPr>
                    <w:pStyle w:val="Compact"/>
                    <w:jc w:val="center"/>
                    <w:jc w:val="center"/>
                  </w:pPr>
                  <w:r>
                    <w:t xml:space="preserve">8.9</w:t>
                  </w:r>
                </w:p>
              </w:tc>
              <w:tc>
                <w:tcPr/>
                <w:p>
                  <w:pPr>
                    <w:pStyle w:val="Compact"/>
                    <w:jc w:val="center"/>
                    <w:jc w:val="center"/>
                  </w:pPr>
                  <w:r>
                    <w:t xml:space="preserve">84</w:t>
                  </w:r>
                </w:p>
              </w:tc>
              <w:tc>
                <w:tcPr/>
                <w:p>
                  <w:pPr>
                    <w:pStyle w:val="Compact"/>
                    <w:jc w:val="center"/>
                    <w:jc w:val="center"/>
                  </w:pPr>
                  <w:r>
                    <w:t xml:space="preserve">352</w:t>
                  </w:r>
                </w:p>
              </w:tc>
              <w:tc>
                <w:tcPr/>
                <w:p>
                  <w:pPr>
                    <w:pStyle w:val="Compact"/>
                    <w:jc w:val="center"/>
                    <w:jc w:val="center"/>
                  </w:pPr>
                  <w:r>
                    <w:t xml:space="preserve">0.6</w:t>
                  </w:r>
                </w:p>
              </w:tc>
              <w:tc>
                <w:tcPr/>
                <w:p>
                  <w:pPr>
                    <w:pStyle w:val="Compact"/>
                    <w:jc w:val="center"/>
                    <w:jc w:val="center"/>
                  </w:pPr>
                  <w:r>
                    <w:t xml:space="preserve">Strong</w:t>
                  </w:r>
                </w:p>
              </w:tc>
            </w:tr>
            <w:tr>
              <w:tc>
                <w:tcPr/>
                <w:p>
                  <w:pPr>
                    <w:pStyle w:val="Compact"/>
                    <w:jc w:val="center"/>
                    <w:jc w:val="center"/>
                  </w:pPr>
                  <w:r>
                    <w:t xml:space="preserve">Rb</w:t>
                  </w:r>
                </w:p>
              </w:tc>
              <w:tc>
                <w:tcPr/>
                <w:p>
                  <w:pPr>
                    <w:pStyle w:val="Compact"/>
                    <w:jc w:val="center"/>
                    <w:jc w:val="center"/>
                  </w:pPr>
                  <w:r>
                    <w:t xml:space="preserve">Ordinary</w:t>
                  </w:r>
                </w:p>
              </w:tc>
              <w:tc>
                <w:tcPr/>
                <w:p>
                  <w:pPr>
                    <w:pStyle w:val="Compact"/>
                    <w:jc w:val="center"/>
                    <w:jc w:val="center"/>
                  </w:pPr>
                  <w:r>
                    <w:t xml:space="preserve">1.4</w:t>
                  </w:r>
                </w:p>
              </w:tc>
              <w:tc>
                <w:tcPr/>
                <w:p>
                  <w:pPr>
                    <w:pStyle w:val="Compact"/>
                    <w:jc w:val="center"/>
                    <w:jc w:val="center"/>
                  </w:pPr>
                  <w:r>
                    <w:t xml:space="preserve">27.6</w:t>
                  </w:r>
                </w:p>
              </w:tc>
              <w:tc>
                <w:tcPr/>
                <w:p>
                  <w:pPr>
                    <w:pStyle w:val="Compact"/>
                    <w:jc w:val="center"/>
                    <w:jc w:val="center"/>
                  </w:pPr>
                  <w:r>
                    <w:t xml:space="preserve">95</w:t>
                  </w:r>
                </w:p>
              </w:tc>
              <w:tc>
                <w:tcPr/>
                <w:p>
                  <w:pPr>
                    <w:pStyle w:val="Compact"/>
                    <w:jc w:val="center"/>
                    <w:jc w:val="center"/>
                  </w:pPr>
                  <w:r>
                    <w:t xml:space="preserve">551</w:t>
                  </w:r>
                </w:p>
              </w:tc>
              <w:tc>
                <w:tcPr/>
                <w:p>
                  <w:pPr>
                    <w:pStyle w:val="Compact"/>
                    <w:jc w:val="center"/>
                    <w:jc w:val="center"/>
                  </w:pPr>
                  <w:r>
                    <w:t xml:space="preserve">0.9</w:t>
                  </w:r>
                </w:p>
              </w:tc>
              <w:tc>
                <w:tcPr/>
                <w:p>
                  <w:pPr>
                    <w:pStyle w:val="Compact"/>
                    <w:jc w:val="center"/>
                    <w:jc w:val="center"/>
                  </w:pPr>
                  <w:r>
                    <w:t xml:space="preserve">Strong</w:t>
                  </w:r>
                </w:p>
              </w:tc>
            </w:tr>
            <w:tr>
              <w:tc>
                <w:tcPr/>
                <w:p>
                  <w:pPr>
                    <w:pStyle w:val="Compact"/>
                    <w:jc w:val="center"/>
                    <w:jc w:val="center"/>
                  </w:pPr>
                  <w:r>
                    <w:t xml:space="preserve">Sr</w:t>
                  </w:r>
                </w:p>
              </w:tc>
              <w:tc>
                <w:tcPr/>
                <w:p>
                  <w:pPr>
                    <w:pStyle w:val="Compact"/>
                    <w:jc w:val="center"/>
                    <w:jc w:val="center"/>
                  </w:pPr>
                  <w:r>
                    <w:t xml:space="preserve">Ordinary</w:t>
                  </w:r>
                </w:p>
              </w:tc>
              <w:tc>
                <w:tcPr/>
                <w:p>
                  <w:pPr>
                    <w:pStyle w:val="Compact"/>
                    <w:jc w:val="center"/>
                    <w:jc w:val="center"/>
                  </w:pPr>
                  <w:r>
                    <w:t xml:space="preserve">0.9</w:t>
                  </w:r>
                </w:p>
              </w:tc>
              <w:tc>
                <w:tcPr/>
                <w:p>
                  <w:pPr>
                    <w:pStyle w:val="Compact"/>
                    <w:jc w:val="center"/>
                    <w:jc w:val="center"/>
                  </w:pPr>
                  <w:r>
                    <w:t xml:space="preserve">900.2</w:t>
                  </w:r>
                </w:p>
              </w:tc>
              <w:tc>
                <w:tcPr/>
                <w:p>
                  <w:pPr>
                    <w:pStyle w:val="Compact"/>
                    <w:jc w:val="center"/>
                    <w:jc w:val="center"/>
                  </w:pPr>
                  <w:r>
                    <w:t xml:space="preserve">100</w:t>
                  </w:r>
                </w:p>
              </w:tc>
              <w:tc>
                <w:tcPr/>
                <w:p>
                  <w:pPr>
                    <w:pStyle w:val="Compact"/>
                    <w:jc w:val="center"/>
                    <w:jc w:val="center"/>
                  </w:pPr>
                  <w:r>
                    <w:t xml:space="preserve">220</w:t>
                  </w:r>
                </w:p>
              </w:tc>
              <w:tc>
                <w:tcPr/>
                <w:p>
                  <w:pPr>
                    <w:pStyle w:val="Compact"/>
                    <w:jc w:val="center"/>
                    <w:jc w:val="center"/>
                  </w:pPr>
                  <w:r>
                    <w:t xml:space="preserve">1.0</w:t>
                  </w:r>
                </w:p>
              </w:tc>
              <w:tc>
                <w:tcPr/>
                <w:p>
                  <w:pPr>
                    <w:pStyle w:val="Compact"/>
                    <w:jc w:val="center"/>
                    <w:jc w:val="center"/>
                  </w:pPr>
                  <w:r>
                    <w:t xml:space="preserve">Strong</w:t>
                  </w:r>
                </w:p>
              </w:tc>
            </w:tr>
            <w:tr>
              <w:tc>
                <w:tcPr/>
                <w:p>
                  <w:pPr>
                    <w:pStyle w:val="Compact"/>
                    <w:jc w:val="center"/>
                    <w:jc w:val="center"/>
                  </w:pPr>
                  <w:r>
                    <w:t xml:space="preserve">a*</w:t>
                  </w:r>
                </w:p>
              </w:tc>
              <w:tc>
                <w:tcPr/>
                <w:p>
                  <w:pPr>
                    <w:pStyle w:val="Compact"/>
                    <w:jc w:val="center"/>
                    <w:jc w:val="center"/>
                  </w:pPr>
                  <w:r>
                    <w:t xml:space="preserve">Ordinary</w:t>
                  </w:r>
                </w:p>
              </w:tc>
              <w:tc>
                <w:tcPr/>
                <w:p>
                  <w:pPr>
                    <w:pStyle w:val="Compact"/>
                    <w:jc w:val="center"/>
                    <w:jc w:val="center"/>
                  </w:pPr>
                  <w:r>
                    <w:t xml:space="preserve">0.4</w:t>
                  </w:r>
                </w:p>
              </w:tc>
              <w:tc>
                <w:tcPr/>
                <w:p>
                  <w:pPr>
                    <w:pStyle w:val="Compact"/>
                    <w:jc w:val="center"/>
                    <w:jc w:val="center"/>
                  </w:pPr>
                  <w:r>
                    <w:t xml:space="preserve">1.0</w:t>
                  </w:r>
                </w:p>
              </w:tc>
              <w:tc>
                <w:tcPr/>
                <w:p>
                  <w:pPr>
                    <w:pStyle w:val="Compact"/>
                    <w:jc w:val="center"/>
                    <w:jc w:val="center"/>
                  </w:pPr>
                  <w:r>
                    <w:t xml:space="preserve">59</w:t>
                  </w:r>
                </w:p>
              </w:tc>
              <w:tc>
                <w:tcPr/>
                <w:p>
                  <w:pPr>
                    <w:pStyle w:val="Compact"/>
                    <w:jc w:val="center"/>
                    <w:jc w:val="center"/>
                  </w:pPr>
                  <w:r>
                    <w:t xml:space="preserve">288</w:t>
                  </w:r>
                </w:p>
              </w:tc>
              <w:tc>
                <w:tcPr/>
                <w:p>
                  <w:pPr>
                    <w:pStyle w:val="Compact"/>
                    <w:jc w:val="center"/>
                    <w:jc w:val="center"/>
                  </w:pPr>
                  <w:r>
                    <w:t xml:space="preserve">0.3</w:t>
                  </w:r>
                </w:p>
              </w:tc>
              <w:tc>
                <w:tcPr/>
                <w:p>
                  <w:pPr>
                    <w:pStyle w:val="Compact"/>
                    <w:jc w:val="center"/>
                    <w:jc w:val="center"/>
                  </w:pPr>
                  <w:r>
                    <w:t xml:space="preserve">Moderate</w:t>
                  </w:r>
                </w:p>
              </w:tc>
            </w:tr>
            <w:tr>
              <w:tc>
                <w:tcPr/>
                <w:p>
                  <w:pPr>
                    <w:pStyle w:val="Compact"/>
                    <w:jc w:val="center"/>
                    <w:jc w:val="center"/>
                  </w:pPr>
                  <w:r>
                    <w:t xml:space="preserve">b*</w:t>
                  </w:r>
                </w:p>
              </w:tc>
              <w:tc>
                <w:tcPr/>
                <w:p>
                  <w:pPr>
                    <w:pStyle w:val="Compact"/>
                    <w:jc w:val="center"/>
                    <w:jc w:val="center"/>
                  </w:pPr>
                  <w:r>
                    <w:t xml:space="preserve">Simple</w:t>
                  </w:r>
                </w:p>
              </w:tc>
              <w:tc>
                <w:tcPr/>
                <w:p>
                  <w:pPr>
                    <w:pStyle w:val="Compact"/>
                    <w:jc w:val="center"/>
                    <w:jc w:val="center"/>
                  </w:pPr>
                  <w:r>
                    <w:t xml:space="preserve">0.2</w:t>
                  </w:r>
                </w:p>
              </w:tc>
              <w:tc>
                <w:tcPr/>
                <w:p>
                  <w:pPr>
                    <w:pStyle w:val="Compact"/>
                    <w:jc w:val="center"/>
                    <w:jc w:val="center"/>
                  </w:pPr>
                  <w:r>
                    <w:t xml:space="preserve">0.9</w:t>
                  </w:r>
                </w:p>
              </w:tc>
              <w:tc>
                <w:tcPr/>
                <w:p>
                  <w:pPr>
                    <w:pStyle w:val="Compact"/>
                    <w:jc w:val="center"/>
                    <w:jc w:val="center"/>
                  </w:pPr>
                  <w:r>
                    <w:t xml:space="preserve">83</w:t>
                  </w:r>
                </w:p>
              </w:tc>
              <w:tc>
                <w:tcPr/>
                <w:p>
                  <w:pPr>
                    <w:pStyle w:val="Compact"/>
                    <w:jc w:val="center"/>
                    <w:jc w:val="center"/>
                  </w:pPr>
                  <w:r>
                    <w:t xml:space="preserve">199</w:t>
                  </w:r>
                </w:p>
              </w:tc>
              <w:tc>
                <w:tcPr/>
                <w:p>
                  <w:pPr>
                    <w:pStyle w:val="Compact"/>
                    <w:jc w:val="center"/>
                    <w:jc w:val="center"/>
                  </w:pPr>
                  <w:r>
                    <w:t xml:space="preserve">0.3</w:t>
                  </w:r>
                </w:p>
              </w:tc>
              <w:tc>
                <w:tcPr/>
                <w:p>
                  <w:pPr>
                    <w:pStyle w:val="Compact"/>
                    <w:jc w:val="center"/>
                    <w:jc w:val="center"/>
                  </w:pPr>
                  <w:r>
                    <w:t xml:space="preserve">Strong</w:t>
                  </w:r>
                </w:p>
              </w:tc>
            </w:tr>
            <w:tr>
              <w:tc>
                <w:tcPr/>
                <w:p>
                  <w:pPr>
                    <w:pStyle w:val="Compact"/>
                    <w:jc w:val="center"/>
                    <w:jc w:val="center"/>
                  </w:pPr>
                  <w:r>
                    <w:t xml:space="preserve">c*</w:t>
                  </w:r>
                </w:p>
              </w:tc>
              <w:tc>
                <w:tcPr/>
                <w:p>
                  <w:pPr>
                    <w:pStyle w:val="Compact"/>
                    <w:jc w:val="center"/>
                    <w:jc w:val="center"/>
                  </w:pPr>
                  <w:r>
                    <w:t xml:space="preserve">Simple</w:t>
                  </w:r>
                </w:p>
              </w:tc>
              <w:tc>
                <w:tcPr/>
                <w:p>
                  <w:pPr>
                    <w:pStyle w:val="Compact"/>
                    <w:jc w:val="center"/>
                    <w:jc w:val="center"/>
                  </w:pPr>
                  <w:r>
                    <w:t xml:space="preserve">0.1</w:t>
                  </w:r>
                </w:p>
              </w:tc>
              <w:tc>
                <w:tcPr/>
                <w:p>
                  <w:pPr>
                    <w:pStyle w:val="Compact"/>
                    <w:jc w:val="center"/>
                    <w:jc w:val="center"/>
                  </w:pPr>
                  <w:r>
                    <w:t xml:space="preserve">0.9</w:t>
                  </w:r>
                </w:p>
              </w:tc>
              <w:tc>
                <w:tcPr/>
                <w:p>
                  <w:pPr>
                    <w:pStyle w:val="Compact"/>
                    <w:jc w:val="center"/>
                    <w:jc w:val="center"/>
                  </w:pPr>
                  <w:r>
                    <w:t xml:space="preserve">87</w:t>
                  </w:r>
                </w:p>
              </w:tc>
              <w:tc>
                <w:tcPr/>
                <w:p>
                  <w:pPr>
                    <w:pStyle w:val="Compact"/>
                    <w:jc w:val="center"/>
                    <w:jc w:val="center"/>
                  </w:pPr>
                  <w:r>
                    <w:t xml:space="preserve">199</w:t>
                  </w:r>
                </w:p>
              </w:tc>
              <w:tc>
                <w:tcPr/>
                <w:p>
                  <w:pPr>
                    <w:pStyle w:val="Compact"/>
                    <w:jc w:val="center"/>
                    <w:jc w:val="center"/>
                  </w:pPr>
                  <w:r>
                    <w:t xml:space="preserve">0.3</w:t>
                  </w:r>
                </w:p>
              </w:tc>
              <w:tc>
                <w:tcPr/>
                <w:p>
                  <w:pPr>
                    <w:pStyle w:val="Compact"/>
                    <w:jc w:val="center"/>
                    <w:jc w:val="center"/>
                  </w:pPr>
                  <w:r>
                    <w:t xml:space="preserve">Strong</w:t>
                  </w:r>
                </w:p>
              </w:tc>
            </w:tr>
            <w:tr>
              <w:tc>
                <w:tcPr/>
                <w:p>
                  <w:pPr>
                    <w:pStyle w:val="Compact"/>
                    <w:jc w:val="center"/>
                    <w:jc w:val="center"/>
                  </w:pPr>
                  <w:r>
                    <w:t xml:space="preserve">h*</w:t>
                  </w:r>
                </w:p>
              </w:tc>
              <w:tc>
                <w:tcPr/>
                <w:p>
                  <w:pPr>
                    <w:pStyle w:val="Compact"/>
                    <w:jc w:val="center"/>
                    <w:jc w:val="center"/>
                  </w:pPr>
                  <w:r>
                    <w:t xml:space="preserve">Simple</w:t>
                  </w:r>
                </w:p>
              </w:tc>
              <w:tc>
                <w:tcPr/>
                <w:p>
                  <w:pPr>
                    <w:pStyle w:val="Compact"/>
                    <w:jc w:val="center"/>
                    <w:jc w:val="center"/>
                  </w:pPr>
                  <w:r>
                    <w:t xml:space="preserve">0.0</w:t>
                  </w:r>
                </w:p>
              </w:tc>
              <w:tc>
                <w:tcPr/>
                <w:p>
                  <w:pPr>
                    <w:pStyle w:val="Compact"/>
                    <w:jc w:val="center"/>
                    <w:jc w:val="center"/>
                  </w:pPr>
                  <w:r>
                    <w:t xml:space="preserve">1.1</w:t>
                  </w:r>
                </w:p>
              </w:tc>
              <w:tc>
                <w:tcPr/>
                <w:p>
                  <w:pPr>
                    <w:pStyle w:val="Compact"/>
                    <w:jc w:val="center"/>
                    <w:jc w:val="center"/>
                  </w:pPr>
                  <w:r>
                    <w:t xml:space="preserve">100</w:t>
                  </w:r>
                </w:p>
              </w:tc>
              <w:tc>
                <w:tcPr/>
                <w:p>
                  <w:pPr>
                    <w:pStyle w:val="Compact"/>
                    <w:jc w:val="center"/>
                    <w:jc w:val="center"/>
                  </w:pPr>
                  <w:r>
                    <w:t xml:space="preserve">185</w:t>
                  </w:r>
                </w:p>
              </w:tc>
              <w:tc>
                <w:tcPr/>
                <w:p>
                  <w:pPr>
                    <w:pStyle w:val="Compact"/>
                    <w:jc w:val="center"/>
                    <w:jc w:val="center"/>
                  </w:pPr>
                  <w:r>
                    <w:t xml:space="preserve">0.2</w:t>
                  </w:r>
                </w:p>
              </w:tc>
              <w:tc>
                <w:tcPr/>
                <w:p>
                  <w:pPr>
                    <w:pStyle w:val="Compact"/>
                    <w:jc w:val="center"/>
                    <w:jc w:val="center"/>
                  </w:pPr>
                  <w:r>
                    <w:t xml:space="preserve">Strong</w:t>
                  </w:r>
                </w:p>
              </w:tc>
            </w:tr>
            <w:tr>
              <w:tc>
                <w:tcPr/>
                <w:p>
                  <w:pPr>
                    <w:pStyle w:val="Compact"/>
                    <w:jc w:val="center"/>
                    <w:jc w:val="center"/>
                  </w:pPr>
                  <w:r>
                    <w:t xml:space="preserve">x</w:t>
                  </w:r>
                </w:p>
              </w:tc>
              <w:tc>
                <w:tcPr/>
                <w:p>
                  <w:pPr>
                    <w:pStyle w:val="Compact"/>
                    <w:jc w:val="center"/>
                    <w:jc w:val="center"/>
                  </w:pPr>
                  <w:r>
                    <w:t xml:space="preserve">Simple</w:t>
                  </w:r>
                </w:p>
              </w:tc>
              <w:tc>
                <w:tcPr/>
                <w:p>
                  <w:pPr>
                    <w:pStyle w:val="Compact"/>
                    <w:jc w:val="center"/>
                    <w:jc w:val="center"/>
                  </w:pPr>
                  <w:r>
                    <w:t xml:space="preserve">0.4</w:t>
                  </w:r>
                </w:p>
              </w:tc>
              <w:tc>
                <w:tcPr/>
                <w:p>
                  <w:pPr>
                    <w:pStyle w:val="Compact"/>
                    <w:jc w:val="center"/>
                    <w:jc w:val="center"/>
                  </w:pPr>
                  <w:r>
                    <w:t xml:space="preserve">1.0</w:t>
                  </w:r>
                </w:p>
              </w:tc>
              <w:tc>
                <w:tcPr/>
                <w:p>
                  <w:pPr>
                    <w:pStyle w:val="Compact"/>
                    <w:jc w:val="center"/>
                    <w:jc w:val="center"/>
                  </w:pPr>
                  <w:r>
                    <w:t xml:space="preserve">58</w:t>
                  </w:r>
                </w:p>
              </w:tc>
              <w:tc>
                <w:tcPr/>
                <w:p>
                  <w:pPr>
                    <w:pStyle w:val="Compact"/>
                    <w:jc w:val="center"/>
                    <w:jc w:val="center"/>
                  </w:pPr>
                  <w:r>
                    <w:t xml:space="preserve">220</w:t>
                  </w:r>
                </w:p>
              </w:tc>
              <w:tc>
                <w:tcPr/>
                <w:p>
                  <w:pPr>
                    <w:pStyle w:val="Compact"/>
                    <w:jc w:val="center"/>
                    <w:jc w:val="center"/>
                  </w:pPr>
                  <w:r>
                    <w:t xml:space="preserve">0.1</w:t>
                  </w:r>
                </w:p>
              </w:tc>
              <w:tc>
                <w:tcPr/>
                <w:p>
                  <w:pPr>
                    <w:pStyle w:val="Compact"/>
                    <w:jc w:val="center"/>
                    <w:jc w:val="center"/>
                  </w:pPr>
                  <w:r>
                    <w:t xml:space="preserve">Moderate</w:t>
                  </w:r>
                </w:p>
              </w:tc>
            </w:tr>
            <w:tr>
              <w:tc>
                <w:tcPr>
                  <w:gridSpan w:val="8"/>
                </w:tcPr>
                <w:p>
                  <w:pPr>
                    <w:pStyle w:val="Compact"/>
                    <w:jc w:val="center"/>
                    <w:jc w:val="center"/>
                  </w:pPr>
                  <w:r>
                    <w:t xml:space="preserve">Forest</w:t>
                  </w:r>
                </w:p>
              </w:tc>
            </w:tr>
            <w:tr>
              <w:tc>
                <w:tcPr/>
                <w:p>
                  <w:pPr>
                    <w:pStyle w:val="Compact"/>
                    <w:jc w:val="center"/>
                    <w:jc w:val="center"/>
                  </w:pPr>
                  <w:r>
                    <w:t xml:space="preserve">Ca</w:t>
                  </w:r>
                </w:p>
              </w:tc>
              <w:tc>
                <w:tcPr/>
                <w:p>
                  <w:pPr>
                    <w:pStyle w:val="Compact"/>
                    <w:jc w:val="center"/>
                    <w:jc w:val="center"/>
                  </w:pPr>
                  <w:r>
                    <w:t xml:space="preserve">Ordinary</w:t>
                  </w:r>
                </w:p>
              </w:tc>
              <w:tc>
                <w:tcPr/>
                <w:p>
                  <w:pPr>
                    <w:pStyle w:val="Compact"/>
                    <w:jc w:val="center"/>
                    <w:jc w:val="center"/>
                  </w:pPr>
                  <w:r>
                    <w:t xml:space="preserve">1.6</w:t>
                  </w:r>
                </w:p>
              </w:tc>
              <w:tc>
                <w:tcPr/>
                <w:p>
                  <w:pPr>
                    <w:pStyle w:val="Compact"/>
                    <w:jc w:val="center"/>
                    <w:jc w:val="center"/>
                  </w:pPr>
                  <w:r>
                    <w:t xml:space="preserve">2.7</w:t>
                  </w:r>
                </w:p>
              </w:tc>
              <w:tc>
                <w:tcPr/>
                <w:p>
                  <w:pPr>
                    <w:pStyle w:val="Compact"/>
                    <w:jc w:val="center"/>
                    <w:jc w:val="center"/>
                  </w:pPr>
                  <w:r>
                    <w:t xml:space="preserve">41</w:t>
                  </w:r>
                </w:p>
              </w:tc>
              <w:tc>
                <w:tcPr/>
                <w:p>
                  <w:pPr>
                    <w:pStyle w:val="Compact"/>
                    <w:jc w:val="center"/>
                    <w:jc w:val="center"/>
                  </w:pPr>
                  <w:r>
                    <w:t xml:space="preserve">269</w:t>
                  </w:r>
                </w:p>
              </w:tc>
              <w:tc>
                <w:tcPr/>
                <w:p>
                  <w:pPr>
                    <w:pStyle w:val="Compact"/>
                    <w:jc w:val="center"/>
                    <w:jc w:val="center"/>
                  </w:pPr>
                  <w:r>
                    <w:t xml:space="preserve">0.2</w:t>
                  </w:r>
                </w:p>
              </w:tc>
              <w:tc>
                <w:tcPr/>
                <w:p>
                  <w:pPr>
                    <w:pStyle w:val="Compact"/>
                    <w:jc w:val="center"/>
                    <w:jc w:val="center"/>
                  </w:pPr>
                  <w:r>
                    <w:t xml:space="preserve">Moderate</w:t>
                  </w:r>
                </w:p>
              </w:tc>
            </w:tr>
            <w:tr>
              <w:tc>
                <w:tcPr/>
                <w:p>
                  <w:pPr>
                    <w:pStyle w:val="Compact"/>
                    <w:jc w:val="center"/>
                    <w:jc w:val="center"/>
                  </w:pPr>
                  <w:r>
                    <w:t xml:space="preserve">Co</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2.1</w:t>
                  </w:r>
                </w:p>
              </w:tc>
              <w:tc>
                <w:tcPr/>
                <w:p>
                  <w:pPr>
                    <w:pStyle w:val="Compact"/>
                    <w:jc w:val="center"/>
                    <w:jc w:val="center"/>
                  </w:pPr>
                  <w:r>
                    <w:t xml:space="preserve">100</w:t>
                  </w:r>
                </w:p>
              </w:tc>
              <w:tc>
                <w:tcPr/>
                <w:p>
                  <w:pPr>
                    <w:pStyle w:val="Compact"/>
                    <w:jc w:val="center"/>
                    <w:jc w:val="center"/>
                  </w:pPr>
                  <w:r>
                    <w:t xml:space="preserve">298</w:t>
                  </w:r>
                </w:p>
              </w:tc>
              <w:tc>
                <w:tcPr/>
                <w:p>
                  <w:pPr>
                    <w:pStyle w:val="Compact"/>
                    <w:jc w:val="center"/>
                    <w:jc w:val="center"/>
                  </w:pPr>
                  <w:r>
                    <w:t xml:space="preserve">0.1</w:t>
                  </w:r>
                </w:p>
              </w:tc>
              <w:tc>
                <w:tcPr/>
                <w:p>
                  <w:pPr>
                    <w:pStyle w:val="Compact"/>
                    <w:jc w:val="center"/>
                    <w:jc w:val="center"/>
                  </w:pPr>
                  <w:r>
                    <w:t xml:space="preserve">Strong</w:t>
                  </w:r>
                </w:p>
              </w:tc>
            </w:tr>
            <w:tr>
              <w:tc>
                <w:tcPr/>
                <w:p>
                  <w:pPr>
                    <w:pStyle w:val="Compact"/>
                    <w:jc w:val="center"/>
                    <w:jc w:val="center"/>
                  </w:pPr>
                  <w:r>
                    <w:t xml:space="preserve">Cs</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83</w:t>
                  </w:r>
                </w:p>
              </w:tc>
              <w:tc>
                <w:tcPr/>
                <w:p>
                  <w:pPr>
                    <w:pStyle w:val="Compact"/>
                    <w:jc w:val="center"/>
                    <w:jc w:val="center"/>
                  </w:pPr>
                  <w:r>
                    <w:t xml:space="preserve">237</w:t>
                  </w:r>
                </w:p>
              </w:tc>
              <w:tc>
                <w:tcPr/>
                <w:p>
                  <w:pPr>
                    <w:pStyle w:val="Compact"/>
                    <w:jc w:val="center"/>
                    <w:jc w:val="center"/>
                  </w:pPr>
                  <w:r>
                    <w:t xml:space="preserve">0.2</w:t>
                  </w:r>
                </w:p>
              </w:tc>
              <w:tc>
                <w:tcPr/>
                <w:p>
                  <w:pPr>
                    <w:pStyle w:val="Compact"/>
                    <w:jc w:val="center"/>
                    <w:jc w:val="center"/>
                  </w:pPr>
                  <w:r>
                    <w:t xml:space="preserve">Strong</w:t>
                  </w:r>
                </w:p>
              </w:tc>
            </w:tr>
            <w:tr>
              <w:tc>
                <w:tcPr/>
                <w:p>
                  <w:pPr>
                    <w:pStyle w:val="Compact"/>
                    <w:jc w:val="center"/>
                    <w:jc w:val="center"/>
                  </w:pPr>
                  <w:r>
                    <w:t xml:space="preserve">Li</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0.8</w:t>
                  </w:r>
                </w:p>
              </w:tc>
              <w:tc>
                <w:tcPr/>
                <w:p>
                  <w:pPr>
                    <w:pStyle w:val="Compact"/>
                    <w:jc w:val="center"/>
                    <w:jc w:val="center"/>
                  </w:pPr>
                  <w:r>
                    <w:t xml:space="preserve">100</w:t>
                  </w:r>
                </w:p>
              </w:tc>
              <w:tc>
                <w:tcPr/>
                <w:p>
                  <w:pPr>
                    <w:pStyle w:val="Compact"/>
                    <w:jc w:val="center"/>
                    <w:jc w:val="center"/>
                  </w:pPr>
                  <w:r>
                    <w:t xml:space="preserve">222</w:t>
                  </w:r>
                </w:p>
              </w:tc>
              <w:tc>
                <w:tcPr/>
                <w:p>
                  <w:pPr>
                    <w:pStyle w:val="Compact"/>
                    <w:jc w:val="center"/>
                    <w:jc w:val="center"/>
                  </w:pPr>
                  <w:r>
                    <w:t xml:space="preserve">0.3</w:t>
                  </w:r>
                </w:p>
              </w:tc>
              <w:tc>
                <w:tcPr/>
                <w:p>
                  <w:pPr>
                    <w:pStyle w:val="Compact"/>
                    <w:jc w:val="center"/>
                    <w:jc w:val="center"/>
                  </w:pPr>
                  <w:r>
                    <w:t xml:space="preserve">Strong</w:t>
                  </w:r>
                </w:p>
              </w:tc>
            </w:tr>
            <w:tr>
              <w:tc>
                <w:tcPr/>
                <w:p>
                  <w:pPr>
                    <w:pStyle w:val="Compact"/>
                    <w:jc w:val="center"/>
                    <w:jc w:val="center"/>
                  </w:pPr>
                  <w:r>
                    <w:t xml:space="preserve">La</w:t>
                  </w:r>
                </w:p>
              </w:tc>
              <w:tc>
                <w:tcPr/>
                <w:p>
                  <w:pPr>
                    <w:pStyle w:val="Compact"/>
                    <w:jc w:val="center"/>
                    <w:jc w:val="center"/>
                  </w:pPr>
                  <w:r>
                    <w:t xml:space="preserve">Ordinary</w:t>
                  </w:r>
                </w:p>
              </w:tc>
              <w:tc>
                <w:tcPr/>
                <w:p>
                  <w:pPr>
                    <w:pStyle w:val="Compact"/>
                    <w:jc w:val="center"/>
                    <w:jc w:val="center"/>
                  </w:pPr>
                  <w:r>
                    <w:t xml:space="preserve">3.1</w:t>
                  </w:r>
                </w:p>
              </w:tc>
              <w:tc>
                <w:tcPr/>
                <w:p>
                  <w:pPr>
                    <w:pStyle w:val="Compact"/>
                    <w:jc w:val="center"/>
                    <w:jc w:val="center"/>
                  </w:pPr>
                  <w:r>
                    <w:t xml:space="preserve">7.4</w:t>
                  </w:r>
                </w:p>
              </w:tc>
              <w:tc>
                <w:tcPr/>
                <w:p>
                  <w:pPr>
                    <w:pStyle w:val="Compact"/>
                    <w:jc w:val="center"/>
                    <w:jc w:val="center"/>
                  </w:pPr>
                  <w:r>
                    <w:t xml:space="preserve">59</w:t>
                  </w:r>
                </w:p>
              </w:tc>
              <w:tc>
                <w:tcPr/>
                <w:p>
                  <w:pPr>
                    <w:pStyle w:val="Compact"/>
                    <w:jc w:val="center"/>
                    <w:jc w:val="center"/>
                  </w:pPr>
                  <w:r>
                    <w:t xml:space="preserve">176</w:t>
                  </w:r>
                </w:p>
              </w:tc>
              <w:tc>
                <w:tcPr/>
                <w:p>
                  <w:pPr>
                    <w:pStyle w:val="Compact"/>
                    <w:jc w:val="center"/>
                    <w:jc w:val="center"/>
                  </w:pPr>
                  <w:r>
                    <w:t xml:space="preserve">0.1</w:t>
                  </w:r>
                </w:p>
              </w:tc>
              <w:tc>
                <w:tcPr/>
                <w:p>
                  <w:pPr>
                    <w:pStyle w:val="Compact"/>
                    <w:jc w:val="center"/>
                    <w:jc w:val="center"/>
                  </w:pPr>
                  <w:r>
                    <w:t xml:space="preserve">Moderate</w:t>
                  </w:r>
                </w:p>
              </w:tc>
            </w:tr>
            <w:tr>
              <w:tc>
                <w:tcPr/>
                <w:p>
                  <w:pPr>
                    <w:pStyle w:val="Compact"/>
                    <w:jc w:val="center"/>
                    <w:jc w:val="center"/>
                  </w:pPr>
                  <w:r>
                    <w:t xml:space="preserve">Nb</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51</w:t>
                  </w:r>
                </w:p>
              </w:tc>
              <w:tc>
                <w:tcPr/>
                <w:p>
                  <w:pPr>
                    <w:pStyle w:val="Compact"/>
                    <w:jc w:val="center"/>
                    <w:jc w:val="center"/>
                  </w:pPr>
                  <w:r>
                    <w:t xml:space="preserve">224</w:t>
                  </w:r>
                </w:p>
              </w:tc>
              <w:tc>
                <w:tcPr/>
                <w:p>
                  <w:pPr>
                    <w:pStyle w:val="Compact"/>
                    <w:jc w:val="center"/>
                    <w:jc w:val="center"/>
                  </w:pPr>
                  <w:r>
                    <w:t xml:space="preserve">0.2</w:t>
                  </w:r>
                </w:p>
              </w:tc>
              <w:tc>
                <w:tcPr/>
                <w:p>
                  <w:pPr>
                    <w:pStyle w:val="Compact"/>
                    <w:jc w:val="center"/>
                    <w:jc w:val="center"/>
                  </w:pPr>
                  <w:r>
                    <w:t xml:space="preserve">Moderate</w:t>
                  </w:r>
                </w:p>
              </w:tc>
            </w:tr>
            <w:tr>
              <w:tc>
                <w:tcPr/>
                <w:p>
                  <w:pPr>
                    <w:pStyle w:val="Compact"/>
                    <w:jc w:val="center"/>
                    <w:jc w:val="center"/>
                  </w:pPr>
                  <w:r>
                    <w:t xml:space="preserve">Ni</w:t>
                  </w:r>
                </w:p>
              </w:tc>
              <w:tc>
                <w:tcPr/>
                <w:p>
                  <w:pPr>
                    <w:pStyle w:val="Compact"/>
                    <w:jc w:val="center"/>
                    <w:jc w:val="center"/>
                  </w:pPr>
                  <w:r>
                    <w:t xml:space="preserve">Universal</w:t>
                  </w:r>
                </w:p>
              </w:tc>
              <w:tc>
                <w:tcPr/>
                <w:p>
                  <w:pPr>
                    <w:pStyle w:val="Compact"/>
                    <w:jc w:val="center"/>
                    <w:jc w:val="center"/>
                  </w:pPr>
                  <w:r>
                    <w:t xml:space="preserve">6.7</w:t>
                  </w:r>
                </w:p>
              </w:tc>
              <w:tc>
                <w:tcPr/>
                <w:p>
                  <w:pPr>
                    <w:pStyle w:val="Compact"/>
                    <w:jc w:val="center"/>
                    <w:jc w:val="center"/>
                  </w:pPr>
                  <w:r>
                    <w:t xml:space="preserve">15.8</w:t>
                  </w:r>
                </w:p>
              </w:tc>
              <w:tc>
                <w:tcPr/>
                <w:p>
                  <w:pPr>
                    <w:pStyle w:val="Compact"/>
                    <w:jc w:val="center"/>
                    <w:jc w:val="center"/>
                  </w:pPr>
                  <w:r>
                    <w:t xml:space="preserve">57</w:t>
                  </w:r>
                </w:p>
              </w:tc>
              <w:tc>
                <w:tcPr/>
                <w:p>
                  <w:pPr>
                    <w:pStyle w:val="Compact"/>
                    <w:jc w:val="center"/>
                    <w:jc w:val="center"/>
                  </w:pPr>
                  <w:r>
                    <w:t xml:space="preserve">187</w:t>
                  </w:r>
                </w:p>
              </w:tc>
              <w:tc>
                <w:tcPr/>
                <w:p>
                  <w:pPr>
                    <w:pStyle w:val="Compact"/>
                    <w:jc w:val="center"/>
                    <w:jc w:val="center"/>
                  </w:pPr>
                  <w:r>
                    <w:t xml:space="preserve">0.2</w:t>
                  </w:r>
                </w:p>
              </w:tc>
              <w:tc>
                <w:tcPr/>
                <w:p>
                  <w:pPr>
                    <w:pStyle w:val="Compact"/>
                    <w:jc w:val="center"/>
                    <w:jc w:val="center"/>
                  </w:pPr>
                  <w:r>
                    <w:t xml:space="preserve">Moderate</w:t>
                  </w:r>
                </w:p>
              </w:tc>
            </w:tr>
            <w:tr>
              <w:tc>
                <w:tcPr/>
                <w:p>
                  <w:pPr>
                    <w:pStyle w:val="Compact"/>
                    <w:jc w:val="center"/>
                    <w:jc w:val="center"/>
                  </w:pPr>
                  <w:r>
                    <w:t xml:space="preserve">Sr</w:t>
                  </w:r>
                </w:p>
              </w:tc>
              <w:tc>
                <w:tcPr/>
                <w:p>
                  <w:pPr>
                    <w:pStyle w:val="Compact"/>
                    <w:jc w:val="center"/>
                    <w:jc w:val="center"/>
                  </w:pPr>
                  <w:r>
                    <w:t xml:space="preserve">Simple</w:t>
                  </w:r>
                </w:p>
              </w:tc>
              <w:tc>
                <w:tcPr/>
                <w:p>
                  <w:pPr>
                    <w:pStyle w:val="Compact"/>
                    <w:jc w:val="center"/>
                    <w:jc w:val="center"/>
                  </w:pPr>
                  <w:r>
                    <w:t xml:space="preserve">0.4</w:t>
                  </w:r>
                </w:p>
              </w:tc>
              <w:tc>
                <w:tcPr/>
                <w:p>
                  <w:pPr>
                    <w:pStyle w:val="Compact"/>
                    <w:jc w:val="center"/>
                    <w:jc w:val="center"/>
                  </w:pPr>
                  <w:r>
                    <w:t xml:space="preserve">1.0</w:t>
                  </w:r>
                </w:p>
              </w:tc>
              <w:tc>
                <w:tcPr/>
                <w:p>
                  <w:pPr>
                    <w:pStyle w:val="Compact"/>
                    <w:jc w:val="center"/>
                    <w:jc w:val="center"/>
                  </w:pPr>
                  <w:r>
                    <w:t xml:space="preserve">65</w:t>
                  </w:r>
                </w:p>
              </w:tc>
              <w:tc>
                <w:tcPr/>
                <w:p>
                  <w:pPr>
                    <w:pStyle w:val="Compact"/>
                    <w:jc w:val="center"/>
                    <w:jc w:val="center"/>
                  </w:pPr>
                  <w:r>
                    <w:t xml:space="preserve">229</w:t>
                  </w:r>
                </w:p>
              </w:tc>
              <w:tc>
                <w:tcPr/>
                <w:p>
                  <w:pPr>
                    <w:pStyle w:val="Compact"/>
                    <w:jc w:val="center"/>
                    <w:jc w:val="center"/>
                  </w:pPr>
                  <w:r>
                    <w:t xml:space="preserve">0.4</w:t>
                  </w:r>
                </w:p>
              </w:tc>
              <w:tc>
                <w:tcPr/>
                <w:p>
                  <w:pPr>
                    <w:pStyle w:val="Compact"/>
                    <w:jc w:val="center"/>
                    <w:jc w:val="center"/>
                  </w:pPr>
                  <w:r>
                    <w:t xml:space="preserve">Moderate</w:t>
                  </w:r>
                </w:p>
              </w:tc>
            </w:tr>
            <w:tr>
              <w:tc>
                <w:tcPr/>
                <w:p>
                  <w:pPr>
                    <w:pStyle w:val="Compact"/>
                    <w:jc w:val="center"/>
                    <w:jc w:val="center"/>
                  </w:pPr>
                  <w:r>
                    <w:t xml:space="preserve">h*</w:t>
                  </w:r>
                </w:p>
              </w:tc>
              <w:tc>
                <w:tcPr/>
                <w:p>
                  <w:pPr>
                    <w:pStyle w:val="Compact"/>
                    <w:jc w:val="center"/>
                    <w:jc w:val="center"/>
                  </w:pPr>
                  <w:r>
                    <w:t xml:space="preserve">Universal</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100</w:t>
                  </w:r>
                </w:p>
              </w:tc>
              <w:tc>
                <w:tcPr/>
                <w:p>
                  <w:pPr>
                    <w:pStyle w:val="Compact"/>
                    <w:jc w:val="center"/>
                    <w:jc w:val="center"/>
                  </w:pPr>
                  <w:r>
                    <w:t xml:space="preserve">230</w:t>
                  </w:r>
                </w:p>
              </w:tc>
              <w:tc>
                <w:tcPr/>
                <w:p>
                  <w:pPr>
                    <w:pStyle w:val="Compact"/>
                    <w:jc w:val="center"/>
                    <w:jc w:val="center"/>
                  </w:pPr>
                  <w:r>
                    <w:t xml:space="preserve">0.3</w:t>
                  </w:r>
                </w:p>
              </w:tc>
              <w:tc>
                <w:tcPr/>
                <w:p>
                  <w:pPr>
                    <w:pStyle w:val="Compact"/>
                    <w:jc w:val="center"/>
                    <w:jc w:val="center"/>
                  </w:pPr>
                  <w:r>
                    <w:t xml:space="preserve">Strong</w:t>
                  </w:r>
                </w:p>
              </w:tc>
            </w:tr>
            <w:tr>
              <w:tc>
                <w:tcPr>
                  <w:gridSpan w:val="8"/>
                </w:tcPr>
                <w:p>
                  <w:pPr>
                    <w:pStyle w:val="Compact"/>
                    <w:jc w:val="center"/>
                    <w:jc w:val="center"/>
                  </w:pPr>
                  <w:r>
                    <w:rPr>
                      <w:vertAlign w:val="superscript"/>
                    </w:rPr>
                    <w:t xml:space="preserve">*</w:t>
                  </w:r>
                  <w:r>
                    <w:t xml:space="preserve"> </w:t>
                  </w:r>
                  <w:r>
                    <w:t xml:space="preserve">Stable model type was used for all analysis. Models are all isotropic.</w:t>
                  </w:r>
                </w:p>
              </w:tc>
            </w:tr>
            <w:tr>
              <w:tc>
                <w:tcPr>
                  <w:gridSpan w:val="8"/>
                </w:tcPr>
                <w:p>
                  <w:pPr>
                    <w:pStyle w:val="Compact"/>
                    <w:jc w:val="center"/>
                    <w:jc w:val="center"/>
                  </w:pPr>
                  <w:r>
                    <w:rPr>
                      <w:vertAlign w:val="superscript"/>
                    </w:rPr>
                    <w:t xml:space="preserve">†</w:t>
                  </w:r>
                  <w:r>
                    <w:t xml:space="preserve"> </w:t>
                  </w:r>
                  <w:r>
                    <w:t xml:space="preserve">Cross-validation of the measured and predicted values</w:t>
                  </w:r>
                </w:p>
              </w:tc>
            </w:tr>
            <w:tr>
              <w:tc>
                <w:tcPr>
                  <w:gridSpan w:val="8"/>
                </w:tcPr>
                <w:p>
                  <w:pPr>
                    <w:pStyle w:val="Compact"/>
                    <w:jc w:val="center"/>
                    <w:jc w:val="center"/>
                  </w:pPr>
                  <w:r>
                    <w:rPr>
                      <w:vertAlign w:val="superscript"/>
                    </w:rPr>
                    <w:t xml:space="preserve">‡</w:t>
                  </w:r>
                  <w:r>
                    <w:t xml:space="preserve"> </w:t>
                  </w:r>
                  <w:r>
                    <w:t xml:space="preserve">Strong spatial dependency (C/(C + Co) % &gt;75); Moderate spatial dependency (C/(C + Co) % between 75 and 25); Low spatial dependency (C/(C + Co) % &lt;25).</w:t>
                  </w:r>
                </w:p>
              </w:tc>
            </w:tr>
          </w:tbl>
          <w:bookmarkEnd w:id="26"/>
          <w:p/>
        </w:tc>
      </w:tr>
    </w:tbl>
    <w:p>
      <w:pPr>
        <w:pStyle w:val="TextBody"/>
      </w:pPr>
      <w:r>
        <w:rPr>
          <w:vertAlign w:val="subscript"/>
        </w:rPr>
        <w:t xml:space="preserve">Source:</w:t>
      </w:r>
      <w:r>
        <w:rPr>
          <w:vertAlign w:val="subscript"/>
        </w:rPr>
        <w:t xml:space="preserve"> </w:t>
      </w:r>
      <w:hyperlink r:id="rId27">
        <w:r>
          <w:rPr>
            <w:rStyle w:val="InternetLink"/>
            <w:vertAlign w:val="subscript"/>
          </w:rPr>
          <w:t xml:space="preserve">Semivariograms</w:t>
        </w:r>
      </w:hyperlink>
    </w:p>
    <w:tbl>
      <w:tblPr>
        <w:tblStyle w:val="Table"/>
        <w:tblW w:type="pct" w:w="5000"/>
        <w:tblLayout w:type="fixed"/>
        <w:tblLook w:firstRow="0" w:lastRow="0" w:firstColumn="0" w:lastColumn="0" w:noHBand="0" w:noVBand="0" w:val="0000"/>
      </w:tblPr>
      <w:tblGrid>
        <w:gridCol w:w="7920"/>
      </w:tblGrid>
      <w:tr>
        <w:tc>
          <w:tcPr/>
          <w:bookmarkStart w:id="31" w:name="fig-ag_map"/>
          <w:p>
            <w:pPr>
              <w:pStyle w:val="Compact"/>
              <w:jc w:val="center"/>
            </w:pPr>
            <w:r>
              <w:drawing>
                <wp:inline>
                  <wp:extent cx="5943600" cy="11887200"/>
                  <wp:effectExtent b="0" l="0" r="0" t="0"/>
                  <wp:docPr descr="" title="" id="29" name="Picture"/>
                  <a:graphic>
                    <a:graphicData uri="http://schemas.openxmlformats.org/drawingml/2006/picture">
                      <pic:pic>
                        <pic:nvPicPr>
                          <pic:cNvPr descr="index_files/figure-docx/notebooks-property_maps-fig-ag_map-output-1.png" id="30" name="Picture"/>
                          <pic:cNvPicPr>
                            <a:picLocks noChangeArrowheads="1" noChangeAspect="1"/>
                          </pic:cNvPicPr>
                        </pic:nvPicPr>
                        <pic:blipFill>
                          <a:blip r:embed="rId28"/>
                          <a:stretch>
                            <a:fillRect/>
                          </a:stretch>
                        </pic:blipFill>
                        <pic:spPr bwMode="auto">
                          <a:xfrm>
                            <a:off x="0" y="0"/>
                            <a:ext cx="5943600" cy="1188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Kriged maps of colour and geochemical properties and elevation across the agricultural site.</w:t>
            </w:r>
          </w:p>
          <w:bookmarkEnd w:id="31"/>
        </w:tc>
      </w:tr>
    </w:tbl>
    <w:p>
      <w:pPr>
        <w:pStyle w:val="TextBody"/>
      </w:pPr>
      <w:r>
        <w:rPr>
          <w:vertAlign w:val="subscript"/>
        </w:rPr>
        <w:t xml:space="preserve">Source:</w:t>
      </w:r>
      <w:r>
        <w:rPr>
          <w:vertAlign w:val="subscript"/>
        </w:rPr>
        <w:t xml:space="preserve"> </w:t>
      </w:r>
      <w:hyperlink r:id="rId32">
        <w:r>
          <w:rPr>
            <w:rStyle w:val="InternetLink"/>
            <w:vertAlign w:val="subscript"/>
          </w:rPr>
          <w:t xml:space="preserve">Soil property mapping</w:t>
        </w:r>
      </w:hyperlink>
    </w:p>
    <w:tbl>
      <w:tblPr>
        <w:tblStyle w:val="Table"/>
        <w:tblW w:type="pct" w:w="5000"/>
        <w:tblLayout w:type="fixed"/>
        <w:tblLook w:firstRow="0" w:lastRow="0" w:firstColumn="0" w:lastColumn="0" w:noHBand="0" w:noVBand="0" w:val="0000"/>
      </w:tblPr>
      <w:tblGrid>
        <w:gridCol w:w="7920"/>
      </w:tblGrid>
      <w:tr>
        <w:tc>
          <w:tcPr/>
          <w:bookmarkStart w:id="36" w:name="fig-forest_map"/>
          <w:p>
            <w:pPr>
              <w:pStyle w:val="Compact"/>
              <w:jc w:val="center"/>
            </w:pPr>
            <w:r>
              <w:drawing>
                <wp:inline>
                  <wp:extent cx="5943600" cy="7726164"/>
                  <wp:effectExtent b="0" l="0" r="0" t="0"/>
                  <wp:docPr descr="" title="" id="34" name="Picture"/>
                  <a:graphic>
                    <a:graphicData uri="http://schemas.openxmlformats.org/drawingml/2006/picture">
                      <pic:pic>
                        <pic:nvPicPr>
                          <pic:cNvPr descr="index_files/figure-docx/notebooks-property_maps-fig-forest_map-output-1.png" id="35" name="Picture"/>
                          <pic:cNvPicPr>
                            <a:picLocks noChangeArrowheads="1" noChangeAspect="1"/>
                          </pic:cNvPicPr>
                        </pic:nvPicPr>
                        <pic:blipFill>
                          <a:blip r:embed="rId33"/>
                          <a:stretch>
                            <a:fillRect/>
                          </a:stretch>
                        </pic:blipFill>
                        <pic:spPr bwMode="auto">
                          <a:xfrm>
                            <a:off x="0" y="0"/>
                            <a:ext cx="5943600" cy="772616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Kriged map of colour and geochemical properties and elevation across the forested site.</w:t>
            </w:r>
          </w:p>
          <w:bookmarkEnd w:id="36"/>
        </w:tc>
      </w:tr>
    </w:tbl>
    <w:p>
      <w:pPr>
        <w:pStyle w:val="TextBody"/>
      </w:pPr>
      <w:r>
        <w:rPr>
          <w:vertAlign w:val="subscript"/>
        </w:rPr>
        <w:t xml:space="preserve">Source:</w:t>
      </w:r>
      <w:r>
        <w:rPr>
          <w:vertAlign w:val="subscript"/>
        </w:rPr>
        <w:t xml:space="preserve"> </w:t>
      </w:r>
      <w:hyperlink r:id="rId37">
        <w:r>
          <w:rPr>
            <w:rStyle w:val="InternetLink"/>
            <w:vertAlign w:val="subscript"/>
          </w:rPr>
          <w:t xml:space="preserve">Soil property mapping</w:t>
        </w:r>
      </w:hyperlink>
    </w:p>
    <w:p>
      <w:pPr>
        <w:pStyle w:val="TextBody"/>
      </w:pPr>
      <w:r>
        <w:t xml:space="preserve">With the exception of</w:t>
      </w:r>
      <w:r>
        <w:t xml:space="preserve"> </w:t>
      </w:r>
      <w:r>
        <w:rPr>
          <w:i/>
          <w:iCs/>
        </w:rPr>
        <w:t xml:space="preserve">h*</w:t>
      </w:r>
      <w:r>
        <w:t xml:space="preserve"> </w:t>
      </w:r>
      <w:r>
        <w:t xml:space="preserve">all the soil properties measured at the agricultural site were significantly (p &lt; 0.05) correlated with the elevation and the wetness index (</w:t>
      </w:r>
      <w:hyperlink w:anchor="tbl-correlation">
        <w:r>
          <w:rPr>
            <w:rStyle w:val="InternetLink"/>
          </w:rPr>
          <w:t xml:space="preserve">Table 4</w:t>
        </w:r>
      </w:hyperlink>
      <w:r>
        <w:t xml:space="preserve">). A few soil properties (Li, Ni, Sr,</w:t>
      </w:r>
      <w:r>
        <w:t xml:space="preserve"> </w:t>
      </w:r>
      <w:r>
        <w:rPr>
          <w:i/>
          <w:iCs/>
        </w:rPr>
        <w:t xml:space="preserve">a*</w:t>
      </w:r>
      <w:r>
        <w:t xml:space="preserve"> </w:t>
      </w:r>
      <w:r>
        <w:t xml:space="preserve">and</w:t>
      </w:r>
      <w:r>
        <w:t xml:space="preserve"> </w:t>
      </w:r>
      <w:r>
        <w:rPr>
          <w:i/>
          <w:iCs/>
        </w:rPr>
        <w:t xml:space="preserve">x*</w:t>
      </w:r>
      <w:r>
        <w:t xml:space="preserve">) were correlated relative to slope position and vertical distance to the channel, and there was little to no correlation with catchment area and curvature attributes. Overall, there was little correlation between soil properties and terrain attributes at the forested site (</w:t>
      </w:r>
      <w:hyperlink w:anchor="tbl-correlation">
        <w:r>
          <w:rPr>
            <w:rStyle w:val="InternetLink"/>
          </w:rPr>
          <w:t xml:space="preserve">Table 4</w:t>
        </w:r>
      </w:hyperlink>
      <w:r>
        <w:t xml:space="preserve">).</w:t>
      </w:r>
      <w:r>
        <w:t xml:space="preserve"> </w:t>
      </w:r>
    </w:p>
    <w:tbl>
      <w:tblPr>
        <w:tblStyle w:val="Table"/>
        <w:tblW w:type="pct" w:w="5000"/>
        <w:tblLayout w:type="fixed"/>
        <w:tblLook w:firstRow="0" w:lastRow="0" w:firstColumn="0" w:lastColumn="0" w:noHBand="0" w:noVBand="0" w:val="0000"/>
      </w:tblPr>
      <w:tblGrid>
        <w:gridCol w:w="7920"/>
      </w:tblGrid>
      <w:tr>
        <w:tc>
          <w:tcPr/>
          <w:bookmarkStart w:id="38" w:name="tbl-correlation"/>
          <w:p>
            <w:pPr>
              <w:jc w:val="center"/>
            </w:pPr>
            <w:pPr>
              <w:jc w:val="left"/>
              <w:spacing w:before="200"/>
              <w:pStyle w:val="ImageCaption"/>
            </w:pPr>
            <w:r>
              <w:t xml:space="preserve">Table 4: Pearson’s correlation coefficients for soil colour and geochemical properties and terrain attributes (n=49).</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jc w:val="center"/>
                  </w:pPr>
                  <w:r>
                    <w:t xml:space="preserve">Property</w:t>
                  </w:r>
                </w:p>
              </w:tc>
              <w:tc>
                <w:tcPr/>
                <w:p>
                  <w:pPr>
                    <w:pStyle w:val="Compact"/>
                    <w:jc w:val="center"/>
                    <w:jc w:val="center"/>
                  </w:pPr>
                  <w:r>
                    <w:t xml:space="preserve">Elevation</w:t>
                  </w:r>
                </w:p>
              </w:tc>
              <w:tc>
                <w:tcPr/>
                <w:p>
                  <w:pPr>
                    <w:pStyle w:val="Compact"/>
                    <w:jc w:val="center"/>
                    <w:jc w:val="center"/>
                  </w:pPr>
                  <w:r>
                    <w:t xml:space="preserve">SAGA Wetness Index</w:t>
                  </w:r>
                </w:p>
              </w:tc>
              <w:tc>
                <w:tcPr/>
                <w:p>
                  <w:pPr>
                    <w:pStyle w:val="Compact"/>
                    <w:jc w:val="center"/>
                    <w:jc w:val="center"/>
                  </w:pPr>
                  <w:r>
                    <w:t xml:space="preserve">Rel. Slope Position</w:t>
                  </w:r>
                </w:p>
              </w:tc>
              <w:tc>
                <w:tcPr/>
                <w:p>
                  <w:pPr>
                    <w:pStyle w:val="Compact"/>
                    <w:jc w:val="center"/>
                    <w:jc w:val="center"/>
                  </w:pPr>
                  <w:r>
                    <w:t xml:space="preserve">Vert. Dist. Channel</w:t>
                  </w:r>
                </w:p>
              </w:tc>
              <w:tc>
                <w:tcPr/>
                <w:p>
                  <w:pPr>
                    <w:pStyle w:val="Compact"/>
                    <w:jc w:val="center"/>
                    <w:jc w:val="center"/>
                  </w:pPr>
                  <w:r>
                    <w:t xml:space="preserve">Catchment Area</w:t>
                  </w:r>
                </w:p>
              </w:tc>
              <w:tc>
                <w:tcPr/>
                <w:p>
                  <w:pPr>
                    <w:pStyle w:val="Compact"/>
                    <w:jc w:val="center"/>
                    <w:jc w:val="center"/>
                  </w:pPr>
                  <w:r>
                    <w:t xml:space="preserve">Plan Curvature</w:t>
                  </w:r>
                </w:p>
              </w:tc>
              <w:tc>
                <w:tcPr/>
                <w:p>
                  <w:pPr>
                    <w:pStyle w:val="Compact"/>
                    <w:jc w:val="center"/>
                    <w:jc w:val="center"/>
                  </w:pPr>
                  <w:r>
                    <w:t xml:space="preserve">Profile Curvature</w:t>
                  </w:r>
                </w:p>
              </w:tc>
            </w:tr>
            <w:tr>
              <w:tc>
                <w:tcPr>
                  <w:gridSpan w:val="8"/>
                </w:tcPr>
                <w:p>
                  <w:pPr>
                    <w:pStyle w:val="Compact"/>
                    <w:jc w:val="center"/>
                    <w:jc w:val="center"/>
                  </w:pPr>
                  <w:r>
                    <w:t xml:space="preserve">Agriculture</w:t>
                  </w:r>
                </w:p>
              </w:tc>
            </w:tr>
            <w:tr>
              <w:tc>
                <w:tcPr/>
                <w:p>
                  <w:pPr>
                    <w:pStyle w:val="Compact"/>
                    <w:jc w:val="center"/>
                    <w:jc w:val="center"/>
                  </w:pPr>
                  <w:r>
                    <w:t xml:space="preserve">Ca</w:t>
                  </w:r>
                </w:p>
              </w:tc>
              <w:tc>
                <w:tcPr/>
                <w:p>
                  <w:pPr>
                    <w:pStyle w:val="Compact"/>
                    <w:jc w:val="center"/>
                    <w:jc w:val="center"/>
                  </w:pPr>
                  <w:r>
                    <w:t xml:space="preserve">-0.71***</w:t>
                  </w:r>
                </w:p>
              </w:tc>
              <w:tc>
                <w:tcPr/>
                <w:p>
                  <w:pPr>
                    <w:pStyle w:val="Compact"/>
                    <w:jc w:val="center"/>
                    <w:jc w:val="center"/>
                  </w:pPr>
                  <w:r>
                    <w:t xml:space="preserve">0.61***</w:t>
                  </w:r>
                </w:p>
              </w:tc>
              <w:tc>
                <w:tcPr/>
                <w:p>
                  <w:pPr>
                    <w:pStyle w:val="Compact"/>
                    <w:jc w:val="center"/>
                    <w:jc w:val="center"/>
                  </w:pPr>
                  <w:r>
                    <w:t xml:space="preserve">NS</w:t>
                  </w:r>
                </w:p>
              </w:tc>
              <w:tc>
                <w:tcPr/>
                <w:p>
                  <w:pPr>
                    <w:pStyle w:val="Compact"/>
                    <w:jc w:val="center"/>
                    <w:jc w:val="center"/>
                  </w:pPr>
                  <w:r>
                    <w:t xml:space="preserve">-0.32*</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Co</w:t>
                  </w:r>
                </w:p>
              </w:tc>
              <w:tc>
                <w:tcPr/>
                <w:p>
                  <w:pPr>
                    <w:pStyle w:val="Compact"/>
                    <w:jc w:val="center"/>
                    <w:jc w:val="center"/>
                  </w:pPr>
                  <w:r>
                    <w:t xml:space="preserve">-0.52***</w:t>
                  </w:r>
                </w:p>
              </w:tc>
              <w:tc>
                <w:tcPr/>
                <w:p>
                  <w:pPr>
                    <w:pStyle w:val="Compact"/>
                    <w:jc w:val="center"/>
                    <w:jc w:val="center"/>
                  </w:pPr>
                  <w:r>
                    <w:t xml:space="preserve">0.56***</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Cs</w:t>
                  </w:r>
                </w:p>
              </w:tc>
              <w:tc>
                <w:tcPr/>
                <w:p>
                  <w:pPr>
                    <w:pStyle w:val="Compact"/>
                    <w:jc w:val="center"/>
                    <w:jc w:val="center"/>
                  </w:pPr>
                  <w:r>
                    <w:t xml:space="preserve">0.56***</w:t>
                  </w:r>
                </w:p>
              </w:tc>
              <w:tc>
                <w:tcPr/>
                <w:p>
                  <w:pPr>
                    <w:pStyle w:val="Compact"/>
                    <w:jc w:val="center"/>
                    <w:jc w:val="center"/>
                  </w:pPr>
                  <w:r>
                    <w:t xml:space="preserve">-0.5***</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Fe</w:t>
                  </w:r>
                </w:p>
              </w:tc>
              <w:tc>
                <w:tcPr/>
                <w:p>
                  <w:pPr>
                    <w:pStyle w:val="Compact"/>
                    <w:jc w:val="center"/>
                    <w:jc w:val="center"/>
                  </w:pPr>
                  <w:r>
                    <w:t xml:space="preserve">NS</w:t>
                  </w:r>
                </w:p>
              </w:tc>
              <w:tc>
                <w:tcPr/>
                <w:p>
                  <w:pPr>
                    <w:pStyle w:val="Compact"/>
                    <w:jc w:val="center"/>
                    <w:jc w:val="center"/>
                  </w:pPr>
                  <w:r>
                    <w:t xml:space="preserve">0.33*</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Li</w:t>
                  </w:r>
                </w:p>
              </w:tc>
              <w:tc>
                <w:tcPr/>
                <w:p>
                  <w:pPr>
                    <w:pStyle w:val="Compact"/>
                    <w:jc w:val="center"/>
                    <w:jc w:val="center"/>
                  </w:pPr>
                  <w:r>
                    <w:t xml:space="preserve">-0.39**</w:t>
                  </w:r>
                </w:p>
              </w:tc>
              <w:tc>
                <w:tcPr/>
                <w:p>
                  <w:pPr>
                    <w:pStyle w:val="Compact"/>
                    <w:jc w:val="center"/>
                    <w:jc w:val="center"/>
                  </w:pPr>
                  <w:r>
                    <w:t xml:space="preserve">0.38**</w:t>
                  </w:r>
                </w:p>
              </w:tc>
              <w:tc>
                <w:tcPr/>
                <w:p>
                  <w:pPr>
                    <w:pStyle w:val="Compact"/>
                    <w:jc w:val="center"/>
                    <w:jc w:val="center"/>
                  </w:pPr>
                  <w:r>
                    <w:t xml:space="preserve">-0.56***</w:t>
                  </w:r>
                </w:p>
              </w:tc>
              <w:tc>
                <w:tcPr/>
                <w:p>
                  <w:pPr>
                    <w:pStyle w:val="Compact"/>
                    <w:jc w:val="center"/>
                    <w:jc w:val="center"/>
                  </w:pPr>
                  <w:r>
                    <w:t xml:space="preserve">-0.39**</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La</w:t>
                  </w:r>
                </w:p>
              </w:tc>
              <w:tc>
                <w:tcPr/>
                <w:p>
                  <w:pPr>
                    <w:pStyle w:val="Compact"/>
                    <w:jc w:val="center"/>
                    <w:jc w:val="center"/>
                  </w:pPr>
                  <w:r>
                    <w:t xml:space="preserve">0.51***</w:t>
                  </w:r>
                </w:p>
              </w:tc>
              <w:tc>
                <w:tcPr/>
                <w:p>
                  <w:pPr>
                    <w:pStyle w:val="Compact"/>
                    <w:jc w:val="center"/>
                    <w:jc w:val="center"/>
                  </w:pPr>
                  <w:r>
                    <w:t xml:space="preserve">-0.39**</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Nb</w:t>
                  </w:r>
                </w:p>
              </w:tc>
              <w:tc>
                <w:tcPr/>
                <w:p>
                  <w:pPr>
                    <w:pStyle w:val="Compact"/>
                    <w:jc w:val="center"/>
                    <w:jc w:val="center"/>
                  </w:pPr>
                  <w:r>
                    <w:t xml:space="preserve">0.41**</w:t>
                  </w:r>
                </w:p>
              </w:tc>
              <w:tc>
                <w:tcPr/>
                <w:p>
                  <w:pPr>
                    <w:pStyle w:val="Compact"/>
                    <w:jc w:val="center"/>
                    <w:jc w:val="center"/>
                  </w:pPr>
                  <w:r>
                    <w:t xml:space="preserve">-0.41**</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Ni</w:t>
                  </w:r>
                </w:p>
              </w:tc>
              <w:tc>
                <w:tcPr/>
                <w:p>
                  <w:pPr>
                    <w:pStyle w:val="Compact"/>
                    <w:jc w:val="center"/>
                    <w:jc w:val="center"/>
                  </w:pPr>
                  <w:r>
                    <w:t xml:space="preserve">-0.72***</w:t>
                  </w:r>
                </w:p>
              </w:tc>
              <w:tc>
                <w:tcPr/>
                <w:p>
                  <w:pPr>
                    <w:pStyle w:val="Compact"/>
                    <w:jc w:val="center"/>
                    <w:jc w:val="center"/>
                  </w:pPr>
                  <w:r>
                    <w:t xml:space="preserve">0.73***</w:t>
                  </w:r>
                </w:p>
              </w:tc>
              <w:tc>
                <w:tcPr/>
                <w:p>
                  <w:pPr>
                    <w:pStyle w:val="Compact"/>
                    <w:jc w:val="center"/>
                    <w:jc w:val="center"/>
                  </w:pPr>
                  <w:r>
                    <w:t xml:space="preserve">-0.29*</w:t>
                  </w:r>
                </w:p>
              </w:tc>
              <w:tc>
                <w:tcPr/>
                <w:p>
                  <w:pPr>
                    <w:pStyle w:val="Compact"/>
                    <w:jc w:val="center"/>
                    <w:jc w:val="center"/>
                  </w:pPr>
                  <w:r>
                    <w:t xml:space="preserve">-0.32*</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Rb</w:t>
                  </w:r>
                </w:p>
              </w:tc>
              <w:tc>
                <w:tcPr/>
                <w:p>
                  <w:pPr>
                    <w:pStyle w:val="Compact"/>
                    <w:jc w:val="center"/>
                    <w:jc w:val="center"/>
                  </w:pPr>
                  <w:r>
                    <w:t xml:space="preserve">0.78***</w:t>
                  </w:r>
                </w:p>
              </w:tc>
              <w:tc>
                <w:tcPr/>
                <w:p>
                  <w:pPr>
                    <w:pStyle w:val="Compact"/>
                    <w:jc w:val="center"/>
                    <w:jc w:val="center"/>
                  </w:pPr>
                  <w:r>
                    <w:t xml:space="preserve">-0.72***</w:t>
                  </w:r>
                </w:p>
              </w:tc>
              <w:tc>
                <w:tcPr/>
                <w:p>
                  <w:pPr>
                    <w:pStyle w:val="Compact"/>
                    <w:jc w:val="center"/>
                    <w:jc w:val="center"/>
                  </w:pPr>
                  <w:r>
                    <w:t xml:space="preserve">NS</w:t>
                  </w:r>
                </w:p>
              </w:tc>
              <w:tc>
                <w:tcPr/>
                <w:p>
                  <w:pPr>
                    <w:pStyle w:val="Compact"/>
                    <w:jc w:val="center"/>
                    <w:jc w:val="center"/>
                  </w:pPr>
                  <w:r>
                    <w:t xml:space="preserve">0.32*</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Sr</w:t>
                  </w:r>
                </w:p>
              </w:tc>
              <w:tc>
                <w:tcPr/>
                <w:p>
                  <w:pPr>
                    <w:pStyle w:val="Compact"/>
                    <w:jc w:val="center"/>
                    <w:jc w:val="center"/>
                  </w:pPr>
                  <w:r>
                    <w:t xml:space="preserve">-0.78***</w:t>
                  </w:r>
                </w:p>
              </w:tc>
              <w:tc>
                <w:tcPr/>
                <w:p>
                  <w:pPr>
                    <w:pStyle w:val="Compact"/>
                    <w:jc w:val="center"/>
                    <w:jc w:val="center"/>
                  </w:pPr>
                  <w:r>
                    <w:t xml:space="preserve">0.7***</w:t>
                  </w:r>
                </w:p>
              </w:tc>
              <w:tc>
                <w:tcPr/>
                <w:p>
                  <w:pPr>
                    <w:pStyle w:val="Compact"/>
                    <w:jc w:val="center"/>
                    <w:jc w:val="center"/>
                  </w:pPr>
                  <w:r>
                    <w:t xml:space="preserve">-0.39**</w:t>
                  </w:r>
                </w:p>
              </w:tc>
              <w:tc>
                <w:tcPr/>
                <w:p>
                  <w:pPr>
                    <w:pStyle w:val="Compact"/>
                    <w:jc w:val="center"/>
                    <w:jc w:val="center"/>
                  </w:pPr>
                  <w:r>
                    <w:t xml:space="preserve">-0.38**</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a*</w:t>
                  </w:r>
                </w:p>
              </w:tc>
              <w:tc>
                <w:tcPr/>
                <w:p>
                  <w:pPr>
                    <w:pStyle w:val="Compact"/>
                    <w:jc w:val="center"/>
                    <w:jc w:val="center"/>
                  </w:pPr>
                  <w:r>
                    <w:t xml:space="preserve">0.6***</w:t>
                  </w:r>
                </w:p>
              </w:tc>
              <w:tc>
                <w:tcPr/>
                <w:p>
                  <w:pPr>
                    <w:pStyle w:val="Compact"/>
                    <w:jc w:val="center"/>
                    <w:jc w:val="center"/>
                  </w:pPr>
                  <w:r>
                    <w:t xml:space="preserve">-0.49***</w:t>
                  </w:r>
                </w:p>
              </w:tc>
              <w:tc>
                <w:tcPr/>
                <w:p>
                  <w:pPr>
                    <w:pStyle w:val="Compact"/>
                    <w:jc w:val="center"/>
                    <w:jc w:val="center"/>
                  </w:pPr>
                  <w:r>
                    <w:t xml:space="preserve">0.43**</w:t>
                  </w:r>
                </w:p>
              </w:tc>
              <w:tc>
                <w:tcPr/>
                <w:p>
                  <w:pPr>
                    <w:pStyle w:val="Compact"/>
                    <w:jc w:val="center"/>
                    <w:jc w:val="center"/>
                  </w:pPr>
                  <w:r>
                    <w:t xml:space="preserve">0.36*</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b*</w:t>
                  </w:r>
                </w:p>
              </w:tc>
              <w:tc>
                <w:tcPr/>
                <w:p>
                  <w:pPr>
                    <w:pStyle w:val="Compact"/>
                    <w:jc w:val="center"/>
                    <w:jc w:val="center"/>
                  </w:pPr>
                  <w:r>
                    <w:t xml:space="preserve">0.39**</w:t>
                  </w:r>
                </w:p>
              </w:tc>
              <w:tc>
                <w:tcPr/>
                <w:p>
                  <w:pPr>
                    <w:pStyle w:val="Compact"/>
                    <w:jc w:val="center"/>
                    <w:jc w:val="center"/>
                  </w:pPr>
                  <w:r>
                    <w:t xml:space="preserve">-0.31*</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w:t>
                  </w:r>
                </w:p>
              </w:tc>
              <w:tc>
                <w:tcPr/>
                <w:p>
                  <w:pPr>
                    <w:pStyle w:val="Compact"/>
                    <w:jc w:val="center"/>
                    <w:jc w:val="center"/>
                  </w:pPr>
                  <w:r>
                    <w:t xml:space="preserve">0.4**</w:t>
                  </w:r>
                </w:p>
              </w:tc>
              <w:tc>
                <w:tcPr/>
                <w:p>
                  <w:pPr>
                    <w:pStyle w:val="Compact"/>
                    <w:jc w:val="center"/>
                    <w:jc w:val="center"/>
                  </w:pPr>
                  <w:r>
                    <w:t xml:space="preserve">-0.31*</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h*</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-0.3*</w:t>
                  </w:r>
                </w:p>
              </w:tc>
            </w:tr>
            <w:tr>
              <w:tc>
                <w:tcPr/>
                <w:p>
                  <w:pPr>
                    <w:pStyle w:val="Compact"/>
                    <w:jc w:val="center"/>
                    <w:jc w:val="center"/>
                  </w:pPr>
                  <w:r>
                    <w:t xml:space="preserve">x</w:t>
                  </w:r>
                </w:p>
              </w:tc>
              <w:tc>
                <w:tcPr/>
                <w:p>
                  <w:pPr>
                    <w:pStyle w:val="Compact"/>
                    <w:jc w:val="center"/>
                    <w:jc w:val="center"/>
                  </w:pPr>
                  <w:r>
                    <w:t xml:space="preserve">0.48***</w:t>
                  </w:r>
                </w:p>
              </w:tc>
              <w:tc>
                <w:tcPr/>
                <w:p>
                  <w:pPr>
                    <w:pStyle w:val="Compact"/>
                    <w:jc w:val="center"/>
                    <w:jc w:val="center"/>
                  </w:pPr>
                  <w:r>
                    <w:t xml:space="preserve">-0.55***</w:t>
                  </w:r>
                </w:p>
              </w:tc>
              <w:tc>
                <w:tcPr/>
                <w:p>
                  <w:pPr>
                    <w:pStyle w:val="Compact"/>
                    <w:jc w:val="center"/>
                    <w:jc w:val="center"/>
                  </w:pPr>
                  <w:r>
                    <w:t xml:space="preserve">0.5***</w:t>
                  </w:r>
                </w:p>
              </w:tc>
              <w:tc>
                <w:tcPr/>
                <w:p>
                  <w:pPr>
                    <w:pStyle w:val="Compact"/>
                    <w:jc w:val="center"/>
                    <w:jc w:val="center"/>
                  </w:pPr>
                  <w:r>
                    <w:t xml:space="preserve">0.41**</w:t>
                  </w:r>
                </w:p>
              </w:tc>
              <w:tc>
                <w:tcPr/>
                <w:p>
                  <w:pPr>
                    <w:pStyle w:val="Compact"/>
                    <w:jc w:val="center"/>
                    <w:jc w:val="center"/>
                  </w:pPr>
                  <w:r>
                    <w:t xml:space="preserve">-0.37**</w:t>
                  </w:r>
                </w:p>
              </w:tc>
              <w:tc>
                <w:tcPr/>
                <w:p>
                  <w:pPr>
                    <w:pStyle w:val="Compact"/>
                    <w:jc w:val="center"/>
                    <w:jc w:val="center"/>
                  </w:pPr>
                  <w:r>
                    <w:t xml:space="preserve">NS</w:t>
                  </w:r>
                </w:p>
              </w:tc>
              <w:tc>
                <w:tcPr/>
                <w:p>
                  <w:pPr>
                    <w:pStyle w:val="Compact"/>
                    <w:jc w:val="center"/>
                    <w:jc w:val="center"/>
                  </w:pPr>
                  <w:r>
                    <w:t xml:space="preserve">NS</w:t>
                  </w:r>
                </w:p>
              </w:tc>
            </w:tr>
            <w:tr>
              <w:tc>
                <w:tcPr>
                  <w:gridSpan w:val="8"/>
                </w:tcPr>
                <w:p>
                  <w:pPr>
                    <w:pStyle w:val="Compact"/>
                    <w:jc w:val="center"/>
                    <w:jc w:val="center"/>
                  </w:pPr>
                  <w:r>
                    <w:t xml:space="preserve">Forest</w:t>
                  </w:r>
                </w:p>
              </w:tc>
            </w:tr>
            <w:tr>
              <w:tc>
                <w:tcPr/>
                <w:p>
                  <w:pPr>
                    <w:pStyle w:val="Compact"/>
                    <w:jc w:val="center"/>
                    <w:jc w:val="center"/>
                  </w:pPr>
                  <w:r>
                    <w:t xml:space="preserve">Ca</w:t>
                  </w:r>
                </w:p>
              </w:tc>
              <w:tc>
                <w:tcPr/>
                <w:p>
                  <w:pPr>
                    <w:pStyle w:val="Compact"/>
                    <w:jc w:val="center"/>
                    <w:jc w:val="center"/>
                  </w:pPr>
                  <w:r>
                    <w:t xml:space="preserve">NS</w:t>
                  </w:r>
                </w:p>
              </w:tc>
              <w:tc>
                <w:tcPr/>
                <w:p>
                  <w:pPr>
                    <w:pStyle w:val="Compact"/>
                    <w:jc w:val="center"/>
                    <w:jc w:val="center"/>
                  </w:pPr>
                  <w:r>
                    <w:t xml:space="preserve">-0.58***</w:t>
                  </w:r>
                </w:p>
              </w:tc>
              <w:tc>
                <w:tcPr/>
                <w:p>
                  <w:pPr>
                    <w:pStyle w:val="Compact"/>
                    <w:jc w:val="center"/>
                    <w:jc w:val="center"/>
                  </w:pPr>
                  <w:r>
                    <w:t xml:space="preserve">NS</w:t>
                  </w:r>
                </w:p>
              </w:tc>
              <w:tc>
                <w:tcPr/>
                <w:p>
                  <w:pPr>
                    <w:pStyle w:val="Compact"/>
                    <w:jc w:val="center"/>
                    <w:jc w:val="center"/>
                  </w:pPr>
                  <w:r>
                    <w:t xml:space="preserve">0.45**</w:t>
                  </w:r>
                </w:p>
              </w:tc>
              <w:tc>
                <w:tcPr/>
                <w:p>
                  <w:pPr>
                    <w:pStyle w:val="Compact"/>
                    <w:jc w:val="center"/>
                    <w:jc w:val="center"/>
                  </w:pPr>
                  <w:r>
                    <w:t xml:space="preserve">0.35*</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Co</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0.33*</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Li</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La</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Nb</w:t>
                  </w:r>
                </w:p>
              </w:tc>
              <w:tc>
                <w:tcPr/>
                <w:p>
                  <w:pPr>
                    <w:pStyle w:val="Compact"/>
                    <w:jc w:val="center"/>
                    <w:jc w:val="center"/>
                  </w:pPr>
                  <w:r>
                    <w:t xml:space="preserve">NS</w:t>
                  </w:r>
                </w:p>
              </w:tc>
              <w:tc>
                <w:tcPr/>
                <w:p>
                  <w:pPr>
                    <w:pStyle w:val="Compact"/>
                    <w:jc w:val="center"/>
                    <w:jc w:val="center"/>
                  </w:pPr>
                  <w:r>
                    <w:t xml:space="preserve">0.57***</w:t>
                  </w:r>
                </w:p>
              </w:tc>
              <w:tc>
                <w:tcPr/>
                <w:p>
                  <w:pPr>
                    <w:pStyle w:val="Compact"/>
                    <w:jc w:val="center"/>
                    <w:jc w:val="center"/>
                  </w:pPr>
                  <w:r>
                    <w:t xml:space="preserve">NS</w:t>
                  </w:r>
                </w:p>
              </w:tc>
              <w:tc>
                <w:tcPr/>
                <w:p>
                  <w:pPr>
                    <w:pStyle w:val="Compact"/>
                    <w:jc w:val="center"/>
                    <w:jc w:val="center"/>
                  </w:pPr>
                  <w:r>
                    <w:t xml:space="preserve">-0.45**</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Ni</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Sr</w:t>
                  </w:r>
                </w:p>
              </w:tc>
              <w:tc>
                <w:tcPr/>
                <w:p>
                  <w:pPr>
                    <w:pStyle w:val="Compact"/>
                    <w:jc w:val="center"/>
                    <w:jc w:val="center"/>
                  </w:pPr>
                  <w:r>
                    <w:t xml:space="preserve">-0.35*</w:t>
                  </w:r>
                </w:p>
              </w:tc>
              <w:tc>
                <w:tcPr/>
                <w:p>
                  <w:pPr>
                    <w:pStyle w:val="Compact"/>
                    <w:jc w:val="center"/>
                    <w:jc w:val="center"/>
                  </w:pPr>
                  <w:r>
                    <w:t xml:space="preserve">-0.58***</w:t>
                  </w:r>
                </w:p>
              </w:tc>
              <w:tc>
                <w:tcPr/>
                <w:p>
                  <w:pPr>
                    <w:pStyle w:val="Compact"/>
                    <w:jc w:val="center"/>
                    <w:jc w:val="center"/>
                  </w:pPr>
                  <w:r>
                    <w:t xml:space="preserve">NS</w:t>
                  </w:r>
                </w:p>
              </w:tc>
              <w:tc>
                <w:tcPr/>
                <w:p>
                  <w:pPr>
                    <w:pStyle w:val="Compact"/>
                    <w:jc w:val="center"/>
                    <w:jc w:val="center"/>
                  </w:pPr>
                  <w:r>
                    <w:t xml:space="preserve">0.44**</w:t>
                  </w:r>
                </w:p>
              </w:tc>
              <w:tc>
                <w:tcPr/>
                <w:p>
                  <w:pPr>
                    <w:pStyle w:val="Compact"/>
                    <w:jc w:val="center"/>
                    <w:jc w:val="center"/>
                  </w:pPr>
                  <w:r>
                    <w:t xml:space="preserve">0.31*</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h*</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0.31*</w:t>
                  </w:r>
                </w:p>
              </w:tc>
              <w:tc>
                <w:tcPr/>
                <w:p>
                  <w:pPr>
                    <w:pStyle w:val="Compact"/>
                    <w:jc w:val="center"/>
                    <w:jc w:val="center"/>
                  </w:pPr>
                  <w:r>
                    <w:t xml:space="preserve">0.33*</w:t>
                  </w:r>
                </w:p>
              </w:tc>
              <w:tc>
                <w:tcPr/>
                <w:p>
                  <w:pPr>
                    <w:pStyle w:val="Compact"/>
                    <w:jc w:val="center"/>
                    <w:jc w:val="center"/>
                  </w:pPr>
                  <w:r>
                    <w:t xml:space="preserve">NS</w:t>
                  </w:r>
                </w:p>
              </w:tc>
              <w:tc>
                <w:tcPr/>
                <w:p>
                  <w:pPr>
                    <w:pStyle w:val="Compact"/>
                    <w:jc w:val="center"/>
                    <w:jc w:val="center"/>
                  </w:pPr>
                  <w:r>
                    <w:t xml:space="preserve">NS</w:t>
                  </w:r>
                </w:p>
              </w:tc>
            </w:tr>
            <w:tr>
              <w:tc>
                <w:tcPr>
                  <w:gridSpan w:val="8"/>
                </w:tcPr>
                <w:p>
                  <w:pPr>
                    <w:pStyle w:val="Compact"/>
                    <w:jc w:val="center"/>
                    <w:jc w:val="center"/>
                  </w:pPr>
                  <w:r>
                    <w:t xml:space="preserve">*** p &lt; 0.001; ** p &lt; 0.01; * p &lt; 0.05; NS = non-significant at p = 0.05</w:t>
                  </w:r>
                </w:p>
              </w:tc>
            </w:tr>
          </w:tbl>
          <w:bookmarkEnd w:id="38"/>
          <w:p/>
        </w:tc>
      </w:tr>
    </w:tbl>
    <w:p>
      <w:pPr>
        <w:pStyle w:val="TextBody"/>
      </w:pPr>
      <w:r>
        <w:rPr>
          <w:vertAlign w:val="subscript"/>
        </w:rPr>
        <w:t xml:space="preserve">Source:</w:t>
      </w:r>
      <w:r>
        <w:rPr>
          <w:vertAlign w:val="subscript"/>
        </w:rPr>
        <w:t xml:space="preserve"> </w:t>
      </w:r>
      <w:hyperlink r:id="rId39">
        <w:r>
          <w:rPr>
            <w:rStyle w:val="InternetLink"/>
            <w:vertAlign w:val="subscript"/>
          </w:rPr>
          <w:t xml:space="preserve">Univariate summary</w:t>
        </w:r>
      </w:hyperlink>
    </w:p>
    <w:p>
      <w:pPr>
        <w:pStyle w:val="TextBody"/>
      </w:pPr>
      <w:r>
        <w:t xml:space="preserve">No multicollinearity among the terrain attributes at either site was detected and all seven attributes were retained for all analysis. The mtry parameter selected for each model varied with most using a value of four. The RF regression model showed variable explanatory power and performance across soil properties and sites (</w:t>
      </w:r>
      <w:hyperlink w:anchor="tbl-rf-summary">
        <w:r>
          <w:rPr>
            <w:rStyle w:val="InternetLink"/>
          </w:rPr>
          <w:t xml:space="preserve">Table 5</w:t>
        </w:r>
      </w:hyperlink>
      <w:r>
        <w:t xml:space="preserve">). For the agriculture site, the model explained a low to moderate proportion of variance, ranging from 17.2% (Nb) to 76.1% (Rb). Interestingly, the RF analysis for Li yielded a negative percentage of variation explained, suggesting that the mean value provided a better predictor. Testing the model showed moderately good to poor performance with r</w:t>
      </w:r>
      <w:r>
        <w:rPr>
          <w:vertAlign w:val="superscript"/>
        </w:rPr>
        <w:t xml:space="preserve">2</w:t>
      </w:r>
      <w:r>
        <w:t xml:space="preserve"> </w:t>
      </w:r>
      <w:r>
        <w:t xml:space="preserve">values ranging from 0.01 (Fe) to 0.85 (Rb, Sr). The variable importance stability for the top three predictors was high (</w:t>
      </w:r>
      <w:hyperlink w:anchor="tbl-rf-summary">
        <w:r>
          <w:rPr>
            <w:rStyle w:val="InternetLink"/>
          </w:rPr>
          <w:t xml:space="preserve">Table 5</w:t>
        </w:r>
      </w:hyperlink>
      <w:r>
        <w:t xml:space="preserve">), indicating a consistent ranking across model runs. The SAGA Wetness Index and elevation were generally the most important terrain attributes in the model with profile and plan curvature as the least important terrain attributes (</w:t>
      </w:r>
      <w:hyperlink w:anchor="fig-rf-results">
        <w:r>
          <w:rPr>
            <w:rStyle w:val="InternetLink"/>
          </w:rPr>
          <w:t xml:space="preserve">Figure 4</w:t>
        </w:r>
      </w:hyperlink>
      <w:r>
        <w:t xml:space="preserve">). Additional details on variable importance are provided in</w:t>
      </w:r>
      <w:r>
        <w:t xml:space="preserve"> </w:t>
      </w:r>
      <w:hyperlink w:anchor="suppfig-ag_RF_summary">
        <w:r>
          <w:rPr>
            <w:rStyle w:val="InternetLink"/>
          </w:rPr>
          <w:t xml:space="preserve">Figure S1</w:t>
        </w:r>
      </w:hyperlink>
      <w:r>
        <w:t xml:space="preserve"> </w:t>
      </w:r>
      <w:r>
        <w:t xml:space="preserve">and</w:t>
      </w:r>
      <w:r>
        <w:t xml:space="preserve"> </w:t>
      </w:r>
      <w:hyperlink w:anchor="suppfig-forest_RF_summary">
        <w:r>
          <w:rPr>
            <w:rStyle w:val="InternetLink"/>
          </w:rPr>
          <w:t xml:space="preserve">Figure S2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tbl-rf-summary"/>
          <w:p>
            <w:pPr>
              <w:jc w:val="center"/>
            </w:pPr>
            <w:pPr>
              <w:jc w:val="left"/>
              <w:spacing w:before="200"/>
              <w:pStyle w:val="ImageCaption"/>
            </w:pPr>
            <w:r>
              <w:t xml:space="preserve">Table 5: Model summary and performance statistics for the random forest regression using the training and test data sets.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left"/>
                    <w:jc w:val="center"/>
                  </w:pPr>
                  <w:r>
                    <w:t xml:space="preserve">Property</w:t>
                  </w:r>
                </w:p>
              </w:tc>
              <w:tc>
                <w:tcPr>
                  <w:gridSpan w:val="3"/>
                </w:tcPr>
                <w:p>
                  <w:pPr>
                    <w:pStyle w:val="Compact"/>
                    <w:jc w:val="center"/>
                    <w:jc w:val="center"/>
                  </w:pPr>
                  <w:r>
                    <w:t xml:space="preserve">Training</w:t>
                  </w:r>
                </w:p>
              </w:tc>
              <w:tc>
                <w:tcPr>
                  <w:gridSpan w:val="2"/>
                </w:tcPr>
                <w:p>
                  <w:pPr>
                    <w:pStyle w:val="Compact"/>
                    <w:jc w:val="center"/>
                    <w:jc w:val="center"/>
                  </w:pPr>
                  <w:r>
                    <w:t xml:space="preserve">Test</w:t>
                  </w:r>
                </w:p>
              </w:tc>
            </w:tr>
            <w:tr>
              <w:trPr>
                <w:tblHeader w:val="on"/>
              </w:trPr>
              <w:tc>
                <w:tcPr>
                  <w:gridSpan w:val="1"/>
                  <w:vMerge w:val="continue"/>
                </w:tcPr>
                <w:p>
                  <w:pPr/>
                </w:p>
              </w:tc>
              <w:tc>
                <w:tcPr/>
                <w:p>
                  <w:pPr>
                    <w:pStyle w:val="Compact"/>
                    <w:jc w:val="left"/>
                    <w:jc w:val="center"/>
                  </w:pPr>
                  <w:r>
                    <w:t xml:space="preserve">% Variance</w:t>
                  </w:r>
                  <w:r>
                    <w:rPr>
                      <w:vertAlign w:val="superscript"/>
                    </w:rPr>
                    <w:t xml:space="preserve">*</w:t>
                  </w:r>
                </w:p>
              </w:tc>
              <w:tc>
                <w:tcPr/>
                <w:p>
                  <w:pPr>
                    <w:pStyle w:val="Compact"/>
                    <w:jc w:val="left"/>
                    <w:jc w:val="center"/>
                  </w:pPr>
                  <w:r>
                    <w:t xml:space="preserve">MSE</w:t>
                  </w:r>
                  <w:r>
                    <w:rPr>
                      <w:vertAlign w:val="superscript"/>
                    </w:rPr>
                    <w:t xml:space="preserve">†</w:t>
                  </w:r>
                </w:p>
              </w:tc>
              <w:tc>
                <w:tcPr/>
                <w:p>
                  <w:pPr>
                    <w:pStyle w:val="Compact"/>
                    <w:jc w:val="left"/>
                    <w:jc w:val="center"/>
                  </w:pPr>
                  <w:r>
                    <w:t xml:space="preserve">VI Satability</w:t>
                  </w:r>
                  <w:r>
                    <w:rPr>
                      <w:vertAlign w:val="superscript"/>
                    </w:rPr>
                    <w:t xml:space="preserve">‡</w:t>
                  </w:r>
                </w:p>
              </w:tc>
              <w:tc>
                <w:tcPr/>
                <w:p>
                  <w:pPr>
                    <w:pStyle w:val="Compact"/>
                    <w:jc w:val="left"/>
                    <w:jc w:val="center"/>
                  </w:pPr>
                  <w:r>
                    <w:t xml:space="preserve">r</w:t>
                  </w:r>
                  <w:r>
                    <w:rPr>
                      <w:vertAlign w:val="superscript"/>
                    </w:rPr>
                    <w:t xml:space="preserve">2</w:t>
                  </w:r>
                  <w:r>
                    <w:rPr>
                      <w:vertAlign w:val="superscript"/>
                    </w:rPr>
                    <w:t xml:space="preserve">§</w:t>
                  </w:r>
                </w:p>
              </w:tc>
              <w:tc>
                <w:tcPr/>
                <w:p>
                  <w:pPr>
                    <w:pStyle w:val="Compact"/>
                    <w:jc w:val="left"/>
                    <w:jc w:val="center"/>
                  </w:pPr>
                  <w:r>
                    <w:t xml:space="preserve">MSE</w:t>
                  </w:r>
                  <w:r>
                    <w:rPr>
                      <w:vertAlign w:val="superscript"/>
                    </w:rPr>
                    <w:t xml:space="preserve">**</w:t>
                  </w:r>
                </w:p>
              </w:tc>
            </w:tr>
            <w:tr>
              <w:tc>
                <w:tcPr>
                  <w:gridSpan w:val="6"/>
                </w:tcPr>
                <w:p>
                  <w:pPr>
                    <w:pStyle w:val="Compact"/>
                    <w:jc w:val="center"/>
                    <w:jc w:val="center"/>
                  </w:pPr>
                  <w:r>
                    <w:t xml:space="preserve">Agriculture</w:t>
                  </w:r>
                </w:p>
              </w:tc>
            </w:tr>
            <w:tr>
              <w:tc>
                <w:tcPr/>
                <w:p>
                  <w:pPr>
                    <w:pStyle w:val="Compact"/>
                    <w:jc w:val="left"/>
                    <w:jc w:val="center"/>
                  </w:pPr>
                  <w:r>
                    <w:t xml:space="preserve">Co</w:t>
                  </w:r>
                </w:p>
              </w:tc>
              <w:tc>
                <w:tcPr/>
                <w:p>
                  <w:pPr>
                    <w:pStyle w:val="Compact"/>
                    <w:jc w:val="left"/>
                    <w:jc w:val="center"/>
                  </w:pPr>
                  <w:r>
                    <w:t xml:space="preserve">33.2</w:t>
                  </w:r>
                </w:p>
              </w:tc>
              <w:tc>
                <w:tcPr/>
                <w:p>
                  <w:pPr>
                    <w:pStyle w:val="Compact"/>
                    <w:jc w:val="left"/>
                    <w:jc w:val="center"/>
                  </w:pPr>
                  <w:r>
                    <w:t xml:space="preserve">0.43</w:t>
                  </w:r>
                </w:p>
              </w:tc>
              <w:tc>
                <w:tcPr/>
                <w:p>
                  <w:pPr>
                    <w:pStyle w:val="Compact"/>
                    <w:jc w:val="left"/>
                    <w:jc w:val="center"/>
                  </w:pPr>
                  <w:r>
                    <w:t xml:space="preserve">0.98</w:t>
                  </w:r>
                </w:p>
              </w:tc>
              <w:tc>
                <w:tcPr/>
                <w:p>
                  <w:pPr>
                    <w:pStyle w:val="Compact"/>
                    <w:jc w:val="left"/>
                    <w:jc w:val="center"/>
                  </w:pPr>
                  <w:r>
                    <w:t xml:space="preserve">0.11 (0, 0.52)</w:t>
                  </w:r>
                </w:p>
              </w:tc>
              <w:tc>
                <w:tcPr/>
                <w:p>
                  <w:pPr>
                    <w:pStyle w:val="Compact"/>
                    <w:jc w:val="left"/>
                    <w:jc w:val="center"/>
                  </w:pPr>
                  <w:r>
                    <w:t xml:space="preserve">0.52 (0.18, 1)</w:t>
                  </w:r>
                </w:p>
              </w:tc>
            </w:tr>
            <w:tr>
              <w:tc>
                <w:tcPr/>
                <w:p>
                  <w:pPr>
                    <w:pStyle w:val="Compact"/>
                    <w:jc w:val="left"/>
                    <w:jc w:val="center"/>
                  </w:pPr>
                  <w:r>
                    <w:t xml:space="preserve">Cs</w:t>
                  </w:r>
                </w:p>
              </w:tc>
              <w:tc>
                <w:tcPr/>
                <w:p>
                  <w:pPr>
                    <w:pStyle w:val="Compact"/>
                    <w:jc w:val="left"/>
                    <w:jc w:val="center"/>
                  </w:pPr>
                  <w:r>
                    <w:t xml:space="preserve">57.4</w:t>
                  </w:r>
                </w:p>
              </w:tc>
              <w:tc>
                <w:tcPr/>
                <w:p>
                  <w:pPr>
                    <w:pStyle w:val="Compact"/>
                    <w:jc w:val="left"/>
                    <w:jc w:val="center"/>
                  </w:pPr>
                  <w:r>
                    <w:t xml:space="preserve">0.01</w:t>
                  </w:r>
                </w:p>
              </w:tc>
              <w:tc>
                <w:tcPr/>
                <w:p>
                  <w:pPr>
                    <w:pStyle w:val="Compact"/>
                    <w:jc w:val="left"/>
                    <w:jc w:val="center"/>
                  </w:pPr>
                  <w:r>
                    <w:t xml:space="preserve">0.99</w:t>
                  </w:r>
                </w:p>
              </w:tc>
              <w:tc>
                <w:tcPr/>
                <w:p>
                  <w:pPr>
                    <w:pStyle w:val="Compact"/>
                    <w:jc w:val="left"/>
                    <w:jc w:val="center"/>
                  </w:pPr>
                  <w:r>
                    <w:t xml:space="preserve">0.29 (0.03, 0.64)</w:t>
                  </w:r>
                </w:p>
              </w:tc>
              <w:tc>
                <w:tcPr/>
                <w:p>
                  <w:pPr>
                    <w:pStyle w:val="Compact"/>
                    <w:jc w:val="left"/>
                    <w:jc w:val="center"/>
                  </w:pPr>
                  <w:r>
                    <w:t xml:space="preserve">0.01 (0.01, 0.02)</w:t>
                  </w:r>
                </w:p>
              </w:tc>
            </w:tr>
            <w:tr>
              <w:tc>
                <w:tcPr/>
                <w:p>
                  <w:pPr>
                    <w:pStyle w:val="Compact"/>
                    <w:jc w:val="left"/>
                    <w:jc w:val="center"/>
                  </w:pPr>
                  <w:r>
                    <w:t xml:space="preserve">Fe</w:t>
                  </w:r>
                </w:p>
              </w:tc>
              <w:tc>
                <w:tcPr/>
                <w:p>
                  <w:pPr>
                    <w:pStyle w:val="Compact"/>
                    <w:jc w:val="left"/>
                    <w:jc w:val="center"/>
                  </w:pPr>
                  <w:r>
                    <w:t xml:space="preserve">34.4</w:t>
                  </w:r>
                </w:p>
              </w:tc>
              <w:tc>
                <w:tcPr/>
                <w:p>
                  <w:pPr>
                    <w:pStyle w:val="Compact"/>
                    <w:jc w:val="left"/>
                    <w:jc w:val="center"/>
                  </w:pPr>
                  <w:r>
                    <w:t xml:space="preserve">0.01</w:t>
                  </w:r>
                </w:p>
              </w:tc>
              <w:tc>
                <w:tcPr/>
                <w:p>
                  <w:pPr>
                    <w:pStyle w:val="Compact"/>
                    <w:jc w:val="left"/>
                    <w:jc w:val="center"/>
                  </w:pPr>
                  <w:r>
                    <w:t xml:space="preserve">0.99</w:t>
                  </w:r>
                </w:p>
              </w:tc>
              <w:tc>
                <w:tcPr/>
                <w:p>
                  <w:pPr>
                    <w:pStyle w:val="Compact"/>
                    <w:jc w:val="left"/>
                    <w:jc w:val="center"/>
                  </w:pPr>
                  <w:r>
                    <w:t xml:space="preserve">0.01 (0, 0.43)</w:t>
                  </w:r>
                </w:p>
              </w:tc>
              <w:tc>
                <w:tcPr/>
                <w:p>
                  <w:pPr>
                    <w:pStyle w:val="Compact"/>
                    <w:jc w:val="left"/>
                    <w:jc w:val="center"/>
                  </w:pPr>
                  <w:r>
                    <w:t xml:space="preserve">0.01 (0.01, 0.01)</w:t>
                  </w:r>
                </w:p>
              </w:tc>
            </w:tr>
            <w:tr>
              <w:tc>
                <w:tcPr/>
                <w:p>
                  <w:pPr>
                    <w:pStyle w:val="Compact"/>
                    <w:jc w:val="left"/>
                    <w:jc w:val="center"/>
                  </w:pPr>
                  <w:r>
                    <w:t xml:space="preserve">Li</w:t>
                  </w:r>
                </w:p>
              </w:tc>
              <w:tc>
                <w:tcPr/>
                <w:p>
                  <w:pPr>
                    <w:pStyle w:val="Compact"/>
                    <w:jc w:val="left"/>
                    <w:jc w:val="center"/>
                  </w:pPr>
                  <w:r>
                    <w:t xml:space="preserve">−14.9</w:t>
                  </w:r>
                </w:p>
              </w:tc>
              <w:tc>
                <w:tcPr/>
                <w:p>
                  <w:pPr>
                    <w:pStyle w:val="Compact"/>
                    <w:jc w:val="left"/>
                    <w:jc w:val="center"/>
                  </w:pPr>
                  <w:r>
                    <w:t xml:space="preserve">1.86</w:t>
                  </w:r>
                </w:p>
              </w:tc>
              <w:tc>
                <w:tcPr/>
                <w:p>
                  <w:pPr>
                    <w:pStyle w:val="Compact"/>
                    <w:jc w:val="left"/>
                    <w:jc w:val="center"/>
                  </w:pPr>
                  <w:r>
                    <w:t xml:space="preserve">0.85</w:t>
                  </w:r>
                </w:p>
              </w:tc>
              <w:tc>
                <w:tcPr/>
                <w:p>
                  <w:pPr>
                    <w:pStyle w:val="Compact"/>
                    <w:jc w:val="left"/>
                    <w:jc w:val="center"/>
                  </w:pPr>
                  <w:r>
                    <w:t xml:space="preserve">0.43 (0.24, 0.71)</w:t>
                  </w:r>
                </w:p>
              </w:tc>
              <w:tc>
                <w:tcPr/>
                <w:p>
                  <w:pPr>
                    <w:pStyle w:val="Compact"/>
                    <w:jc w:val="left"/>
                    <w:jc w:val="center"/>
                  </w:pPr>
                  <w:r>
                    <w:t xml:space="preserve">0.84 (0.35, 1.54)</w:t>
                  </w:r>
                </w:p>
              </w:tc>
            </w:tr>
            <w:tr>
              <w:tc>
                <w:tcPr/>
                <w:p>
                  <w:pPr>
                    <w:pStyle w:val="Compact"/>
                    <w:jc w:val="left"/>
                    <w:jc w:val="center"/>
                  </w:pPr>
                  <w:r>
                    <w:t xml:space="preserve">La</w:t>
                  </w:r>
                </w:p>
              </w:tc>
              <w:tc>
                <w:tcPr/>
                <w:p>
                  <w:pPr>
                    <w:pStyle w:val="Compact"/>
                    <w:jc w:val="left"/>
                    <w:jc w:val="center"/>
                  </w:pPr>
                  <w:r>
                    <w:t xml:space="preserve">37.4</w:t>
                  </w:r>
                </w:p>
              </w:tc>
              <w:tc>
                <w:tcPr/>
                <w:p>
                  <w:pPr>
                    <w:pStyle w:val="Compact"/>
                    <w:jc w:val="left"/>
                    <w:jc w:val="center"/>
                  </w:pPr>
                  <w:r>
                    <w:t xml:space="preserve">0.39</w:t>
                  </w:r>
                </w:p>
              </w:tc>
              <w:tc>
                <w:tcPr/>
                <w:p>
                  <w:pPr>
                    <w:pStyle w:val="Compact"/>
                    <w:jc w:val="left"/>
                    <w:jc w:val="center"/>
                  </w:pPr>
                  <w:r>
                    <w:t xml:space="preserve">0.99</w:t>
                  </w:r>
                </w:p>
              </w:tc>
              <w:tc>
                <w:tcPr/>
                <w:p>
                  <w:pPr>
                    <w:pStyle w:val="Compact"/>
                    <w:jc w:val="left"/>
                    <w:jc w:val="center"/>
                  </w:pPr>
                  <w:r>
                    <w:t xml:space="preserve">0.81 (0.57, 0.92)</w:t>
                  </w:r>
                </w:p>
              </w:tc>
              <w:tc>
                <w:tcPr/>
                <w:p>
                  <w:pPr>
                    <w:pStyle w:val="Compact"/>
                    <w:jc w:val="left"/>
                    <w:jc w:val="center"/>
                  </w:pPr>
                  <w:r>
                    <w:t xml:space="preserve">0.38 (0.22, 0.56)</w:t>
                  </w:r>
                </w:p>
              </w:tc>
            </w:tr>
            <w:tr>
              <w:tc>
                <w:tcPr/>
                <w:p>
                  <w:pPr>
                    <w:pStyle w:val="Compact"/>
                    <w:jc w:val="left"/>
                    <w:jc w:val="center"/>
                  </w:pPr>
                  <w:r>
                    <w:t xml:space="preserve">Nb</w:t>
                  </w:r>
                </w:p>
              </w:tc>
              <w:tc>
                <w:tcPr/>
                <w:p>
                  <w:pPr>
                    <w:pStyle w:val="Compact"/>
                    <w:jc w:val="left"/>
                    <w:jc w:val="center"/>
                  </w:pPr>
                  <w:r>
                    <w:t xml:space="preserve">17.2</w:t>
                  </w:r>
                </w:p>
              </w:tc>
              <w:tc>
                <w:tcPr/>
                <w:p>
                  <w:pPr>
                    <w:pStyle w:val="Compact"/>
                    <w:jc w:val="left"/>
                    <w:jc w:val="center"/>
                  </w:pPr>
                  <w:r>
                    <w:t xml:space="preserve">0.00</w:t>
                  </w:r>
                </w:p>
              </w:tc>
              <w:tc>
                <w:tcPr/>
                <w:p>
                  <w:pPr>
                    <w:pStyle w:val="Compact"/>
                    <w:jc w:val="left"/>
                    <w:jc w:val="center"/>
                  </w:pPr>
                  <w:r>
                    <w:t xml:space="preserve">0.95</w:t>
                  </w:r>
                </w:p>
              </w:tc>
              <w:tc>
                <w:tcPr/>
                <w:p>
                  <w:pPr>
                    <w:pStyle w:val="Compact"/>
                    <w:jc w:val="left"/>
                    <w:jc w:val="center"/>
                  </w:pPr>
                  <w:r>
                    <w:t xml:space="preserve">0 (0, 0.31)</w:t>
                  </w:r>
                </w:p>
              </w:tc>
              <w:tc>
                <w:tcPr/>
                <w:p>
                  <w:pPr>
                    <w:pStyle w:val="Compact"/>
                    <w:jc w:val="left"/>
                    <w:jc w:val="center"/>
                  </w:pPr>
                  <w:r>
                    <w:t xml:space="preserve">0 (0, 0.01)</w:t>
                  </w:r>
                </w:p>
              </w:tc>
            </w:tr>
            <w:tr>
              <w:tc>
                <w:tcPr/>
                <w:p>
                  <w:pPr>
                    <w:pStyle w:val="Compact"/>
                    <w:jc w:val="left"/>
                    <w:jc w:val="center"/>
                  </w:pPr>
                  <w:r>
                    <w:t xml:space="preserve">Ni</w:t>
                  </w:r>
                </w:p>
              </w:tc>
              <w:tc>
                <w:tcPr/>
                <w:p>
                  <w:pPr>
                    <w:pStyle w:val="Compact"/>
                    <w:jc w:val="left"/>
                    <w:jc w:val="center"/>
                  </w:pPr>
                  <w:r>
                    <w:t xml:space="preserve">65.1</w:t>
                  </w:r>
                </w:p>
              </w:tc>
              <w:tc>
                <w:tcPr/>
                <w:p>
                  <w:pPr>
                    <w:pStyle w:val="Compact"/>
                    <w:jc w:val="left"/>
                    <w:jc w:val="center"/>
                  </w:pPr>
                  <w:r>
                    <w:t xml:space="preserve">1.89</w:t>
                  </w:r>
                </w:p>
              </w:tc>
              <w:tc>
                <w:tcPr/>
                <w:p>
                  <w:pPr>
                    <w:pStyle w:val="Compact"/>
                    <w:jc w:val="left"/>
                    <w:jc w:val="center"/>
                  </w:pPr>
                  <w:r>
                    <w:t xml:space="preserve">0.99</w:t>
                  </w:r>
                </w:p>
              </w:tc>
              <w:tc>
                <w:tcPr/>
                <w:p>
                  <w:pPr>
                    <w:pStyle w:val="Compact"/>
                    <w:jc w:val="left"/>
                    <w:jc w:val="center"/>
                  </w:pPr>
                  <w:r>
                    <w:t xml:space="preserve">0.7 (0.48, 0.88)</w:t>
                  </w:r>
                </w:p>
              </w:tc>
              <w:tc>
                <w:tcPr/>
                <w:p>
                  <w:pPr>
                    <w:pStyle w:val="Compact"/>
                    <w:jc w:val="left"/>
                    <w:jc w:val="center"/>
                  </w:pPr>
                  <w:r>
                    <w:t xml:space="preserve">1.49 (0.62, 2.65)</w:t>
                  </w:r>
                </w:p>
              </w:tc>
            </w:tr>
            <w:tr>
              <w:tc>
                <w:tcPr/>
                <w:p>
                  <w:pPr>
                    <w:pStyle w:val="Compact"/>
                    <w:jc w:val="left"/>
                    <w:jc w:val="center"/>
                  </w:pPr>
                  <w:r>
                    <w:t xml:space="preserve">Rb</w:t>
                  </w:r>
                </w:p>
              </w:tc>
              <w:tc>
                <w:tcPr/>
                <w:p>
                  <w:pPr>
                    <w:pStyle w:val="Compact"/>
                    <w:jc w:val="left"/>
                    <w:jc w:val="center"/>
                  </w:pPr>
                  <w:r>
                    <w:t xml:space="preserve">76.1</w:t>
                  </w:r>
                </w:p>
              </w:tc>
              <w:tc>
                <w:tcPr/>
                <w:p>
                  <w:pPr>
                    <w:pStyle w:val="Compact"/>
                    <w:jc w:val="left"/>
                    <w:jc w:val="center"/>
                  </w:pPr>
                  <w:r>
                    <w:t xml:space="preserve">3.75</w:t>
                  </w:r>
                </w:p>
              </w:tc>
              <w:tc>
                <w:tcPr/>
                <w:p>
                  <w:pPr>
                    <w:pStyle w:val="Compact"/>
                    <w:jc w:val="left"/>
                    <w:jc w:val="center"/>
                  </w:pPr>
                  <w:r>
                    <w:t xml:space="preserve">1.00</w:t>
                  </w:r>
                </w:p>
              </w:tc>
              <w:tc>
                <w:tcPr/>
                <w:p>
                  <w:pPr>
                    <w:pStyle w:val="Compact"/>
                    <w:jc w:val="left"/>
                    <w:jc w:val="center"/>
                  </w:pPr>
                  <w:r>
                    <w:t xml:space="preserve">0.85 (0.73, 0.95)</w:t>
                  </w:r>
                </w:p>
              </w:tc>
              <w:tc>
                <w:tcPr/>
                <w:p>
                  <w:pPr>
                    <w:pStyle w:val="Compact"/>
                    <w:jc w:val="left"/>
                    <w:jc w:val="center"/>
                  </w:pPr>
                  <w:r>
                    <w:t xml:space="preserve">2.73 (1.19, 4.56)</w:t>
                  </w:r>
                </w:p>
              </w:tc>
            </w:tr>
            <w:tr>
              <w:tc>
                <w:tcPr/>
                <w:p>
                  <w:pPr>
                    <w:pStyle w:val="Compact"/>
                    <w:jc w:val="left"/>
                    <w:jc w:val="center"/>
                  </w:pPr>
                  <w:r>
                    <w:t xml:space="preserve">Sr</w:t>
                  </w:r>
                </w:p>
              </w:tc>
              <w:tc>
                <w:tcPr/>
                <w:p>
                  <w:pPr>
                    <w:pStyle w:val="Compact"/>
                    <w:jc w:val="left"/>
                    <w:jc w:val="center"/>
                  </w:pPr>
                  <w:r>
                    <w:t xml:space="preserve">64.4</w:t>
                  </w:r>
                </w:p>
              </w:tc>
              <w:tc>
                <w:tcPr/>
                <w:p>
                  <w:pPr>
                    <w:pStyle w:val="Compact"/>
                    <w:jc w:val="left"/>
                    <w:jc w:val="center"/>
                  </w:pPr>
                  <w:r>
                    <w:t xml:space="preserve">441.33</w:t>
                  </w:r>
                </w:p>
              </w:tc>
              <w:tc>
                <w:tcPr/>
                <w:p>
                  <w:pPr>
                    <w:pStyle w:val="Compact"/>
                    <w:jc w:val="left"/>
                    <w:jc w:val="center"/>
                  </w:pPr>
                  <w:r>
                    <w:t xml:space="preserve">1.00</w:t>
                  </w:r>
                </w:p>
              </w:tc>
              <w:tc>
                <w:tcPr/>
                <w:p>
                  <w:pPr>
                    <w:pStyle w:val="Compact"/>
                    <w:jc w:val="left"/>
                    <w:jc w:val="center"/>
                  </w:pPr>
                  <w:r>
                    <w:t xml:space="preserve">0.85 (0.75, 0.94)</w:t>
                  </w:r>
                </w:p>
              </w:tc>
              <w:tc>
                <w:tcPr/>
                <w:p>
                  <w:pPr>
                    <w:pStyle w:val="Compact"/>
                    <w:jc w:val="left"/>
                    <w:jc w:val="center"/>
                  </w:pPr>
                  <w:r>
                    <w:t xml:space="preserve">370.87 (131.19, 657.81)</w:t>
                  </w:r>
                </w:p>
              </w:tc>
            </w:tr>
            <w:tr>
              <w:tc>
                <w:tcPr/>
                <w:p>
                  <w:pPr>
                    <w:pStyle w:val="Compact"/>
                    <w:jc w:val="left"/>
                    <w:jc w:val="center"/>
                  </w:pPr>
                  <w:r>
                    <w:t xml:space="preserve">a*</w:t>
                  </w:r>
                </w:p>
              </w:tc>
              <w:tc>
                <w:tcPr/>
                <w:p>
                  <w:pPr>
                    <w:pStyle w:val="Compact"/>
                    <w:jc w:val="left"/>
                    <w:jc w:val="center"/>
                  </w:pPr>
                  <w:r>
                    <w:t xml:space="preserve">41.5</w:t>
                  </w:r>
                </w:p>
              </w:tc>
              <w:tc>
                <w:tcPr/>
                <w:p>
                  <w:pPr>
                    <w:pStyle w:val="Compact"/>
                    <w:jc w:val="left"/>
                    <w:jc w:val="center"/>
                  </w:pPr>
                  <w:r>
                    <w:t xml:space="preserve">0.03</w:t>
                  </w:r>
                </w:p>
              </w:tc>
              <w:tc>
                <w:tcPr/>
                <w:p>
                  <w:pPr>
                    <w:pStyle w:val="Compact"/>
                    <w:jc w:val="left"/>
                    <w:jc w:val="center"/>
                  </w:pPr>
                  <w:r>
                    <w:t xml:space="preserve">0.97</w:t>
                  </w:r>
                </w:p>
              </w:tc>
              <w:tc>
                <w:tcPr/>
                <w:p>
                  <w:pPr>
                    <w:pStyle w:val="Compact"/>
                    <w:jc w:val="left"/>
                    <w:jc w:val="center"/>
                  </w:pPr>
                  <w:r>
                    <w:t xml:space="preserve">0.48 (0.22, 0.79)</w:t>
                  </w:r>
                </w:p>
              </w:tc>
              <w:tc>
                <w:tcPr/>
                <w:p>
                  <w:pPr>
                    <w:pStyle w:val="Compact"/>
                    <w:jc w:val="left"/>
                    <w:jc w:val="center"/>
                  </w:pPr>
                  <w:r>
                    <w:t xml:space="preserve">0.02 (0.01, 0.04)</w:t>
                  </w:r>
                </w:p>
              </w:tc>
            </w:tr>
            <w:tr>
              <w:tc>
                <w:tcPr/>
                <w:p>
                  <w:pPr>
                    <w:pStyle w:val="Compact"/>
                    <w:jc w:val="left"/>
                    <w:jc w:val="center"/>
                  </w:pPr>
                  <w:r>
                    <w:t xml:space="preserve">b*</w:t>
                  </w:r>
                </w:p>
              </w:tc>
              <w:tc>
                <w:tcPr/>
                <w:p>
                  <w:pPr>
                    <w:pStyle w:val="Compact"/>
                    <w:jc w:val="left"/>
                    <w:jc w:val="center"/>
                  </w:pPr>
                  <w:r>
                    <w:t xml:space="preserve">31.8</w:t>
                  </w:r>
                </w:p>
              </w:tc>
              <w:tc>
                <w:tcPr/>
                <w:p>
                  <w:pPr>
                    <w:pStyle w:val="Compact"/>
                    <w:jc w:val="left"/>
                    <w:jc w:val="center"/>
                  </w:pPr>
                  <w:r>
                    <w:t xml:space="preserve">0.53</w:t>
                  </w:r>
                </w:p>
              </w:tc>
              <w:tc>
                <w:tcPr/>
                <w:p>
                  <w:pPr>
                    <w:pStyle w:val="Compact"/>
                    <w:jc w:val="left"/>
                    <w:jc w:val="center"/>
                  </w:pPr>
                  <w:r>
                    <w:t xml:space="preserve">0.90</w:t>
                  </w:r>
                </w:p>
              </w:tc>
              <w:tc>
                <w:tcPr/>
                <w:p>
                  <w:pPr>
                    <w:pStyle w:val="Compact"/>
                    <w:jc w:val="left"/>
                    <w:jc w:val="center"/>
                  </w:pPr>
                  <w:r>
                    <w:t xml:space="preserve">0.09 (0, 0.5)</w:t>
                  </w:r>
                </w:p>
              </w:tc>
              <w:tc>
                <w:tcPr/>
                <w:p>
                  <w:pPr>
                    <w:pStyle w:val="Compact"/>
                    <w:jc w:val="left"/>
                    <w:jc w:val="center"/>
                  </w:pPr>
                  <w:r>
                    <w:t xml:space="preserve">0.41 (0.12, 0.84)</w:t>
                  </w:r>
                </w:p>
              </w:tc>
            </w:tr>
            <w:tr>
              <w:tc>
                <w:tcPr/>
                <w:p>
                  <w:pPr>
                    <w:pStyle w:val="Compact"/>
                    <w:jc w:val="left"/>
                    <w:jc w:val="center"/>
                  </w:pPr>
                  <w:r>
                    <w:t xml:space="preserve">c*</w:t>
                  </w:r>
                </w:p>
              </w:tc>
              <w:tc>
                <w:tcPr/>
                <w:p>
                  <w:pPr>
                    <w:pStyle w:val="Compact"/>
                    <w:jc w:val="left"/>
                    <w:jc w:val="center"/>
                  </w:pPr>
                  <w:r>
                    <w:t xml:space="preserve">29.2</w:t>
                  </w:r>
                </w:p>
              </w:tc>
              <w:tc>
                <w:tcPr/>
                <w:p>
                  <w:pPr>
                    <w:pStyle w:val="Compact"/>
                    <w:jc w:val="left"/>
                    <w:jc w:val="center"/>
                  </w:pPr>
                  <w:r>
                    <w:t xml:space="preserve">0.64</w:t>
                  </w:r>
                </w:p>
              </w:tc>
              <w:tc>
                <w:tcPr/>
                <w:p>
                  <w:pPr>
                    <w:pStyle w:val="Compact"/>
                    <w:jc w:val="left"/>
                    <w:jc w:val="center"/>
                  </w:pPr>
                  <w:r>
                    <w:t xml:space="preserve">0.93</w:t>
                  </w:r>
                </w:p>
              </w:tc>
              <w:tc>
                <w:tcPr/>
                <w:p>
                  <w:pPr>
                    <w:pStyle w:val="Compact"/>
                    <w:jc w:val="left"/>
                    <w:jc w:val="center"/>
                  </w:pPr>
                  <w:r>
                    <w:t xml:space="preserve">0.1 (0, 0.51)</w:t>
                  </w:r>
                </w:p>
              </w:tc>
              <w:tc>
                <w:tcPr/>
                <w:p>
                  <w:pPr>
                    <w:pStyle w:val="Compact"/>
                    <w:jc w:val="left"/>
                    <w:jc w:val="center"/>
                  </w:pPr>
                  <w:r>
                    <w:t xml:space="preserve">0.5 (0.14, 1.03)</w:t>
                  </w:r>
                </w:p>
              </w:tc>
            </w:tr>
            <w:tr>
              <w:tc>
                <w:tcPr/>
                <w:p>
                  <w:pPr>
                    <w:pStyle w:val="Compact"/>
                    <w:jc w:val="left"/>
                    <w:jc w:val="center"/>
                  </w:pPr>
                  <w:r>
                    <w:t xml:space="preserve">h*</w:t>
                  </w:r>
                </w:p>
              </w:tc>
              <w:tc>
                <w:tcPr/>
                <w:p>
                  <w:pPr>
                    <w:pStyle w:val="Compact"/>
                    <w:jc w:val="left"/>
                    <w:jc w:val="center"/>
                  </w:pPr>
                  <w:r>
                    <w:t xml:space="preserve">20.2</w:t>
                  </w:r>
                </w:p>
              </w:tc>
              <w:tc>
                <w:tcPr/>
                <w:p>
                  <w:pPr>
                    <w:pStyle w:val="Compact"/>
                    <w:jc w:val="left"/>
                    <w:jc w:val="center"/>
                  </w:pPr>
                  <w:r>
                    <w:t xml:space="preserve">0.00</w:t>
                  </w:r>
                </w:p>
              </w:tc>
              <w:tc>
                <w:tcPr/>
                <w:p>
                  <w:pPr>
                    <w:pStyle w:val="Compact"/>
                    <w:jc w:val="left"/>
                    <w:jc w:val="center"/>
                  </w:pPr>
                  <w:r>
                    <w:t xml:space="preserve">0.94</w:t>
                  </w:r>
                </w:p>
              </w:tc>
              <w:tc>
                <w:tcPr/>
                <w:p>
                  <w:pPr>
                    <w:pStyle w:val="Compact"/>
                    <w:jc w:val="left"/>
                    <w:jc w:val="center"/>
                  </w:pPr>
                  <w:r>
                    <w:t xml:space="preserve">0.03 (0, 0.42)</w:t>
                  </w:r>
                </w:p>
              </w:tc>
              <w:tc>
                <w:tcPr/>
                <w:p>
                  <w:pPr>
                    <w:pStyle w:val="Compact"/>
                    <w:jc w:val="left"/>
                    <w:jc w:val="center"/>
                  </w:pPr>
                  <w:r>
                    <w:t xml:space="preserve">0 (0, 0)</w:t>
                  </w:r>
                </w:p>
              </w:tc>
            </w:tr>
            <w:tr>
              <w:tc>
                <w:tcPr/>
                <w:p>
                  <w:pPr>
                    <w:pStyle w:val="Compact"/>
                    <w:jc w:val="left"/>
                    <w:jc w:val="center"/>
                  </w:pPr>
                  <w:r>
                    <w:t xml:space="preserve">x</w:t>
                  </w:r>
                </w:p>
              </w:tc>
              <w:tc>
                <w:tcPr/>
                <w:p>
                  <w:pPr>
                    <w:pStyle w:val="Compact"/>
                    <w:jc w:val="left"/>
                    <w:jc w:val="center"/>
                  </w:pPr>
                  <w:r>
                    <w:t xml:space="preserve">34.5</w:t>
                  </w:r>
                </w:p>
              </w:tc>
              <w:tc>
                <w:tcPr/>
                <w:p>
                  <w:pPr>
                    <w:pStyle w:val="Compact"/>
                    <w:jc w:val="left"/>
                    <w:jc w:val="center"/>
                  </w:pPr>
                  <w:r>
                    <w:t xml:space="preserve">0.00</w:t>
                  </w:r>
                </w:p>
              </w:tc>
              <w:tc>
                <w:tcPr/>
                <w:p>
                  <w:pPr>
                    <w:pStyle w:val="Compact"/>
                    <w:jc w:val="left"/>
                    <w:jc w:val="center"/>
                  </w:pPr>
                  <w:r>
                    <w:t xml:space="preserve">0.96</w:t>
                  </w:r>
                </w:p>
              </w:tc>
              <w:tc>
                <w:tcPr/>
                <w:p>
                  <w:pPr>
                    <w:pStyle w:val="Compact"/>
                    <w:jc w:val="left"/>
                    <w:jc w:val="center"/>
                  </w:pPr>
                  <w:r>
                    <w:t xml:space="preserve">0.31 (0.02, 0.67)</w:t>
                  </w:r>
                </w:p>
              </w:tc>
              <w:tc>
                <w:tcPr/>
                <w:p>
                  <w:pPr>
                    <w:pStyle w:val="Compact"/>
                    <w:jc w:val="left"/>
                    <w:jc w:val="center"/>
                  </w:pPr>
                  <w:r>
                    <w:t xml:space="preserve">0 (0, 0)</w:t>
                  </w:r>
                </w:p>
              </w:tc>
            </w:tr>
            <w:tr>
              <w:tc>
                <w:tcPr>
                  <w:gridSpan w:val="6"/>
                </w:tcPr>
                <w:p>
                  <w:pPr>
                    <w:pStyle w:val="Compact"/>
                    <w:jc w:val="center"/>
                    <w:jc w:val="center"/>
                  </w:pPr>
                  <w:r>
                    <w:t xml:space="preserve">Forest</w:t>
                  </w:r>
                </w:p>
              </w:tc>
            </w:tr>
            <w:tr>
              <w:tc>
                <w:tcPr/>
                <w:p>
                  <w:pPr>
                    <w:pStyle w:val="Compact"/>
                    <w:jc w:val="left"/>
                    <w:jc w:val="center"/>
                  </w:pPr>
                  <w:r>
                    <w:t xml:space="preserve">Ca</w:t>
                  </w:r>
                </w:p>
              </w:tc>
              <w:tc>
                <w:tcPr/>
                <w:p>
                  <w:pPr>
                    <w:pStyle w:val="Compact"/>
                    <w:jc w:val="left"/>
                    <w:jc w:val="center"/>
                  </w:pPr>
                  <w:r>
                    <w:t xml:space="preserve">41.5</w:t>
                  </w:r>
                </w:p>
              </w:tc>
              <w:tc>
                <w:tcPr/>
                <w:p>
                  <w:pPr>
                    <w:pStyle w:val="Compact"/>
                    <w:jc w:val="left"/>
                    <w:jc w:val="center"/>
                  </w:pPr>
                  <w:r>
                    <w:t xml:space="preserve">0.32</w:t>
                  </w:r>
                </w:p>
              </w:tc>
              <w:tc>
                <w:tcPr/>
                <w:p>
                  <w:pPr>
                    <w:pStyle w:val="Compact"/>
                    <w:jc w:val="left"/>
                    <w:jc w:val="center"/>
                  </w:pPr>
                  <w:r>
                    <w:t xml:space="preserve">0.98</w:t>
                  </w:r>
                </w:p>
              </w:tc>
              <w:tc>
                <w:tcPr/>
                <w:p>
                  <w:pPr>
                    <w:pStyle w:val="Compact"/>
                    <w:jc w:val="left"/>
                    <w:jc w:val="center"/>
                  </w:pPr>
                  <w:r>
                    <w:t xml:space="preserve">0.25 (0.01, 0.65)</w:t>
                  </w:r>
                </w:p>
              </w:tc>
              <w:tc>
                <w:tcPr/>
                <w:p>
                  <w:pPr>
                    <w:pStyle w:val="Compact"/>
                    <w:jc w:val="left"/>
                    <w:jc w:val="center"/>
                  </w:pPr>
                  <w:r>
                    <w:t xml:space="preserve">0.58 (0.37, 0.82)</w:t>
                  </w:r>
                </w:p>
              </w:tc>
            </w:tr>
            <w:tr>
              <w:tc>
                <w:tcPr/>
                <w:p>
                  <w:pPr>
                    <w:pStyle w:val="Compact"/>
                    <w:jc w:val="left"/>
                    <w:jc w:val="center"/>
                  </w:pPr>
                  <w:r>
                    <w:t xml:space="preserve">Co</w:t>
                  </w:r>
                </w:p>
              </w:tc>
              <w:tc>
                <w:tcPr/>
                <w:p>
                  <w:pPr>
                    <w:pStyle w:val="Compact"/>
                    <w:jc w:val="left"/>
                    <w:jc w:val="center"/>
                  </w:pPr>
                  <w:r>
                    <w:t xml:space="preserve">−17.3</w:t>
                  </w:r>
                </w:p>
              </w:tc>
              <w:tc>
                <w:tcPr/>
                <w:p>
                  <w:pPr>
                    <w:pStyle w:val="Compact"/>
                    <w:jc w:val="left"/>
                    <w:jc w:val="center"/>
                  </w:pPr>
                  <w:r>
                    <w:t xml:space="preserve">0.97</w:t>
                  </w:r>
                </w:p>
              </w:tc>
              <w:tc>
                <w:tcPr/>
                <w:p>
                  <w:pPr>
                    <w:pStyle w:val="Compact"/>
                    <w:jc w:val="left"/>
                    <w:jc w:val="center"/>
                  </w:pPr>
                  <w:r>
                    <w:t xml:space="preserve">0.93</w:t>
                  </w:r>
                </w:p>
              </w:tc>
              <w:tc>
                <w:tcPr/>
                <w:p>
                  <w:pPr>
                    <w:pStyle w:val="Compact"/>
                    <w:jc w:val="left"/>
                    <w:jc w:val="center"/>
                  </w:pPr>
                  <w:r>
                    <w:t xml:space="preserve">0.01 (0, 0.26)</w:t>
                  </w:r>
                </w:p>
              </w:tc>
              <w:tc>
                <w:tcPr/>
                <w:p>
                  <w:pPr>
                    <w:pStyle w:val="Compact"/>
                    <w:jc w:val="left"/>
                    <w:jc w:val="center"/>
                  </w:pPr>
                  <w:r>
                    <w:t xml:space="preserve">1.03 (0.62, 1.53)</w:t>
                  </w:r>
                </w:p>
              </w:tc>
            </w:tr>
            <w:tr>
              <w:tc>
                <w:tcPr/>
                <w:p>
                  <w:pPr>
                    <w:pStyle w:val="Compact"/>
                    <w:jc w:val="left"/>
                    <w:jc w:val="center"/>
                  </w:pPr>
                  <w:r>
                    <w:t xml:space="preserve">Cs</w:t>
                  </w:r>
                </w:p>
              </w:tc>
              <w:tc>
                <w:tcPr/>
                <w:p>
                  <w:pPr>
                    <w:pStyle w:val="Compact"/>
                    <w:jc w:val="left"/>
                    <w:jc w:val="center"/>
                  </w:pPr>
                  <w:r>
                    <w:t xml:space="preserve">−5.6</w:t>
                  </w:r>
                </w:p>
              </w:tc>
              <w:tc>
                <w:tcPr/>
                <w:p>
                  <w:pPr>
                    <w:pStyle w:val="Compact"/>
                    <w:jc w:val="left"/>
                    <w:jc w:val="center"/>
                  </w:pPr>
                  <w:r>
                    <w:t xml:space="preserve">0.01</w:t>
                  </w:r>
                </w:p>
              </w:tc>
              <w:tc>
                <w:tcPr/>
                <w:p>
                  <w:pPr>
                    <w:pStyle w:val="Compact"/>
                    <w:jc w:val="left"/>
                    <w:jc w:val="center"/>
                  </w:pPr>
                  <w:r>
                    <w:t xml:space="preserve">0.90</w:t>
                  </w:r>
                </w:p>
              </w:tc>
              <w:tc>
                <w:tcPr/>
                <w:p>
                  <w:pPr>
                    <w:pStyle w:val="Compact"/>
                    <w:jc w:val="left"/>
                    <w:jc w:val="center"/>
                  </w:pPr>
                  <w:r>
                    <w:t xml:space="preserve">0.02 (0, 0.51)</w:t>
                  </w:r>
                </w:p>
              </w:tc>
              <w:tc>
                <w:tcPr/>
                <w:p>
                  <w:pPr>
                    <w:pStyle w:val="Compact"/>
                    <w:jc w:val="left"/>
                    <w:jc w:val="center"/>
                  </w:pPr>
                  <w:r>
                    <w:t xml:space="preserve">0.01 (0, 0.01)</w:t>
                  </w:r>
                </w:p>
              </w:tc>
            </w:tr>
            <w:tr>
              <w:tc>
                <w:tcPr/>
                <w:p>
                  <w:pPr>
                    <w:pStyle w:val="Compact"/>
                    <w:jc w:val="left"/>
                    <w:jc w:val="center"/>
                  </w:pPr>
                  <w:r>
                    <w:t xml:space="preserve">Li</w:t>
                  </w:r>
                </w:p>
              </w:tc>
              <w:tc>
                <w:tcPr/>
                <w:p>
                  <w:pPr>
                    <w:pStyle w:val="Compact"/>
                    <w:jc w:val="left"/>
                    <w:jc w:val="center"/>
                  </w:pPr>
                  <w:r>
                    <w:t xml:space="preserve">−8.1</w:t>
                  </w:r>
                </w:p>
              </w:tc>
              <w:tc>
                <w:tcPr/>
                <w:p>
                  <w:pPr>
                    <w:pStyle w:val="Compact"/>
                    <w:jc w:val="left"/>
                    <w:jc w:val="center"/>
                  </w:pPr>
                  <w:r>
                    <w:t xml:space="preserve">0.55</w:t>
                  </w:r>
                </w:p>
              </w:tc>
              <w:tc>
                <w:tcPr/>
                <w:p>
                  <w:pPr>
                    <w:pStyle w:val="Compact"/>
                    <w:jc w:val="left"/>
                    <w:jc w:val="center"/>
                  </w:pPr>
                  <w:r>
                    <w:t xml:space="preserve">0.61</w:t>
                  </w:r>
                </w:p>
              </w:tc>
              <w:tc>
                <w:tcPr/>
                <w:p>
                  <w:pPr>
                    <w:pStyle w:val="Compact"/>
                    <w:jc w:val="left"/>
                    <w:jc w:val="center"/>
                  </w:pPr>
                  <w:r>
                    <w:t xml:space="preserve">0.05 (0, 0.39)</w:t>
                  </w:r>
                </w:p>
              </w:tc>
              <w:tc>
                <w:tcPr/>
                <w:p>
                  <w:pPr>
                    <w:pStyle w:val="Compact"/>
                    <w:jc w:val="left"/>
                    <w:jc w:val="center"/>
                  </w:pPr>
                  <w:r>
                    <w:t xml:space="preserve">1.33 (0.66, 2.28)</w:t>
                  </w:r>
                </w:p>
              </w:tc>
            </w:tr>
            <w:tr>
              <w:tc>
                <w:tcPr/>
                <w:p>
                  <w:pPr>
                    <w:pStyle w:val="Compact"/>
                    <w:jc w:val="left"/>
                    <w:jc w:val="center"/>
                  </w:pPr>
                  <w:r>
                    <w:t xml:space="preserve">La</w:t>
                  </w:r>
                </w:p>
              </w:tc>
              <w:tc>
                <w:tcPr/>
                <w:p>
                  <w:pPr>
                    <w:pStyle w:val="Compact"/>
                    <w:jc w:val="left"/>
                    <w:jc w:val="center"/>
                  </w:pPr>
                  <w:r>
                    <w:t xml:space="preserve">−31.2</w:t>
                  </w:r>
                </w:p>
              </w:tc>
              <w:tc>
                <w:tcPr/>
                <w:p>
                  <w:pPr>
                    <w:pStyle w:val="Compact"/>
                    <w:jc w:val="left"/>
                    <w:jc w:val="center"/>
                  </w:pPr>
                  <w:r>
                    <w:t xml:space="preserve">2.49</w:t>
                  </w:r>
                </w:p>
              </w:tc>
              <w:tc>
                <w:tcPr/>
                <w:p>
                  <w:pPr>
                    <w:pStyle w:val="Compact"/>
                    <w:jc w:val="left"/>
                    <w:jc w:val="center"/>
                  </w:pPr>
                  <w:r>
                    <w:t xml:space="preserve">0.88</w:t>
                  </w:r>
                </w:p>
              </w:tc>
              <w:tc>
                <w:tcPr/>
                <w:p>
                  <w:pPr>
                    <w:pStyle w:val="Compact"/>
                    <w:jc w:val="left"/>
                    <w:jc w:val="center"/>
                  </w:pPr>
                  <w:r>
                    <w:t xml:space="preserve">0.02 (0, 0.34)</w:t>
                  </w:r>
                </w:p>
              </w:tc>
              <w:tc>
                <w:tcPr/>
                <w:p>
                  <w:pPr>
                    <w:pStyle w:val="Compact"/>
                    <w:jc w:val="left"/>
                    <w:jc w:val="center"/>
                  </w:pPr>
                  <w:r>
                    <w:t xml:space="preserve">3.76 (1.78, 5.86)</w:t>
                  </w:r>
                </w:p>
              </w:tc>
            </w:tr>
            <w:tr>
              <w:tc>
                <w:tcPr/>
                <w:p>
                  <w:pPr>
                    <w:pStyle w:val="Compact"/>
                    <w:jc w:val="left"/>
                    <w:jc w:val="center"/>
                  </w:pPr>
                  <w:r>
                    <w:t xml:space="preserve">Nb</w:t>
                  </w:r>
                </w:p>
              </w:tc>
              <w:tc>
                <w:tcPr/>
                <w:p>
                  <w:pPr>
                    <w:pStyle w:val="Compact"/>
                    <w:jc w:val="left"/>
                    <w:jc w:val="center"/>
                  </w:pPr>
                  <w:r>
                    <w:t xml:space="preserve">36.1</w:t>
                  </w:r>
                </w:p>
              </w:tc>
              <w:tc>
                <w:tcPr/>
                <w:p>
                  <w:pPr>
                    <w:pStyle w:val="Compact"/>
                    <w:jc w:val="left"/>
                    <w:jc w:val="center"/>
                  </w:pPr>
                  <w:r>
                    <w:t xml:space="preserve">0.00</w:t>
                  </w:r>
                </w:p>
              </w:tc>
              <w:tc>
                <w:tcPr/>
                <w:p>
                  <w:pPr>
                    <w:pStyle w:val="Compact"/>
                    <w:jc w:val="left"/>
                    <w:jc w:val="center"/>
                  </w:pPr>
                  <w:r>
                    <w:t xml:space="preserve">0.89</w:t>
                  </w:r>
                </w:p>
              </w:tc>
              <w:tc>
                <w:tcPr/>
                <w:p>
                  <w:pPr>
                    <w:pStyle w:val="Compact"/>
                    <w:jc w:val="left"/>
                    <w:jc w:val="center"/>
                  </w:pPr>
                  <w:r>
                    <w:t xml:space="preserve">0.16 (0, 0.49)</w:t>
                  </w:r>
                </w:p>
              </w:tc>
              <w:tc>
                <w:tcPr/>
                <w:p>
                  <w:pPr>
                    <w:pStyle w:val="Compact"/>
                    <w:jc w:val="left"/>
                    <w:jc w:val="center"/>
                  </w:pPr>
                  <w:r>
                    <w:t xml:space="preserve">0 (0, 0)</w:t>
                  </w:r>
                </w:p>
              </w:tc>
            </w:tr>
            <w:tr>
              <w:tc>
                <w:tcPr/>
                <w:p>
                  <w:pPr>
                    <w:pStyle w:val="Compact"/>
                    <w:jc w:val="left"/>
                    <w:jc w:val="center"/>
                  </w:pPr>
                  <w:r>
                    <w:t xml:space="preserve">Ni</w:t>
                  </w:r>
                </w:p>
              </w:tc>
              <w:tc>
                <w:tcPr/>
                <w:p>
                  <w:pPr>
                    <w:pStyle w:val="Compact"/>
                    <w:jc w:val="left"/>
                    <w:jc w:val="center"/>
                  </w:pPr>
                  <w:r>
                    <w:t xml:space="preserve">−43.7</w:t>
                  </w:r>
                </w:p>
              </w:tc>
              <w:tc>
                <w:tcPr/>
                <w:p>
                  <w:pPr>
                    <w:pStyle w:val="Compact"/>
                    <w:jc w:val="left"/>
                    <w:jc w:val="center"/>
                  </w:pPr>
                  <w:r>
                    <w:t xml:space="preserve">7.78</w:t>
                  </w:r>
                </w:p>
              </w:tc>
              <w:tc>
                <w:tcPr/>
                <w:p>
                  <w:pPr>
                    <w:pStyle w:val="Compact"/>
                    <w:jc w:val="left"/>
                    <w:jc w:val="center"/>
                  </w:pPr>
                  <w:r>
                    <w:t xml:space="preserve">0.76</w:t>
                  </w:r>
                </w:p>
              </w:tc>
              <w:tc>
                <w:tcPr/>
                <w:p>
                  <w:pPr>
                    <w:pStyle w:val="Compact"/>
                    <w:jc w:val="left"/>
                    <w:jc w:val="center"/>
                  </w:pPr>
                  <w:r>
                    <w:t xml:space="preserve">0.02 (0, 0.4)</w:t>
                  </w:r>
                </w:p>
              </w:tc>
              <w:tc>
                <w:tcPr/>
                <w:p>
                  <w:pPr>
                    <w:pStyle w:val="Compact"/>
                    <w:jc w:val="left"/>
                    <w:jc w:val="center"/>
                  </w:pPr>
                  <w:r>
                    <w:t xml:space="preserve">6.93 (3.83, 10.83)</w:t>
                  </w:r>
                </w:p>
              </w:tc>
            </w:tr>
            <w:tr>
              <w:tc>
                <w:tcPr/>
                <w:p>
                  <w:pPr>
                    <w:pStyle w:val="Compact"/>
                    <w:jc w:val="left"/>
                    <w:jc w:val="center"/>
                  </w:pPr>
                  <w:r>
                    <w:t xml:space="preserve">Sr</w:t>
                  </w:r>
                </w:p>
              </w:tc>
              <w:tc>
                <w:tcPr/>
                <w:p>
                  <w:pPr>
                    <w:pStyle w:val="Compact"/>
                    <w:jc w:val="left"/>
                    <w:jc w:val="center"/>
                  </w:pPr>
                  <w:r>
                    <w:t xml:space="preserve">40.1</w:t>
                  </w:r>
                </w:p>
              </w:tc>
              <w:tc>
                <w:tcPr/>
                <w:p>
                  <w:pPr>
                    <w:pStyle w:val="Compact"/>
                    <w:jc w:val="left"/>
                    <w:jc w:val="center"/>
                  </w:pPr>
                  <w:r>
                    <w:t xml:space="preserve">44.47</w:t>
                  </w:r>
                </w:p>
              </w:tc>
              <w:tc>
                <w:tcPr/>
                <w:p>
                  <w:pPr>
                    <w:pStyle w:val="Compact"/>
                    <w:jc w:val="left"/>
                    <w:jc w:val="center"/>
                  </w:pPr>
                  <w:r>
                    <w:t xml:space="preserve">0.98</w:t>
                  </w:r>
                </w:p>
              </w:tc>
              <w:tc>
                <w:tcPr/>
                <w:p>
                  <w:pPr>
                    <w:pStyle w:val="Compact"/>
                    <w:jc w:val="left"/>
                    <w:jc w:val="center"/>
                  </w:pPr>
                  <w:r>
                    <w:t xml:space="preserve">0.17 (0, 0.6)</w:t>
                  </w:r>
                </w:p>
              </w:tc>
              <w:tc>
                <w:tcPr/>
                <w:p>
                  <w:pPr>
                    <w:pStyle w:val="Compact"/>
                    <w:jc w:val="left"/>
                    <w:jc w:val="center"/>
                  </w:pPr>
                  <w:r>
                    <w:t xml:space="preserve">58.2 (31.76, 92.06)</w:t>
                  </w:r>
                </w:p>
              </w:tc>
            </w:tr>
            <w:tr>
              <w:tc>
                <w:tcPr/>
                <w:p>
                  <w:pPr>
                    <w:pStyle w:val="Compact"/>
                    <w:jc w:val="left"/>
                    <w:jc w:val="center"/>
                  </w:pPr>
                  <w:r>
                    <w:t xml:space="preserve">h*</w:t>
                  </w:r>
                </w:p>
              </w:tc>
              <w:tc>
                <w:tcPr/>
                <w:p>
                  <w:pPr>
                    <w:pStyle w:val="Compact"/>
                    <w:jc w:val="left"/>
                    <w:jc w:val="center"/>
                  </w:pPr>
                  <w:r>
                    <w:t xml:space="preserve">−13.7</w:t>
                  </w:r>
                </w:p>
              </w:tc>
              <w:tc>
                <w:tcPr/>
                <w:p>
                  <w:pPr>
                    <w:pStyle w:val="Compact"/>
                    <w:jc w:val="left"/>
                    <w:jc w:val="center"/>
                  </w:pPr>
                  <w:r>
                    <w:t xml:space="preserve">0.00</w:t>
                  </w:r>
                </w:p>
              </w:tc>
              <w:tc>
                <w:tcPr/>
                <w:p>
                  <w:pPr>
                    <w:pStyle w:val="Compact"/>
                    <w:jc w:val="left"/>
                    <w:jc w:val="center"/>
                  </w:pPr>
                  <w:r>
                    <w:t xml:space="preserve">0.75</w:t>
                  </w:r>
                </w:p>
              </w:tc>
              <w:tc>
                <w:tcPr/>
                <w:p>
                  <w:pPr>
                    <w:pStyle w:val="Compact"/>
                    <w:jc w:val="left"/>
                    <w:jc w:val="center"/>
                  </w:pPr>
                  <w:r>
                    <w:t xml:space="preserve">0.01 (0, 0.47)</w:t>
                  </w:r>
                </w:p>
              </w:tc>
              <w:tc>
                <w:tcPr/>
                <w:p>
                  <w:pPr>
                    <w:pStyle w:val="Compact"/>
                    <w:jc w:val="left"/>
                    <w:jc w:val="center"/>
                  </w:pPr>
                  <w:r>
                    <w:t xml:space="preserve">0 (0, 0)</w:t>
                  </w:r>
                </w:p>
              </w:tc>
            </w:tr>
            <w:tr>
              <w:tc>
                <w:tcPr>
                  <w:gridSpan w:val="6"/>
                </w:tcPr>
                <w:p>
                  <w:pPr>
                    <w:pStyle w:val="Compact"/>
                    <w:jc w:val="center"/>
                    <w:jc w:val="center"/>
                  </w:pPr>
                  <w:r>
                    <w:rPr>
                      <w:vertAlign w:val="superscript"/>
                    </w:rPr>
                    <w:t xml:space="preserve">*</w:t>
                  </w:r>
                  <w:r>
                    <w:t xml:space="preserve"> </w:t>
                  </w:r>
                  <w:r>
                    <w:t xml:space="preserve">Percent variance explained</w:t>
                  </w:r>
                </w:p>
              </w:tc>
            </w:tr>
            <w:tr>
              <w:tc>
                <w:tcPr>
                  <w:gridSpan w:val="6"/>
                </w:tcPr>
                <w:p>
                  <w:pPr>
                    <w:pStyle w:val="Compact"/>
                    <w:jc w:val="center"/>
                    <w:jc w:val="center"/>
                  </w:pPr>
                  <w:r>
                    <w:rPr>
                      <w:vertAlign w:val="superscript"/>
                    </w:rPr>
                    <w:t xml:space="preserve">†</w:t>
                  </w:r>
                  <w:r>
                    <w:t xml:space="preserve"> </w:t>
                  </w:r>
                  <w:r>
                    <w:t xml:space="preserve">Mean square error</w:t>
                  </w:r>
                </w:p>
              </w:tc>
            </w:tr>
            <w:tr>
              <w:tc>
                <w:tcPr>
                  <w:gridSpan w:val="6"/>
                </w:tcPr>
                <w:p>
                  <w:pPr>
                    <w:pStyle w:val="Compact"/>
                    <w:jc w:val="center"/>
                    <w:jc w:val="center"/>
                  </w:pPr>
                  <w:r>
                    <w:rPr>
                      <w:vertAlign w:val="superscript"/>
                    </w:rPr>
                    <w:t xml:space="preserve">‡</w:t>
                  </w:r>
                  <w:r>
                    <w:t xml:space="preserve"> </w:t>
                  </w:r>
                  <w:r>
                    <w:t xml:space="preserve">Varible Importance Stability</w:t>
                  </w:r>
                </w:p>
              </w:tc>
            </w:tr>
            <w:tr>
              <w:tc>
                <w:tcPr>
                  <w:gridSpan w:val="6"/>
                </w:tcPr>
                <w:p>
                  <w:pPr>
                    <w:pStyle w:val="Compact"/>
                    <w:jc w:val="center"/>
                    <w:jc w:val="center"/>
                  </w:pPr>
                  <w:r>
                    <w:rPr>
                      <w:vertAlign w:val="superscript"/>
                    </w:rPr>
                    <w:t xml:space="preserve">§</w:t>
                  </w:r>
                  <w:r>
                    <w:t xml:space="preserve"> </w:t>
                  </w:r>
                  <w:r>
                    <w:t xml:space="preserve">r</w:t>
                  </w:r>
                  <w:r>
                    <w:rPr>
                      <w:vertAlign w:val="superscript"/>
                    </w:rPr>
                    <w:t xml:space="preserve">2</w:t>
                  </w:r>
                  <w:r>
                    <w:t xml:space="preserve"> </w:t>
                  </w:r>
                  <w:r>
                    <w:t xml:space="preserve">and 95% Confidence Intervals</w:t>
                  </w:r>
                </w:p>
              </w:tc>
            </w:tr>
            <w:tr>
              <w:tc>
                <w:tcPr>
                  <w:gridSpan w:val="6"/>
                </w:tcPr>
                <w:p>
                  <w:pPr>
                    <w:pStyle w:val="Compact"/>
                    <w:jc w:val="center"/>
                    <w:jc w:val="center"/>
                  </w:pPr>
                  <w:r>
                    <w:rPr>
                      <w:vertAlign w:val="superscript"/>
                    </w:rPr>
                    <w:t xml:space="preserve">**</w:t>
                  </w:r>
                  <w:r>
                    <w:t xml:space="preserve"> </w:t>
                  </w:r>
                  <w:r>
                    <w:t xml:space="preserve">Mean square error and 95% Confidence Intervals</w:t>
                  </w:r>
                </w:p>
              </w:tc>
            </w:tr>
          </w:tbl>
          <w:bookmarkEnd w:id="40"/>
          <w:p/>
        </w:tc>
      </w:tr>
    </w:tbl>
    <w:p>
      <w:pPr>
        <w:pStyle w:val="TextBody"/>
      </w:pPr>
      <w:r>
        <w:rPr>
          <w:vertAlign w:val="subscript"/>
        </w:rPr>
        <w:t xml:space="preserve">Source:</w:t>
      </w:r>
      <w:r>
        <w:rPr>
          <w:vertAlign w:val="subscript"/>
        </w:rPr>
        <w:t xml:space="preserve"> </w:t>
      </w:r>
      <w:hyperlink r:id="rId41">
        <w:r>
          <w:rPr>
            <w:rStyle w:val="InternetLink"/>
            <w:vertAlign w:val="subscript"/>
          </w:rPr>
          <w:t xml:space="preserve">Random Forest summary</w:t>
        </w:r>
      </w:hyperlink>
    </w:p>
    <w:tbl>
      <w:tblPr>
        <w:tblStyle w:val="Table"/>
        <w:tblW w:type="pct" w:w="5000"/>
        <w:tblLayout w:type="fixed"/>
        <w:tblLook w:firstRow="0" w:lastRow="0" w:firstColumn="0" w:lastColumn="0" w:noHBand="0" w:noVBand="0" w:val="0000"/>
      </w:tblPr>
      <w:tblGrid>
        <w:gridCol w:w="7920"/>
      </w:tblGrid>
      <w:tr>
        <w:tc>
          <w:tcPr/>
          <w:bookmarkStart w:id="45" w:name="fig-rf-results"/>
          <w:p>
            <w:pPr>
              <w:pStyle w:val="Compact"/>
              <w:jc w:val="center"/>
            </w:pPr>
            <w:r>
              <w:drawing>
                <wp:inline>
                  <wp:extent cx="5943600" cy="4245428"/>
                  <wp:effectExtent b="0" l="0" r="0" t="0"/>
                  <wp:docPr descr="" title="" id="43" name="Picture"/>
                  <a:graphic>
                    <a:graphicData uri="http://schemas.openxmlformats.org/drawingml/2006/picture">
                      <pic:pic>
                        <pic:nvPicPr>
                          <pic:cNvPr descr="index_files/figure-docx/notebooks-RF_summary-fig-rf-results-output-1.png" id="44" name="Picture"/>
                          <pic:cNvPicPr>
                            <a:picLocks noChangeArrowheads="1" noChangeAspect="1"/>
                          </pic:cNvPicPr>
                        </pic:nvPicPr>
                        <pic:blipFill>
                          <a:blip r:embed="rId42"/>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Heat map of the Random Forest regression results showing the ranking of the importance of terrain attributes (based on % increase in Mean Squared Error) in explaining the spatial variability of colour and geochemical properties within the agricultural and forested sites. Top panel shows an average ranking for each site and across both sites.</w:t>
            </w:r>
          </w:p>
          <w:bookmarkEnd w:id="45"/>
        </w:tc>
      </w:tr>
    </w:tbl>
    <w:p>
      <w:pPr>
        <w:pStyle w:val="TextBody"/>
      </w:pPr>
      <w:r>
        <w:rPr>
          <w:vertAlign w:val="subscript"/>
        </w:rPr>
        <w:t xml:space="preserve">Source:</w:t>
      </w:r>
      <w:r>
        <w:rPr>
          <w:vertAlign w:val="subscript"/>
        </w:rPr>
        <w:t xml:space="preserve"> </w:t>
      </w:r>
      <w:hyperlink r:id="rId46">
        <w:r>
          <w:rPr>
            <w:rStyle w:val="InternetLink"/>
            <w:vertAlign w:val="subscript"/>
          </w:rPr>
          <w:t xml:space="preserve">Random Forest summary</w:t>
        </w:r>
      </w:hyperlink>
    </w:p>
    <w:p>
      <w:pPr>
        <w:pStyle w:val="TextBody"/>
      </w:pPr>
      <w:r>
        <w:t xml:space="preserve">Overall the RF regression analysis at the forested site demonstrated poor explanatory power and low performance (</w:t>
      </w:r>
      <w:hyperlink w:anchor="tbl-rf-summary">
        <w:r>
          <w:rPr>
            <w:rStyle w:val="InternetLink"/>
          </w:rPr>
          <w:t xml:space="preserve">Table 5</w:t>
        </w:r>
      </w:hyperlink>
      <w:r>
        <w:t xml:space="preserve">). The RF models for Ca, Nb, and Sr explained a moderate proportion of variance. Similar to Li at the agricultural site, all other soil properties demonstrated that the average value was a better predictor. Model performance was also poor with all r</w:t>
      </w:r>
      <w:r>
        <w:rPr>
          <w:vertAlign w:val="superscript"/>
        </w:rPr>
        <w:t xml:space="preserve">2</w:t>
      </w:r>
      <w:r>
        <w:t xml:space="preserve"> </w:t>
      </w:r>
      <w:r>
        <w:t xml:space="preserve">values below 0.2. The variable importance stability for the top three predictors was moderate (</w:t>
      </w:r>
      <w:hyperlink w:anchor="tbl-rf-summary">
        <w:r>
          <w:rPr>
            <w:rStyle w:val="InternetLink"/>
          </w:rPr>
          <w:t xml:space="preserve">Table 5</w:t>
        </w:r>
      </w:hyperlink>
      <w:r>
        <w:t xml:space="preserve">), indicating a reasonable consistent ranking across model runs. The importance ranking varied considerably between soil properties; however, the vertical distance to channel and elevations were generally the most important terrain attributes in the model (</w:t>
      </w:r>
      <w:hyperlink w:anchor="fig-rf-results">
        <w:r>
          <w:rPr>
            <w:rStyle w:val="InternetLink"/>
          </w:rPr>
          <w:t xml:space="preserve">Figure 4</w:t>
        </w:r>
      </w:hyperlink>
      <w:r>
        <w:t xml:space="preserve">).</w:t>
      </w:r>
    </w:p>
    <w:p>
      <w:pPr>
        <w:pStyle w:val="TextBody"/>
      </w:pPr>
      <w:r>
        <w:t xml:space="preserve">Unsupervised random forest regression and hierarchical clustering were used to classify sites. At the agricultural site, using using Ward’s method the elbow method failed to produce a optimal number of clusters as there was no bend/elbow in the relationship between the within-cluster sum of squares and the number of clusters (</w:t>
      </w:r>
      <w:hyperlink w:anchor="suppfig-cluster_summary">
        <w:r>
          <w:rPr>
            <w:rStyle w:val="InternetLink"/>
          </w:rPr>
          <w:t xml:space="preserve">Figure S3</w:t>
        </w:r>
      </w:hyperlink>
      <w:r>
        <w:t xml:space="preserve">). Splitting the data into two clusters provided the most cohorent map where it was able to identify an observed landscape feature, an areas where water accumulates in the field and is routed toward the adjacent ditch (</w:t>
      </w:r>
      <w:hyperlink w:anchor="fig-cluster">
        <w:r>
          <w:rPr>
            <w:rStyle w:val="InternetLink"/>
          </w:rPr>
          <w:t xml:space="preserve">Figure 5</w:t>
        </w:r>
      </w:hyperlink>
      <w:r>
        <w:t xml:space="preserve">). At the forested site, using the unweighted pair group method with arithmetic mean (UPGMA) the elbow method clearly identify three clusters as the optimum number (</w:t>
      </w:r>
      <w:hyperlink w:anchor="suppfig-cluster_summary">
        <w:r>
          <w:rPr>
            <w:rStyle w:val="InternetLink"/>
          </w:rPr>
          <w:t xml:space="preserve">Figure S3</w:t>
        </w:r>
      </w:hyperlink>
      <w:r>
        <w:t xml:space="preserve">). Here the pattern is less clear but the clusters seem to distinguish the channel environment, areas adjacent to the channel/depressional areas, and the surrounding upland zones (</w:t>
      </w:r>
      <w:hyperlink w:anchor="fig-cluster">
        <w:r>
          <w:rPr>
            <w:rStyle w:val="InternetLink"/>
          </w:rPr>
          <w:t xml:space="preserve">Figure 5</w:t>
        </w:r>
      </w:hyperlink>
      <w:r>
        <w:t xml:space="preserve">). Cluster-level means and standard deviations of the terrain attributes are reported in</w:t>
      </w:r>
      <w:r>
        <w:t xml:space="preserve"> </w:t>
      </w:r>
      <w:hyperlink w:anchor="tbl-cluster-summary">
        <w:r>
          <w:rPr>
            <w:rStyle w:val="InternetLink"/>
          </w:rPr>
          <w:t xml:space="preserve">Table 6</w:t>
        </w:r>
      </w:hyperlink>
      <w:r>
        <w:t xml:space="preserve">. Most attributes differed among clusters and are generally consistent with their geomorphic interpretation, although profile and plan curvature showed no difference between clusters. Overall, the MDS plots showed considerable overlap among clusters at both sites (</w:t>
      </w:r>
      <w:hyperlink w:anchor="fig-cluster">
        <w:r>
          <w:rPr>
            <w:rStyle w:val="Internet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cluster"/>
          <w:p>
            <w:pPr>
              <w:pStyle w:val="Compact"/>
              <w:jc w:val="center"/>
            </w:pPr>
            <w:r>
              <w:drawing>
                <wp:inline>
                  <wp:extent cx="5943600" cy="4245428"/>
                  <wp:effectExtent b="0" l="0" r="0" t="0"/>
                  <wp:docPr descr="" title="" id="48" name="Picture"/>
                  <a:graphic>
                    <a:graphicData uri="http://schemas.openxmlformats.org/drawingml/2006/picture">
                      <pic:pic>
                        <pic:nvPicPr>
                          <pic:cNvPr descr="index_files/figure-docx/notebooks-clustering_analysis-fig-cluster-output-1.png" id="49" name="Picture"/>
                          <pic:cNvPicPr>
                            <a:picLocks noChangeArrowheads="1" noChangeAspect="1"/>
                          </pic:cNvPicPr>
                        </pic:nvPicPr>
                        <pic:blipFill>
                          <a:blip r:embed="rId47"/>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Maps and MDS plots demonstrating the clustering analysis of terrain attributes for the forest site (a, b) and the agricultural site (c, d).</w:t>
            </w:r>
          </w:p>
          <w:bookmarkEnd w:id="50"/>
        </w:tc>
      </w:tr>
    </w:tbl>
    <w:p>
      <w:pPr>
        <w:pStyle w:val="TextBody"/>
      </w:pPr>
      <w:r>
        <w:rPr>
          <w:vertAlign w:val="subscript"/>
        </w:rPr>
        <w:t xml:space="preserve">Source:</w:t>
      </w:r>
      <w:r>
        <w:rPr>
          <w:vertAlign w:val="subscript"/>
        </w:rPr>
        <w:t xml:space="preserve"> </w:t>
      </w:r>
      <w:hyperlink r:id="rId51">
        <w:r>
          <w:rPr>
            <w:rStyle w:val="InternetLink"/>
            <w:vertAlign w:val="subscript"/>
          </w:rPr>
          <w:t xml:space="preserve">Clustering analysis</w:t>
        </w:r>
      </w:hyperlink>
    </w:p>
    <w:tbl>
      <w:tblPr>
        <w:tblStyle w:val="Table"/>
        <w:tblW w:type="pct" w:w="5000"/>
        <w:tblLayout w:type="fixed"/>
        <w:tblLook w:firstRow="0" w:lastRow="0" w:firstColumn="0" w:lastColumn="0" w:noHBand="0" w:noVBand="0" w:val="0000"/>
      </w:tblPr>
      <w:tblGrid>
        <w:gridCol w:w="7920"/>
      </w:tblGrid>
      <w:tr>
        <w:tc>
          <w:tcPr/>
          <w:bookmarkStart w:id="52" w:name="tbl-cluster-summary"/>
          <w:p>
            <w:pPr>
              <w:jc w:val="center"/>
            </w:pPr>
            <w:pPr>
              <w:jc w:val="left"/>
              <w:spacing w:before="200"/>
              <w:pStyle w:val="ImageCaption"/>
            </w:pPr>
            <w:r>
              <w:t xml:space="preserve">Table 6: Summary of terrain attributes by land-use cluster. Each value is the cluster mean, with the standard deviation given in parentheses.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Pr>
                <w:p>
                  <w:pPr>
                    <w:pStyle w:val="Compact"/>
                    <w:jc w:val="left"/>
                    <w:jc w:val="center"/>
                  </w:pPr>
                  <w:r>
                    <w:t xml:space="preserve">Attribute</w:t>
                  </w:r>
                </w:p>
              </w:tc>
              <w:tc>
                <w:tcPr>
                  <w:gridSpan w:val="3"/>
                </w:tcPr>
                <w:p>
                  <w:pPr>
                    <w:pStyle w:val="Compact"/>
                    <w:jc w:val="center"/>
                    <w:jc w:val="center"/>
                  </w:pPr>
                  <w:r>
                    <w:t xml:space="preserve">Cluster</w:t>
                  </w:r>
                </w:p>
              </w:tc>
            </w:tr>
            <w:tr>
              <w:trPr>
                <w:tblHeader w:val="on"/>
              </w:trPr>
              <w:tc>
                <w:tcPr>
                  <w:gridSpan w:val="1"/>
                  <w:vMerge w:val="continue"/>
                </w:tcPr>
                <w:p>
                  <w:pPr/>
                </w:p>
              </w:tc>
              <w:tc>
                <w:tcPr/>
                <w:p>
                  <w:pPr>
                    <w:pStyle w:val="Compact"/>
                    <w:jc w:val="left"/>
                    <w:jc w:val="center"/>
                  </w:pPr>
                  <w:r>
                    <w:t xml:space="preserve">1</w:t>
                  </w:r>
                </w:p>
              </w:tc>
              <w:tc>
                <w:tcPr/>
                <w:p>
                  <w:pPr>
                    <w:pStyle w:val="Compact"/>
                    <w:jc w:val="left"/>
                    <w:jc w:val="center"/>
                  </w:pPr>
                  <w:r>
                    <w:t xml:space="preserve">2</w:t>
                  </w:r>
                </w:p>
              </w:tc>
              <w:tc>
                <w:tcPr/>
                <w:p>
                  <w:pPr>
                    <w:pStyle w:val="Compact"/>
                    <w:jc w:val="left"/>
                    <w:jc w:val="center"/>
                  </w:pPr>
                  <w:r>
                    <w:t xml:space="preserve">3</w:t>
                  </w:r>
                </w:p>
              </w:tc>
            </w:tr>
            <w:tr>
              <w:tc>
                <w:tcPr>
                  <w:gridSpan w:val="4"/>
                </w:tcPr>
                <w:p>
                  <w:pPr>
                    <w:pStyle w:val="Compact"/>
                    <w:jc w:val="center"/>
                    <w:jc w:val="center"/>
                  </w:pPr>
                  <w:r>
                    <w:t xml:space="preserve">Agriculture</w:t>
                  </w:r>
                </w:p>
              </w:tc>
            </w:tr>
            <w:tr>
              <w:tc>
                <w:tcPr/>
                <w:p>
                  <w:pPr>
                    <w:pStyle w:val="Compact"/>
                    <w:jc w:val="left"/>
                    <w:jc w:val="center"/>
                  </w:pPr>
                  <w:r>
                    <w:t xml:space="preserve">Elevation</w:t>
                  </w:r>
                </w:p>
              </w:tc>
              <w:tc>
                <w:tcPr/>
                <w:p>
                  <w:pPr>
                    <w:pStyle w:val="Compact"/>
                    <w:jc w:val="left"/>
                    <w:jc w:val="center"/>
                  </w:pPr>
                  <w:r>
                    <w:t xml:space="preserve">310.0 (0.6)</w:t>
                  </w:r>
                </w:p>
              </w:tc>
              <w:tc>
                <w:tcPr/>
                <w:p>
                  <w:pPr>
                    <w:pStyle w:val="Compact"/>
                    <w:jc w:val="left"/>
                    <w:jc w:val="center"/>
                  </w:pPr>
                  <w:r>
                    <w:t xml:space="preserve">309.2 (0.1)</w:t>
                  </w:r>
                </w:p>
              </w:tc>
              <w:tc>
                <w:tcPr/>
                <w:p>
                  <w:pPr>
                    <w:pStyle w:val="Compact"/>
                    <w:jc w:val="left"/>
                    <w:jc w:val="center"/>
                  </w:pPr>
                  <w:r>
                    <w:br/>
                  </w:r>
                </w:p>
              </w:tc>
            </w:tr>
            <w:tr>
              <w:tc>
                <w:tcPr/>
                <w:p>
                  <w:pPr>
                    <w:pStyle w:val="Compact"/>
                    <w:jc w:val="left"/>
                    <w:jc w:val="center"/>
                  </w:pPr>
                  <w:r>
                    <w:t xml:space="preserve">SAGA Wetness Index</w:t>
                  </w:r>
                </w:p>
              </w:tc>
              <w:tc>
                <w:tcPr/>
                <w:p>
                  <w:pPr>
                    <w:pStyle w:val="Compact"/>
                    <w:jc w:val="left"/>
                    <w:jc w:val="center"/>
                  </w:pPr>
                  <w:r>
                    <w:t xml:space="preserve">9.5 (0.6)</w:t>
                  </w:r>
                </w:p>
              </w:tc>
              <w:tc>
                <w:tcPr/>
                <w:p>
                  <w:pPr>
                    <w:pStyle w:val="Compact"/>
                    <w:jc w:val="left"/>
                    <w:jc w:val="center"/>
                  </w:pPr>
                  <w:r>
                    <w:t xml:space="preserve">10.6 (0.3)</w:t>
                  </w:r>
                </w:p>
              </w:tc>
              <w:tc>
                <w:tcPr/>
                <w:p>
                  <w:pPr>
                    <w:pStyle w:val="Compact"/>
                    <w:jc w:val="left"/>
                    <w:jc w:val="center"/>
                  </w:pPr>
                  <w:r>
                    <w:br/>
                  </w:r>
                </w:p>
              </w:tc>
            </w:tr>
            <w:tr>
              <w:tc>
                <w:tcPr/>
                <w:p>
                  <w:pPr>
                    <w:pStyle w:val="Compact"/>
                    <w:jc w:val="left"/>
                    <w:jc w:val="center"/>
                  </w:pPr>
                  <w:r>
                    <w:t xml:space="preserve">Rel. Slope Position</w:t>
                  </w:r>
                </w:p>
              </w:tc>
              <w:tc>
                <w:tcPr/>
                <w:p>
                  <w:pPr>
                    <w:pStyle w:val="Compact"/>
                    <w:jc w:val="left"/>
                    <w:jc w:val="center"/>
                  </w:pPr>
                  <w:r>
                    <w:t xml:space="preserve">0.8 (0.2)</w:t>
                  </w:r>
                </w:p>
              </w:tc>
              <w:tc>
                <w:tcPr/>
                <w:p>
                  <w:pPr>
                    <w:pStyle w:val="Compact"/>
                    <w:jc w:val="left"/>
                    <w:jc w:val="center"/>
                  </w:pPr>
                  <w:r>
                    <w:t xml:space="preserve">0.2 (0.2)</w:t>
                  </w:r>
                </w:p>
              </w:tc>
              <w:tc>
                <w:tcPr/>
                <w:p>
                  <w:pPr>
                    <w:pStyle w:val="Compact"/>
                    <w:jc w:val="left"/>
                    <w:jc w:val="center"/>
                  </w:pPr>
                  <w:r>
                    <w:br/>
                  </w:r>
                </w:p>
              </w:tc>
            </w:tr>
            <w:tr>
              <w:tc>
                <w:tcPr/>
                <w:p>
                  <w:pPr>
                    <w:pStyle w:val="Compact"/>
                    <w:jc w:val="left"/>
                    <w:jc w:val="center"/>
                  </w:pPr>
                  <w:r>
                    <w:t xml:space="preserve">Vert. Dist. Channel</w:t>
                  </w:r>
                </w:p>
              </w:tc>
              <w:tc>
                <w:tcPr/>
                <w:p>
                  <w:pPr>
                    <w:pStyle w:val="Compact"/>
                    <w:jc w:val="left"/>
                    <w:jc w:val="center"/>
                  </w:pPr>
                  <w:r>
                    <w:t xml:space="preserve">0.1 (0.0)</w:t>
                  </w:r>
                </w:p>
              </w:tc>
              <w:tc>
                <w:tcPr/>
                <w:p>
                  <w:pPr>
                    <w:pStyle w:val="Compact"/>
                    <w:jc w:val="left"/>
                    <w:jc w:val="center"/>
                  </w:pPr>
                  <w:r>
                    <w:t xml:space="preserve">0.0 (0.0)</w:t>
                  </w:r>
                </w:p>
              </w:tc>
              <w:tc>
                <w:tcPr/>
                <w:p>
                  <w:pPr>
                    <w:pStyle w:val="Compact"/>
                    <w:jc w:val="left"/>
                    <w:jc w:val="center"/>
                  </w:pPr>
                  <w:r>
                    <w:br/>
                  </w:r>
                </w:p>
              </w:tc>
            </w:tr>
            <w:tr>
              <w:tc>
                <w:tcPr/>
                <w:p>
                  <w:pPr>
                    <w:pStyle w:val="Compact"/>
                    <w:jc w:val="left"/>
                    <w:jc w:val="center"/>
                  </w:pPr>
                  <w:r>
                    <w:t xml:space="preserve">Catchment Area</w:t>
                  </w:r>
                </w:p>
              </w:tc>
              <w:tc>
                <w:tcPr/>
                <w:p>
                  <w:pPr>
                    <w:pStyle w:val="Compact"/>
                    <w:jc w:val="left"/>
                    <w:jc w:val="center"/>
                  </w:pPr>
                  <w:r>
                    <w:t xml:space="preserve">375.3 (728.4)</w:t>
                  </w:r>
                </w:p>
              </w:tc>
              <w:tc>
                <w:tcPr/>
                <w:p>
                  <w:pPr>
                    <w:pStyle w:val="Compact"/>
                    <w:jc w:val="left"/>
                    <w:jc w:val="center"/>
                  </w:pPr>
                  <w:r>
                    <w:t xml:space="preserve">1183.9 (1983.2)</w:t>
                  </w:r>
                </w:p>
              </w:tc>
              <w:tc>
                <w:tcPr/>
                <w:p>
                  <w:pPr>
                    <w:pStyle w:val="Compact"/>
                    <w:jc w:val="left"/>
                    <w:jc w:val="center"/>
                  </w:pPr>
                  <w:r>
                    <w:br/>
                  </w:r>
                </w:p>
              </w:tc>
            </w:tr>
            <w:tr>
              <w:tc>
                <w:tcPr/>
                <w:p>
                  <w:pPr>
                    <w:pStyle w:val="Compact"/>
                    <w:jc w:val="left"/>
                    <w:jc w:val="center"/>
                  </w:pPr>
                  <w:r>
                    <w:t xml:space="preserve">Profile Curvature</w:t>
                  </w:r>
                </w:p>
              </w:tc>
              <w:tc>
                <w:tcPr/>
                <w:p>
                  <w:pPr>
                    <w:pStyle w:val="Compact"/>
                    <w:jc w:val="left"/>
                    <w:jc w:val="center"/>
                  </w:pPr>
                  <w:r>
                    <w:t xml:space="preserve">-0.0 (0.0)</w:t>
                  </w:r>
                </w:p>
              </w:tc>
              <w:tc>
                <w:tcPr/>
                <w:p>
                  <w:pPr>
                    <w:pStyle w:val="Compact"/>
                    <w:jc w:val="left"/>
                    <w:jc w:val="center"/>
                  </w:pPr>
                  <w:r>
                    <w:t xml:space="preserve">-0.0 (0.0)</w:t>
                  </w:r>
                </w:p>
              </w:tc>
              <w:tc>
                <w:tcPr/>
                <w:p>
                  <w:pPr>
                    <w:pStyle w:val="Compact"/>
                    <w:jc w:val="left"/>
                    <w:jc w:val="center"/>
                  </w:pPr>
                  <w:r>
                    <w:br/>
                  </w:r>
                </w:p>
              </w:tc>
            </w:tr>
            <w:tr>
              <w:tc>
                <w:tcPr/>
                <w:p>
                  <w:pPr>
                    <w:pStyle w:val="Compact"/>
                    <w:jc w:val="left"/>
                    <w:jc w:val="center"/>
                  </w:pPr>
                  <w:r>
                    <w:t xml:space="preserve">Plan Curvature</w:t>
                  </w:r>
                </w:p>
              </w:tc>
              <w:tc>
                <w:tcPr/>
                <w:p>
                  <w:pPr>
                    <w:pStyle w:val="Compact"/>
                    <w:jc w:val="left"/>
                    <w:jc w:val="center"/>
                  </w:pPr>
                  <w:r>
                    <w:t xml:space="preserve">0.0 (0.0)</w:t>
                  </w:r>
                </w:p>
              </w:tc>
              <w:tc>
                <w:tcPr/>
                <w:p>
                  <w:pPr>
                    <w:pStyle w:val="Compact"/>
                    <w:jc w:val="left"/>
                    <w:jc w:val="center"/>
                  </w:pPr>
                  <w:r>
                    <w:t xml:space="preserve">-0.0 (0.0)</w:t>
                  </w:r>
                </w:p>
              </w:tc>
              <w:tc>
                <w:tcPr/>
                <w:p>
                  <w:pPr>
                    <w:pStyle w:val="Compact"/>
                    <w:jc w:val="left"/>
                    <w:jc w:val="center"/>
                  </w:pPr>
                  <w:r>
                    <w:br/>
                  </w:r>
                </w:p>
              </w:tc>
            </w:tr>
            <w:tr>
              <w:tc>
                <w:tcPr>
                  <w:gridSpan w:val="4"/>
                </w:tcPr>
                <w:p>
                  <w:pPr>
                    <w:pStyle w:val="Compact"/>
                    <w:jc w:val="center"/>
                    <w:jc w:val="center"/>
                  </w:pPr>
                  <w:r>
                    <w:t xml:space="preserve">Forest</w:t>
                  </w:r>
                </w:p>
              </w:tc>
            </w:tr>
            <w:tr>
              <w:tc>
                <w:tcPr/>
                <w:p>
                  <w:pPr>
                    <w:pStyle w:val="Compact"/>
                    <w:jc w:val="left"/>
                    <w:jc w:val="center"/>
                  </w:pPr>
                  <w:r>
                    <w:t xml:space="preserve">Elevation</w:t>
                  </w:r>
                </w:p>
              </w:tc>
              <w:tc>
                <w:tcPr/>
                <w:p>
                  <w:pPr>
                    <w:pStyle w:val="Compact"/>
                    <w:jc w:val="left"/>
                    <w:jc w:val="center"/>
                  </w:pPr>
                  <w:r>
                    <w:t xml:space="preserve">369.4 (2.5)</w:t>
                  </w:r>
                </w:p>
              </w:tc>
              <w:tc>
                <w:tcPr/>
                <w:p>
                  <w:pPr>
                    <w:pStyle w:val="Compact"/>
                    <w:jc w:val="left"/>
                    <w:jc w:val="center"/>
                  </w:pPr>
                  <w:r>
                    <w:t xml:space="preserve">369.9 (3.3)</w:t>
                  </w:r>
                </w:p>
              </w:tc>
              <w:tc>
                <w:tcPr/>
                <w:p>
                  <w:pPr>
                    <w:pStyle w:val="Compact"/>
                    <w:jc w:val="left"/>
                    <w:jc w:val="center"/>
                  </w:pPr>
                  <w:r>
                    <w:t xml:space="preserve">367.1 (4.4)</w:t>
                  </w:r>
                </w:p>
              </w:tc>
            </w:tr>
            <w:tr>
              <w:tc>
                <w:tcPr/>
                <w:p>
                  <w:pPr>
                    <w:pStyle w:val="Compact"/>
                    <w:jc w:val="left"/>
                    <w:jc w:val="center"/>
                  </w:pPr>
                  <w:r>
                    <w:t xml:space="preserve">SAGA Wetness Index</w:t>
                  </w:r>
                </w:p>
              </w:tc>
              <w:tc>
                <w:tcPr/>
                <w:p>
                  <w:pPr>
                    <w:pStyle w:val="Compact"/>
                    <w:jc w:val="left"/>
                    <w:jc w:val="center"/>
                  </w:pPr>
                  <w:r>
                    <w:t xml:space="preserve">6.7 (0.6)</w:t>
                  </w:r>
                </w:p>
              </w:tc>
              <w:tc>
                <w:tcPr/>
                <w:p>
                  <w:pPr>
                    <w:pStyle w:val="Compact"/>
                    <w:jc w:val="left"/>
                    <w:jc w:val="center"/>
                  </w:pPr>
                  <w:r>
                    <w:t xml:space="preserve">5.5 (0.9)</w:t>
                  </w:r>
                </w:p>
              </w:tc>
              <w:tc>
                <w:tcPr/>
                <w:p>
                  <w:pPr>
                    <w:pStyle w:val="Compact"/>
                    <w:jc w:val="left"/>
                    <w:jc w:val="center"/>
                  </w:pPr>
                  <w:r>
                    <w:t xml:space="preserve">5.2 (0.9)</w:t>
                  </w:r>
                </w:p>
              </w:tc>
            </w:tr>
            <w:tr>
              <w:tc>
                <w:tcPr/>
                <w:p>
                  <w:pPr>
                    <w:pStyle w:val="Compact"/>
                    <w:jc w:val="left"/>
                    <w:jc w:val="center"/>
                  </w:pPr>
                  <w:r>
                    <w:t xml:space="preserve">Rel. Slope Position</w:t>
                  </w:r>
                </w:p>
              </w:tc>
              <w:tc>
                <w:tcPr/>
                <w:p>
                  <w:pPr>
                    <w:pStyle w:val="Compact"/>
                    <w:jc w:val="left"/>
                    <w:jc w:val="center"/>
                  </w:pPr>
                  <w:r>
                    <w:t xml:space="preserve">0.1 (0.1)</w:t>
                  </w:r>
                </w:p>
              </w:tc>
              <w:tc>
                <w:tcPr/>
                <w:p>
                  <w:pPr>
                    <w:pStyle w:val="Compact"/>
                    <w:jc w:val="left"/>
                    <w:jc w:val="center"/>
                  </w:pPr>
                  <w:r>
                    <w:t xml:space="preserve">0.4 (0.3)</w:t>
                  </w:r>
                </w:p>
              </w:tc>
              <w:tc>
                <w:tcPr/>
                <w:p>
                  <w:pPr>
                    <w:pStyle w:val="Compact"/>
                    <w:jc w:val="left"/>
                    <w:jc w:val="center"/>
                  </w:pPr>
                  <w:r>
                    <w:t xml:space="preserve">0.1 (0.1)</w:t>
                  </w:r>
                </w:p>
              </w:tc>
            </w:tr>
            <w:tr>
              <w:tc>
                <w:tcPr/>
                <w:p>
                  <w:pPr>
                    <w:pStyle w:val="Compact"/>
                    <w:jc w:val="left"/>
                    <w:jc w:val="center"/>
                  </w:pPr>
                  <w:r>
                    <w:t xml:space="preserve">Vert. Dist. Channel</w:t>
                  </w:r>
                </w:p>
              </w:tc>
              <w:tc>
                <w:tcPr/>
                <w:p>
                  <w:pPr>
                    <w:pStyle w:val="Compact"/>
                    <w:jc w:val="left"/>
                    <w:jc w:val="center"/>
                  </w:pPr>
                  <w:r>
                    <w:t xml:space="preserve">0.1 (0.1)</w:t>
                  </w:r>
                </w:p>
              </w:tc>
              <w:tc>
                <w:tcPr/>
                <w:p>
                  <w:pPr>
                    <w:pStyle w:val="Compact"/>
                    <w:jc w:val="left"/>
                    <w:jc w:val="center"/>
                  </w:pPr>
                  <w:r>
                    <w:t xml:space="preserve">0.7 (0.5)</w:t>
                  </w:r>
                </w:p>
              </w:tc>
              <w:tc>
                <w:tcPr/>
                <w:p>
                  <w:pPr>
                    <w:pStyle w:val="Compact"/>
                    <w:jc w:val="left"/>
                    <w:jc w:val="center"/>
                  </w:pPr>
                  <w:r>
                    <w:t xml:space="preserve">0.5 (0.3)</w:t>
                  </w:r>
                </w:p>
              </w:tc>
            </w:tr>
            <w:tr>
              <w:tc>
                <w:tcPr/>
                <w:p>
                  <w:pPr>
                    <w:pStyle w:val="Compact"/>
                    <w:jc w:val="left"/>
                    <w:jc w:val="center"/>
                  </w:pPr>
                  <w:r>
                    <w:t xml:space="preserve">Catchment Area</w:t>
                  </w:r>
                </w:p>
              </w:tc>
              <w:tc>
                <w:tcPr/>
                <w:p>
                  <w:pPr>
                    <w:pStyle w:val="Compact"/>
                    <w:jc w:val="left"/>
                    <w:jc w:val="center"/>
                  </w:pPr>
                  <w:r>
                    <w:t xml:space="preserve">252.3 (425.3)</w:t>
                  </w:r>
                </w:p>
              </w:tc>
              <w:tc>
                <w:tcPr/>
                <w:p>
                  <w:pPr>
                    <w:pStyle w:val="Compact"/>
                    <w:jc w:val="left"/>
                    <w:jc w:val="center"/>
                  </w:pPr>
                  <w:r>
                    <w:t xml:space="preserve">147.1 (520.5)</w:t>
                  </w:r>
                </w:p>
              </w:tc>
              <w:tc>
                <w:tcPr/>
                <w:p>
                  <w:pPr>
                    <w:pStyle w:val="Compact"/>
                    <w:jc w:val="left"/>
                    <w:jc w:val="center"/>
                  </w:pPr>
                  <w:r>
                    <w:t xml:space="preserve">2571.6 (4255.4)</w:t>
                  </w:r>
                </w:p>
              </w:tc>
            </w:tr>
            <w:tr>
              <w:tc>
                <w:tcPr/>
                <w:p>
                  <w:pPr>
                    <w:pStyle w:val="Compact"/>
                    <w:jc w:val="left"/>
                    <w:jc w:val="center"/>
                  </w:pPr>
                  <w:r>
                    <w:t xml:space="preserve">Profile Curvature</w:t>
                  </w:r>
                </w:p>
              </w:tc>
              <w:tc>
                <w:tcPr/>
                <w:p>
                  <w:pPr>
                    <w:pStyle w:val="Compact"/>
                    <w:jc w:val="left"/>
                    <w:jc w:val="center"/>
                  </w:pPr>
                  <w:r>
                    <w:t xml:space="preserve">-0.0 (0.0)</w:t>
                  </w:r>
                </w:p>
              </w:tc>
              <w:tc>
                <w:tcPr/>
                <w:p>
                  <w:pPr>
                    <w:pStyle w:val="Compact"/>
                    <w:jc w:val="left"/>
                    <w:jc w:val="center"/>
                  </w:pPr>
                  <w:r>
                    <w:t xml:space="preserve">0.0 (0.0)</w:t>
                  </w:r>
                </w:p>
              </w:tc>
              <w:tc>
                <w:tcPr/>
                <w:p>
                  <w:pPr>
                    <w:pStyle w:val="Compact"/>
                    <w:jc w:val="left"/>
                    <w:jc w:val="center"/>
                  </w:pPr>
                  <w:r>
                    <w:t xml:space="preserve">-0.0 (0.0)</w:t>
                  </w:r>
                </w:p>
              </w:tc>
            </w:tr>
            <w:tr>
              <w:tc>
                <w:tcPr/>
                <w:p>
                  <w:pPr>
                    <w:pStyle w:val="Compact"/>
                    <w:jc w:val="left"/>
                    <w:jc w:val="center"/>
                  </w:pPr>
                  <w:r>
                    <w:t xml:space="preserve">Plan Curvature</w:t>
                  </w:r>
                </w:p>
              </w:tc>
              <w:tc>
                <w:tcPr/>
                <w:p>
                  <w:pPr>
                    <w:pStyle w:val="Compact"/>
                    <w:jc w:val="left"/>
                    <w:jc w:val="center"/>
                  </w:pPr>
                  <w:r>
                    <w:t xml:space="preserve">-0.0 (0.0)</w:t>
                  </w:r>
                </w:p>
              </w:tc>
              <w:tc>
                <w:tcPr/>
                <w:p>
                  <w:pPr>
                    <w:pStyle w:val="Compact"/>
                    <w:jc w:val="left"/>
                    <w:jc w:val="center"/>
                  </w:pPr>
                  <w:r>
                    <w:t xml:space="preserve">0.0 (0.0)</w:t>
                  </w:r>
                </w:p>
              </w:tc>
              <w:tc>
                <w:tcPr/>
                <w:p>
                  <w:pPr>
                    <w:pStyle w:val="Compact"/>
                    <w:jc w:val="left"/>
                    <w:jc w:val="center"/>
                  </w:pPr>
                  <w:r>
                    <w:t xml:space="preserve">0.0 (0.0)</w:t>
                  </w:r>
                </w:p>
              </w:tc>
            </w:tr>
          </w:tbl>
          <w:bookmarkEnd w:id="52"/>
          <w:p/>
        </w:tc>
      </w:tr>
    </w:tbl>
    <w:p>
      <w:pPr>
        <w:pStyle w:val="TextBody"/>
      </w:pPr>
      <w:r>
        <w:rPr>
          <w:vertAlign w:val="subscript"/>
        </w:rPr>
        <w:t xml:space="preserve">Source:</w:t>
      </w:r>
      <w:r>
        <w:rPr>
          <w:vertAlign w:val="subscript"/>
        </w:rPr>
        <w:t xml:space="preserve"> </w:t>
      </w:r>
      <w:hyperlink r:id="rId53">
        <w:r>
          <w:rPr>
            <w:rStyle w:val="InternetLink"/>
            <w:vertAlign w:val="subscript"/>
          </w:rPr>
          <w:t xml:space="preserve">Clustering analysis</w:t>
        </w:r>
      </w:hyperlink>
    </w:p>
    <w:bookmarkEnd w:id="54"/>
    <w:bookmarkEnd w:id="55"/>
    <w:bookmarkStart w:id="59" w:name="discussion"/>
    <w:p>
      <w:pPr>
        <w:pStyle w:val="Heading2"/>
      </w:pPr>
      <w:r>
        <w:t xml:space="preserve">4 Discussion</w:t>
      </w:r>
    </w:p>
    <w:bookmarkStart w:id="56" w:name="spatial-variability-of-soil-properties"/>
    <w:p>
      <w:pPr>
        <w:pStyle w:val="Heading3"/>
      </w:pPr>
      <w:r>
        <w:t xml:space="preserve">4.1 Spatial variability of soil properties</w:t>
      </w:r>
    </w:p>
    <w:p>
      <w:pPr>
        <w:pStyle w:val="FirstParagraph"/>
      </w:pPr>
      <w:r>
        <w:t xml:space="preserve">Within-source variability affects both the extent to which sources can be differentiated and the uncertainty associated with the source apportionment results. The symmetry and variability of the data distributions differ between the colour coefficients and the geochemical concentrations. Soil colour coefficients (a</w:t>
      </w:r>
      <w:r>
        <w:rPr>
          <w:i/>
          <w:iCs/>
        </w:rPr>
        <w:t xml:space="preserve">, b</w:t>
      </w:r>
      <w:r>
        <w:t xml:space="preserve">, c</w:t>
      </w:r>
      <w:r>
        <w:rPr>
          <w:i/>
          <w:iCs/>
        </w:rPr>
        <w:t xml:space="preserve">, h</w:t>
      </w:r>
      <w:r>
        <w:t xml:space="preserve">, x) exhibited near-normal distributions with low coefficients of variation (Table 1), which reduces the variance contributed by each source and satisfies the normality assumption commonly required by mixing models without the need for transformation. These results are also consistent with the low CVs reported for soil hue and value in the Munsell system</w:t>
      </w:r>
      <w:r>
        <w:t xml:space="preserve"> </w:t>
      </w:r>
      <w:r>
        <w:t xml:space="preserve">(</w:t>
      </w:r>
      <w:hyperlink w:anchor="ref-pennock2008">
        <w:r>
          <w:rPr>
            <w:rStyle w:val="InternetLink"/>
          </w:rPr>
          <w:t xml:space="preserve">Pennock et al., 2008</w:t>
        </w:r>
      </w:hyperlink>
      <w:r>
        <w:t xml:space="preserve">)</w:t>
      </w:r>
      <w:r>
        <w:t xml:space="preserve">. The geochemical properties exhibited greater variability and skewness than the colour coefficients despite removal of the sand fraction (&gt;63 μm), a standard practice that reduces grain-size effects, and the resulting variability was likely lower than in bulk soil. Positively skewed distributions are common in soil geochemistry, reflecting the zero-bounded nature of the data and the influence of localized hot spots of soil processes</w:t>
      </w:r>
      <w:r>
        <w:t xml:space="preserve"> </w:t>
      </w:r>
      <w:r>
        <w:t xml:space="preserve">(</w:t>
      </w:r>
      <w:hyperlink w:anchor="ref-vidon2010">
        <w:r>
          <w:rPr>
            <w:rStyle w:val="InternetLink"/>
          </w:rPr>
          <w:t xml:space="preserve">Vidon et al., 2010</w:t>
        </w:r>
      </w:hyperlink>
      <w:r>
        <w:t xml:space="preserve">)</w:t>
      </w:r>
      <w:r>
        <w:t xml:space="preserve">. The within-source variability differed between the two sites, with the forested site showing the greatest variability, which is attributed to its more complex topography and geomorphic setting. The floodplain within this site likely accumulates shale-rich material derived from the Manitoba Escarpment, which is enriched in trace metals</w:t>
      </w:r>
      <w:r>
        <w:t xml:space="preserve"> </w:t>
      </w:r>
      <w:r>
        <w:t xml:space="preserve">(</w:t>
      </w:r>
      <w:hyperlink w:anchor="ref-nicolas2011">
        <w:r>
          <w:rPr>
            <w:rStyle w:val="InternetLink"/>
          </w:rPr>
          <w:t xml:space="preserve">Nicolas and Bamburak, 2011</w:t>
        </w:r>
      </w:hyperlink>
      <w:r>
        <w:t xml:space="preserve">)</w:t>
      </w:r>
      <w:r>
        <w:t xml:space="preserve">, producing a zone of elevated concentrations relative to upland areas (Figure 3) and likely a source of the positive skew. The forested site also had a higher and more variable soil organic matter content (x̄ = 11.6 %, CV = 51.9 %) than the agricultural site (x̄ = 8.5 %, CV = 16.1 %). As with grain size, organic matter can influence the concentration of many major and trace elements</w:t>
      </w:r>
      <w:r>
        <w:t xml:space="preserve"> </w:t>
      </w:r>
      <w:r>
        <w:t xml:space="preserve">(</w:t>
      </w:r>
      <w:hyperlink w:anchor="ref-horowitz1991">
        <w:r>
          <w:rPr>
            <w:rStyle w:val="InternetLink"/>
          </w:rPr>
          <w:t xml:space="preserve">Horowitz, 1991</w:t>
        </w:r>
      </w:hyperlink>
      <w:r>
        <w:t xml:space="preserve">)</w:t>
      </w:r>
      <w:r>
        <w:t xml:space="preserve">. Together, these results indicate that land use and landscape complexity drive soil property variability.</w:t>
      </w:r>
    </w:p>
    <w:p>
      <w:pPr>
        <w:pStyle w:val="TextBody"/>
      </w:pPr>
      <w:r>
        <w:t xml:space="preserve">This variability is spatially structured, and the degree of that structure differs between the two sites. The difference in the number of soil properties and the magnitude of the spatial autocorrelation between the two sites can be used in designing an effective sampling campaign. The agricultural site, where the topography is simpler spatial autocorrelation is stronger, grid sampling with spacing on the order of the semivariogram range (∼200–220 m) is adequate for mapping. In contrast, a stratified sampling design is recommended at the forested site, which has a more complex geomorphic setting and a weaker spatial autocorrelation and, the stratas could include near-stream and hillslope environments (</w:t>
      </w:r>
      <w:hyperlink w:anchor="fig-cluster">
        <w:r>
          <w:rPr>
            <w:rStyle w:val="InternetLink"/>
          </w:rPr>
          <w:t xml:space="preserve">Figure 5</w:t>
        </w:r>
      </w:hyperlink>
      <w:r>
        <w:t xml:space="preserve">). When the spatial distribution of soil properties is unknown, often the case in fingerprinting studies, it is recommended that sampling include irregularly spaced points (including &lt;100 m) to better resolve short-range structure. This is important for improving variogram modeling and kriging interpolation</w:t>
      </w:r>
      <w:r>
        <w:t xml:space="preserve"> </w:t>
      </w:r>
      <w:r>
        <w:t xml:space="preserve">(</w:t>
      </w:r>
      <w:hyperlink w:anchor="ref-lark2018">
        <w:r>
          <w:rPr>
            <w:rStyle w:val="InternetLink"/>
          </w:rPr>
          <w:t xml:space="preserve">Lark and Marchant, 2018</w:t>
        </w:r>
      </w:hyperlink>
      <w:r>
        <w:t xml:space="preserve">)</w:t>
      </w:r>
      <w:r>
        <w:t xml:space="preserve">. Properties lacking spatial autocorrelation at the forest site (Fe, Rb,</w:t>
      </w:r>
      <w:r>
        <w:t xml:space="preserve"> </w:t>
      </w:r>
      <w:r>
        <w:rPr>
          <w:i/>
          <w:iCs/>
        </w:rPr>
        <w:t xml:space="preserve">a*</w:t>
      </w:r>
      <w:r>
        <w:t xml:space="preserve">,</w:t>
      </w:r>
      <w:r>
        <w:t xml:space="preserve"> </w:t>
      </w:r>
      <w:r>
        <w:rPr>
          <w:i/>
          <w:iCs/>
        </w:rPr>
        <w:t xml:space="preserve">b*</w:t>
      </w:r>
      <w:r>
        <w:t xml:space="preserve">,</w:t>
      </w:r>
      <w:r>
        <w:t xml:space="preserve"> </w:t>
      </w:r>
      <w:r>
        <w:rPr>
          <w:i/>
          <w:iCs/>
        </w:rPr>
        <w:t xml:space="preserve">c*</w:t>
      </w:r>
      <w:r>
        <w:t xml:space="preserve">,</w:t>
      </w:r>
      <w:r>
        <w:t xml:space="preserve"> </w:t>
      </w:r>
      <w:r>
        <w:rPr>
          <w:i/>
          <w:iCs/>
        </w:rPr>
        <w:t xml:space="preserve">x</w:t>
      </w:r>
      <w:r>
        <w:t xml:space="preserve">) likely reflect mixed depositional environments and fine-scale heterogeneity that exceed the sampling resolution; acknowledging their behavior is critical when selecting fingerprints.</w:t>
      </w:r>
    </w:p>
    <w:p>
      <w:pPr>
        <w:pStyle w:val="TextBody"/>
      </w:pPr>
      <w:r>
        <w:t xml:space="preserve">Mapping the soil properties that have a moderate to high spatial dependence can provide information on underlying soil forming processes and properties. At both sites, to some extent, the patterns appear to reflect the topography of the sites suggesting that geomorphic and hydrologic processes and properties are likely driving the observed patterns. Koiter et al.</w:t>
      </w:r>
      <w:r>
        <w:t xml:space="preserve"> </w:t>
      </w:r>
      <w:r>
        <w:t xml:space="preserve">(</w:t>
      </w:r>
      <w:hyperlink w:anchor="ref-koiter2013">
        <w:r>
          <w:rPr>
            <w:rStyle w:val="InternetLink"/>
          </w:rPr>
          <w:t xml:space="preserve">2013</w:t>
        </w:r>
      </w:hyperlink>
      <w:r>
        <w:t xml:space="preserve">)</w:t>
      </w:r>
      <w:r>
        <w:t xml:space="preserve"> </w:t>
      </w:r>
      <w:r>
        <w:t xml:space="preserve">discussed the issues surrounding the use of a statistical only approach to selecting fingerprints and that consideration of how fingerprints have developed improves the robustness of the sediment fingerprinting approach. However, local information on the spatial distribution of geochemical and colour properties at field scales (&lt; 1 km²) is often unavailable, and the processes driving these patterns are also not well documented or studied. When such information does exist, it typically focuses on agronomically important properties</w:t>
      </w:r>
      <w:r>
        <w:t xml:space="preserve"> </w:t>
      </w:r>
      <w:r>
        <w:t xml:space="preserve">(e.g.,</w:t>
      </w:r>
      <w:r>
        <w:t xml:space="preserve"> </w:t>
      </w:r>
      <w:hyperlink w:anchor="ref-mzuku2005">
        <w:r>
          <w:rPr>
            <w:rStyle w:val="InternetLink"/>
          </w:rPr>
          <w:t xml:space="preserve">Mzuku et al., 2005</w:t>
        </w:r>
      </w:hyperlink>
      <w:r>
        <w:t xml:space="preserve">)</w:t>
      </w:r>
      <w:r>
        <w:t xml:space="preserve"> </w:t>
      </w:r>
      <w:r>
        <w:t xml:space="preserve">or is used for soil classification</w:t>
      </w:r>
      <w:r>
        <w:t xml:space="preserve"> </w:t>
      </w:r>
      <w:r>
        <w:t xml:space="preserve">(e.g.,</w:t>
      </w:r>
      <w:r>
        <w:t xml:space="preserve"> </w:t>
      </w:r>
      <w:hyperlink w:anchor="ref-soilclassificationworkinggroup1998">
        <w:r>
          <w:rPr>
            <w:rStyle w:val="InternetLink"/>
          </w:rPr>
          <w:t xml:space="preserve">Group, 1998</w:t>
        </w:r>
      </w:hyperlink>
      <w:r>
        <w:t xml:space="preserve">)</w:t>
      </w:r>
      <w:r>
        <w:t xml:space="preserve">. These datasets usually include geochemical properties such as N, P, K, S, Ca, Mg, Na, Fe, and Al. They may also include colour characteristics, such as Munsell hue, value, and chroma, as well as other soil properties like texture, organic matter content, and pH. The lack of information on the wide range of soil properties used in fingerprinting studies means the researchers are relying on other data, most often elevation and geomorphic/topographic features, for informing sampling designs. The results from this study support this approach at the agricultural site where the terrain is less complex.</w:t>
      </w:r>
    </w:p>
    <w:bookmarkEnd w:id="56"/>
    <w:bookmarkStart w:id="57" w:name="terrain-attributes-and-soil-properties"/>
    <w:p>
      <w:pPr>
        <w:pStyle w:val="Heading3"/>
      </w:pPr>
      <w:r>
        <w:t xml:space="preserve">4.2 Terrain attributes and soil properties</w:t>
      </w:r>
    </w:p>
    <w:p>
      <w:pPr>
        <w:pStyle w:val="FirstParagraph"/>
      </w:pPr>
      <w:r>
        <w:t xml:space="preserve">The correlation analysis identified elevation and wetness as being significantly correlated to most of the fingerprint properties at the agricultural site. Similarly, the RF regression identified elevation, wetness, and relative slope position as important attributes in explaining most of the observed variation in soil geochemical and colour properties. These terrain attributes align with established pedogenic and geomorphic processes, including eluviation–illuviation of Fe and clay, carbonate dissolution and transport, and organic matter accumulation in lower positions, and thereby indirectly influence soil geochemistry and colour.</w:t>
      </w:r>
    </w:p>
    <w:p>
      <w:pPr>
        <w:pStyle w:val="TextBody"/>
      </w:pPr>
      <w:r>
        <w:t xml:space="preserve">The results of this study are consistent with the findings of Mashalaba et al.</w:t>
      </w:r>
      <w:r>
        <w:t xml:space="preserve"> </w:t>
      </w:r>
      <w:r>
        <w:t xml:space="preserve">(</w:t>
      </w:r>
      <w:hyperlink w:anchor="ref-mashalaba2020">
        <w:r>
          <w:rPr>
            <w:rStyle w:val="InternetLink"/>
          </w:rPr>
          <w:t xml:space="preserve">2020</w:t>
        </w:r>
      </w:hyperlink>
      <w:r>
        <w:t xml:space="preserve">)</w:t>
      </w:r>
      <w:r>
        <w:t xml:space="preserve"> </w:t>
      </w:r>
      <w:r>
        <w:t xml:space="preserve">who also found that similar terrain attributes were important in predicting a range of other soil properties including texture, bulk density, and hydaulic conductivity. These attributes likely emerged as the most important factor in explaining the observed variability as they are strongly linked to a range of geomorphic and hydrologic processes and conditions</w:t>
      </w:r>
      <w:r>
        <w:t xml:space="preserve"> </w:t>
      </w:r>
      <w:r>
        <w:t xml:space="preserve">(</w:t>
      </w:r>
      <w:hyperlink w:anchor="ref-libohova2024">
        <w:r>
          <w:rPr>
            <w:rStyle w:val="InternetLink"/>
          </w:rPr>
          <w:t xml:space="preserve">Libohova et al., 2024</w:t>
        </w:r>
      </w:hyperlink>
      <w:r>
        <w:t xml:space="preserve">;</w:t>
      </w:r>
      <w:r>
        <w:t xml:space="preserve"> </w:t>
      </w:r>
      <w:hyperlink w:anchor="ref-mello2022">
        <w:r>
          <w:rPr>
            <w:rStyle w:val="InternetLink"/>
          </w:rPr>
          <w:t xml:space="preserve">Mello et al., 2022</w:t>
        </w:r>
      </w:hyperlink>
      <w:r>
        <w:t xml:space="preserve">)</w:t>
      </w:r>
      <w:r>
        <w:t xml:space="preserve">. For example, in eroded landscapes in the Prairie region of Canada, Ca concentrations have been found to be higher in upper slope positions from erosion and subsequent exposure of high-carbonate subsoil</w:t>
      </w:r>
      <w:r>
        <w:t xml:space="preserve"> </w:t>
      </w:r>
      <w:r>
        <w:t xml:space="preserve">(</w:t>
      </w:r>
      <w:hyperlink w:anchor="ref-papiernik2005">
        <w:r>
          <w:rPr>
            <w:rStyle w:val="InternetLink"/>
          </w:rPr>
          <w:t xml:space="preserve">Papiernik et al., 2005</w:t>
        </w:r>
      </w:hyperlink>
      <w:r>
        <w:t xml:space="preserve">)</w:t>
      </w:r>
      <w:r>
        <w:t xml:space="preserve">. In contrast, higher Ca concentrations have been noted in lower slope and depressional areas due to higher solubility of many Ca-minerals (e.g., CaCO3) and the subsequent downslope transport in solution and reduced leaching losses in these accumulation zones.</w:t>
      </w:r>
    </w:p>
    <w:p>
      <w:pPr>
        <w:pStyle w:val="TextBody"/>
      </w:pPr>
      <w:r>
        <w:t xml:space="preserve">Landscape position can also have a strong influence on pedogenic process; for example, the translocation of Fe and clay down the soil profile is a diagnostic criterion used in classifying soils</w:t>
      </w:r>
      <w:r>
        <w:t xml:space="preserve"> </w:t>
      </w:r>
      <w:r>
        <w:t xml:space="preserve">(</w:t>
      </w:r>
      <w:hyperlink w:anchor="ref-stonehouse1971">
        <w:r>
          <w:rPr>
            <w:rStyle w:val="InternetLink"/>
          </w:rPr>
          <w:t xml:space="preserve">Stonehouse and St. Arnaud, 1971</w:t>
        </w:r>
      </w:hyperlink>
      <w:r>
        <w:t xml:space="preserve">)</w:t>
      </w:r>
      <w:r>
        <w:t xml:space="preserve">. Soil colour also tends to change in a predictable manner in relation to local relief. Tillage and water erosion results in the net loss of darker organic-rich topsoil from upper slope positions resulting in the exposure of the lighter subsoil</w:t>
      </w:r>
      <w:r>
        <w:t xml:space="preserve"> </w:t>
      </w:r>
      <w:r>
        <w:t xml:space="preserve">(</w:t>
      </w:r>
      <w:hyperlink w:anchor="ref-papiernik2005">
        <w:r>
          <w:rPr>
            <w:rStyle w:val="InternetLink"/>
          </w:rPr>
          <w:t xml:space="preserve">Papiernik et al., 2005</w:t>
        </w:r>
      </w:hyperlink>
      <w:r>
        <w:t xml:space="preserve">)</w:t>
      </w:r>
      <w:r>
        <w:t xml:space="preserve">. Moisture availability is also greater in lower slope and depressional areas, resulting in increased organic matter production and consequently darker, organic-rich topsoil compared to upper slope positions. There is also evidence that suggests that soil texture varies with elevation and slope position, with coarser material on upper slopes and finer material accumulating in lower positions</w:t>
      </w:r>
      <w:r>
        <w:t xml:space="preserve"> </w:t>
      </w:r>
      <w:r>
        <w:t xml:space="preserve">(</w:t>
      </w:r>
      <w:hyperlink w:anchor="ref-cox2003">
        <w:r>
          <w:rPr>
            <w:rStyle w:val="InternetLink"/>
          </w:rPr>
          <w:t xml:space="preserve">Cox et al., 2003</w:t>
        </w:r>
      </w:hyperlink>
      <w:r>
        <w:t xml:space="preserve">;</w:t>
      </w:r>
      <w:r>
        <w:t xml:space="preserve"> </w:t>
      </w:r>
      <w:hyperlink w:anchor="ref-kokulan2018">
        <w:r>
          <w:rPr>
            <w:rStyle w:val="InternetLink"/>
          </w:rPr>
          <w:t xml:space="preserve">Kokulan et al., 2018</w:t>
        </w:r>
      </w:hyperlink>
      <w:r>
        <w:t xml:space="preserve">)</w:t>
      </w:r>
      <w:r>
        <w:t xml:space="preserve">. Given the strong correlation of organic matter and texture with soil geochemistry</w:t>
      </w:r>
      <w:r>
        <w:t xml:space="preserve"> </w:t>
      </w:r>
      <w:r>
        <w:t xml:space="preserve">(</w:t>
      </w:r>
      <w:hyperlink w:anchor="ref-horowitz1991">
        <w:r>
          <w:rPr>
            <w:rStyle w:val="InternetLink"/>
          </w:rPr>
          <w:t xml:space="preserve">Horowitz, 1991</w:t>
        </w:r>
      </w:hyperlink>
      <w:r>
        <w:t xml:space="preserve">)</w:t>
      </w:r>
      <w:r>
        <w:t xml:space="preserve"> </w:t>
      </w:r>
      <w:r>
        <w:t xml:space="preserve">and colour</w:t>
      </w:r>
      <w:r>
        <w:t xml:space="preserve"> </w:t>
      </w:r>
      <w:r>
        <w:t xml:space="preserve">(</w:t>
      </w:r>
      <w:hyperlink w:anchor="ref-viscarrarossel2009">
        <w:r>
          <w:rPr>
            <w:rStyle w:val="InternetLink"/>
          </w:rPr>
          <w:t xml:space="preserve">Viscarra Rossel et al., 2009</w:t>
        </w:r>
      </w:hyperlink>
      <w:r>
        <w:t xml:space="preserve">)</w:t>
      </w:r>
      <w:r>
        <w:t xml:space="preserve">, these properties may also help explain the observed spatial patterns.</w:t>
      </w:r>
    </w:p>
    <w:p>
      <w:pPr>
        <w:pStyle w:val="TextBody"/>
      </w:pPr>
      <w:r>
        <w:t xml:space="preserve">Compared to the forested site, the terrain attributes had greater explanatory power for the agricultural site (</w:t>
      </w:r>
      <w:hyperlink w:anchor="tbl-rf-summary">
        <w:r>
          <w:rPr>
            <w:rStyle w:val="InternetLink"/>
          </w:rPr>
          <w:t xml:space="preserve">Table 5</w:t>
        </w:r>
      </w:hyperlink>
      <w:r>
        <w:t xml:space="preserve">). At the agricultural site, terrain explained 17.2 to 76.1% of the variance in every soil property except Li (</w:t>
      </w:r>
      <w:hyperlink w:anchor="tbl-rf-summary">
        <w:r>
          <w:rPr>
            <w:rStyle w:val="InternetLink"/>
          </w:rPr>
          <w:t xml:space="preserve">Table 5</w:t>
        </w:r>
      </w:hyperlink>
      <w:r>
        <w:t xml:space="preserve">), indicating that landscape processes partly drive the observed patterns in most of the properties investigated. At the forested site, the attributes explained variability in only Ca, Nb, and Sr. Where the attributes contained no information beyond the sample mean (i.e., a negative percent variance explained), this outcome can arise in three ways: the property has little systematic variance (low CV), its variance is controlled by processes the attributes do not capture, or the sampling is too sparse to resolve a real relationship. Because detailed geochemical and lithological information is often unavailable at the field scale</w:t>
      </w:r>
      <w:r>
        <w:t xml:space="preserve"> </w:t>
      </w:r>
      <w:r>
        <w:t xml:space="preserve">(</w:t>
      </w:r>
      <w:hyperlink w:anchor="ref-haluschak1998">
        <w:r>
          <w:rPr>
            <w:rStyle w:val="InternetLink"/>
          </w:rPr>
          <w:t xml:space="preserve">Haluschak et al., 1998</w:t>
        </w:r>
      </w:hyperlink>
      <w:r>
        <w:t xml:space="preserve">)</w:t>
      </w:r>
      <w:r>
        <w:t xml:space="preserve">, it can be difficult to be certain of the processes driving the relationships, or lack thereof, between terrain attributes and soil properties. Several causes may contribute to the absence of a terrain-driven explanation for Li at the agricultural site. First, Li has a low CV (9.11%) and the 100 m sampling interval may be too coarse to resolve a relationship, although comparable CVs were resolved for other elements at this site. Second, the source of Li may be largely geogenic, overriding any pattern generated by landscape processes.</w:t>
      </w:r>
    </w:p>
    <w:p>
      <w:pPr>
        <w:pStyle w:val="TextBody"/>
      </w:pPr>
      <w:r>
        <w:t xml:space="preserve">At the forested site, the lack of predictive power of terrain attributes for Co, Cs, Li, La, Ni, and h* (</w:t>
      </w:r>
      <w:hyperlink w:anchor="tbl-rf-summary">
        <w:r>
          <w:rPr>
            <w:rStyle w:val="InternetLink"/>
          </w:rPr>
          <w:t xml:space="preserve">Table 5</w:t>
        </w:r>
      </w:hyperlink>
      <w:r>
        <w:t xml:space="preserve">) may have several causes. First, these soils are developed on boulder till of mixed shale, limestone, and granitic lithology</w:t>
      </w:r>
      <w:r>
        <w:t xml:space="preserve"> </w:t>
      </w:r>
      <w:r>
        <w:t xml:space="preserve">(</w:t>
      </w:r>
      <w:hyperlink w:anchor="ref-ehrlich1958">
        <w:r>
          <w:rPr>
            <w:rStyle w:val="InternetLink"/>
          </w:rPr>
          <w:t xml:space="preserve">Ehrlich et al., 1958</w:t>
        </w:r>
      </w:hyperlink>
      <w:r>
        <w:t xml:space="preserve">)</w:t>
      </w:r>
      <w:r>
        <w:t xml:space="preserve">, so their geochemistry likely reflects a heterogeneous parent material independent of terrain. Second, the deposition of shale-rich material observed in the floodplains may override terrain-driven processes, producing discrete zones of enrichment rather than a more gradual topographic gradient. Third, the higher organic matter content at this site suggests that soil-forming processes, including complexation and chelation with organics, may play a larger role in the distribution of soil geochemistry as compared to landscape position. Finally, the low CV of Li and h* (13.89% and 4.13%) coupled with the 100 m sampling interval may make a relationship impossible to resolve. Additional work is needed to fully assess the utility of terrain mapping in predicting and mapping fingerprint properties, particularly in complex terrains.</w:t>
      </w:r>
    </w:p>
    <w:p>
      <w:pPr>
        <w:pStyle w:val="TextBody"/>
      </w:pPr>
      <w:r>
        <w:t xml:space="preserve">Clustering based on terrain attributes using unsupervised random forest can provide a useful first step in developing efficient sampling designs</w:t>
      </w:r>
      <w:r>
        <w:t xml:space="preserve"> </w:t>
      </w:r>
      <w:r>
        <w:t xml:space="preserve">(</w:t>
      </w:r>
      <w:hyperlink w:anchor="ref-pham2025">
        <w:r>
          <w:rPr>
            <w:rStyle w:val="InternetLink"/>
          </w:rPr>
          <w:t xml:space="preserve">Pham et al., 2025</w:t>
        </w:r>
      </w:hyperlink>
      <w:r>
        <w:t xml:space="preserve">)</w:t>
      </w:r>
      <w:r>
        <w:t xml:space="preserve"> </w:t>
      </w:r>
      <w:r>
        <w:t xml:space="preserve">(</w:t>
      </w:r>
      <w:hyperlink w:anchor="fig-cluster">
        <w:r>
          <w:rPr>
            <w:rStyle w:val="InternetLink"/>
          </w:rPr>
          <w:t xml:space="preserve">Figure 5</w:t>
        </w:r>
      </w:hyperlink>
      <w:r>
        <w:t xml:space="preserve">). High-resolution LiDAR data and digital elevation models are becoming increasingly available. This gives researchers the opportunity to integrate terrain attributes into their sampling frameworks, ensuring representation of key geomorphic and topographic features. Cluster-level means and standard deviations (</w:t>
      </w:r>
      <w:hyperlink w:anchor="tbl-cluster-summary">
        <w:r>
          <w:rPr>
            <w:rStyle w:val="InternetLink"/>
          </w:rPr>
          <w:t xml:space="preserve">Table 6</w:t>
        </w:r>
      </w:hyperlink>
      <w:r>
        <w:t xml:space="preserve">) show that the clusters differ in several terrain attributes. At the forested site, the clusters appear to correspond to the channel environment (Cluster 3), areas adjacent to the channel and in depressions (Cluster 2), and the surrounding upland zones (Cluster 1) (</w:t>
      </w:r>
      <w:hyperlink w:anchor="fig-cluster">
        <w:r>
          <w:rPr>
            <w:rStyle w:val="InternetLink"/>
          </w:rPr>
          <w:t xml:space="preserve">Figure 5</w:t>
        </w:r>
      </w:hyperlink>
      <w:r>
        <w:t xml:space="preserve">). The interpretation of the clusters at the forested site is supported unevenly by the terrain attributes. Catchment area provides the clearest evidence for the channel cluster, which has the largest values, and also has the lowest mean elevation. However, the SAGA Wetness Index is highest in the upland cluster and lowest in the channel cluster, which is the reverse of the expected downslope increase in wetness. Similarly, the vertical distance to channel is shortest in the upland cluster and greatest in the adjacent cluster, again the reverse of expectation. Relative slope position fails to separate the upland from the channel, both of which share the lowest value, while the adjacent cluster is highest. These inconsistencies indicate that the cluster interperation should be treated as provisional, and that the wetness and distance attributes in particular do not provide support for the current labels.</w:t>
      </w:r>
    </w:p>
    <w:p>
      <w:pPr>
        <w:pStyle w:val="TextBody"/>
      </w:pPr>
      <w:r>
        <w:t xml:space="preserve">At the agricultural site, the clusters correspond to an area of water accumulation that is routed toward the adjacent ditch (Cluster 2), while the other cluster represents the remaining parts of the field (Cluster 1) (</w:t>
      </w:r>
      <w:hyperlink w:anchor="fig-cluster">
        <w:r>
          <w:rPr>
            <w:rStyle w:val="InternetLink"/>
          </w:rPr>
          <w:t xml:space="preserve">Figure 5</w:t>
        </w:r>
      </w:hyperlink>
      <w:r>
        <w:t xml:space="preserve">). The accumulation area is characterized by a higher SAGA Wetness Index, lower slope position, and large catchement area (</w:t>
      </w:r>
      <w:hyperlink w:anchor="tbl-cluster-summary">
        <w:r>
          <w:rPr>
            <w:rStyle w:val="InternetLink"/>
          </w:rPr>
          <w:t xml:space="preserve">Table 6</w:t>
        </w:r>
      </w:hyperlink>
      <w:r>
        <w:t xml:space="preserve">). These groupings can guide the allocation of sampling effort across contrasting landscape positions. As Evrard et al. (2022) noted, the number of samples must be balanced against budget and logistical constraints. Terrain-based stratification provides a basis for that tradeoff by linking sampling effort to distinct landscape units.</w:t>
      </w:r>
    </w:p>
    <w:bookmarkEnd w:id="57"/>
    <w:bookmarkStart w:id="58" w:name="limitations-and-future-work"/>
    <w:p>
      <w:pPr>
        <w:pStyle w:val="Heading3"/>
      </w:pPr>
      <w:r>
        <w:t xml:space="preserve">4.3 Limitations and Future Work</w:t>
      </w:r>
    </w:p>
    <w:p>
      <w:pPr>
        <w:pStyle w:val="FirstParagraph"/>
      </w:pPr>
      <w:r>
        <w:t xml:space="preserve">The impact of sampling design the characterization of fingerprints can be substantial</w:t>
      </w:r>
      <w:r>
        <w:t xml:space="preserve"> </w:t>
      </w:r>
      <w:r>
        <w:t xml:space="preserve">(</w:t>
      </w:r>
      <w:hyperlink w:anchor="ref-lunamiño2024">
        <w:r>
          <w:rPr>
            <w:rStyle w:val="InternetLink"/>
          </w:rPr>
          <w:t xml:space="preserve">Luna Miño et al., 2024</w:t>
        </w:r>
      </w:hyperlink>
      <w:r>
        <w:t xml:space="preserve">)</w:t>
      </w:r>
      <w:r>
        <w:t xml:space="preserve">, which in turn can affect the apportionment results, and the conclusion and recommendations drawn from them. However, due to the high cost of sample collection, preparation, and analysis, small sample sizes collected across a single season are commonplace and a source of uncertainty in sediment fingerprinting studies</w:t>
      </w:r>
      <w:r>
        <w:t xml:space="preserve"> </w:t>
      </w:r>
      <w:r>
        <w:t xml:space="preserve">(</w:t>
      </w:r>
      <w:hyperlink w:anchor="ref-evrard2022">
        <w:r>
          <w:rPr>
            <w:rStyle w:val="InternetLink"/>
          </w:rPr>
          <w:t xml:space="preserve">Evrard et al., 2022</w:t>
        </w:r>
      </w:hyperlink>
      <w:r>
        <w:t xml:space="preserve">)</w:t>
      </w:r>
      <w:r>
        <w:t xml:space="preserve">. Therefore, the development of low-cost, easy, and accurate mapping of fingerprinting properties would be advantageous. Terrain attributes have been successfully used in digital soil mapping exercises, demonstrating their value in spatially characterizing soil properties</w:t>
      </w:r>
      <w:r>
        <w:t xml:space="preserve"> </w:t>
      </w:r>
      <w:r>
        <w:t xml:space="preserve">(</w:t>
      </w:r>
      <w:hyperlink w:anchor="ref-rizzo2016">
        <w:r>
          <w:rPr>
            <w:rStyle w:val="InternetLink"/>
          </w:rPr>
          <w:t xml:space="preserve">Rizzo et al., 2016</w:t>
        </w:r>
      </w:hyperlink>
      <w:r>
        <w:t xml:space="preserve">)</w:t>
      </w:r>
      <w:r>
        <w:t xml:space="preserve">. Building on this success, integrating terrain analysis into sediment source fingerprinting is promising, not only as a mechanism to improve the quality of source characterization, but to also better link source material to downstream sediment. However, the inclusion of only two sites within in this study limits the generalizability of the findings to geomorphic settings with similar characteristics, highlighting the need for future research across a broader range of environments.</w:t>
      </w:r>
    </w:p>
    <w:p>
      <w:pPr>
        <w:pStyle w:val="TextBody"/>
      </w:pPr>
      <w:r>
        <w:t xml:space="preserve">The relatively small sample size (n=49 per site) in this study compromises the stability of the RF-derived importance metrics. Similarly, the 100 m sample spacing likely fails to capture fine-scale heterogeneity, limiting the ability of the semivariogram models to characterize short-range spatial variability. Therefore, soil properties identified as demonstrating a lack of spatial autocorrelation should be interpreted as indicating no detectable spatial autocorrelation at the scale at which we sampled rather than a confirmed absence of spatial structure. As a result, additional sampling at irregular spacing is highly recommended. Because this study relies on single season of sampling there is no information on the stability of soil properties over time. While sediment fingerprinting assumes consistent source signatures over time, few studies validate this due to the challenges associated with repeated sample collection</w:t>
      </w:r>
      <w:r>
        <w:t xml:space="preserve"> </w:t>
      </w:r>
      <w:r>
        <w:t xml:space="preserve">(</w:t>
      </w:r>
      <w:hyperlink w:anchor="ref-evrard2022">
        <w:r>
          <w:rPr>
            <w:rStyle w:val="InternetLink"/>
          </w:rPr>
          <w:t xml:space="preserve">Evrard et al., 2022</w:t>
        </w:r>
      </w:hyperlink>
      <w:r>
        <w:t xml:space="preserve">)</w:t>
      </w:r>
      <w:r>
        <w:t xml:space="preserve">.</w:t>
      </w:r>
    </w:p>
    <w:p>
      <w:pPr>
        <w:pStyle w:val="TextBody"/>
      </w:pPr>
      <w:r>
        <w:t xml:space="preserve">The continued integration of DEM-based sampling strategies and fingerprint mapping into sediment source fingerprinting approach will benefit from the development of a standardized framework, workflow, and set of best practices to ensure both robust and reliable results. For example, differences in DEM resolution between sites in this study could influence curvature-based terrain attributes, introducing potential bias. Furthermore, the use of isotropic variogram models may not adequately represent spatial autocorrelation in channelized landscapes, where directional variability is expected. Additional work is needed to establish standardized protocols for DEM processing, terrain attribute calculation, and variogram modeling to ensure that methods work across a range of landscapes. Lastly, coupling machine-learning approaches, such as RF regression, with process-based soil landscape models, geophysical surveys would further clarify fundamental mechanisms underlying observed patterns.</w:t>
      </w:r>
    </w:p>
    <w:bookmarkEnd w:id="58"/>
    <w:bookmarkEnd w:id="59"/>
    <w:bookmarkStart w:id="60" w:name="conclusions"/>
    <w:p>
      <w:pPr>
        <w:pStyle w:val="Heading2"/>
      </w:pPr>
      <w:r>
        <w:t xml:space="preserve">5 Conclusions</w:t>
      </w:r>
    </w:p>
    <w:p>
      <w:pPr>
        <w:pStyle w:val="FirstParagraph"/>
      </w:pPr>
      <w:r>
        <w:t xml:space="preserve">Understanding the spatial variability and distribution of soil geochemical and colour properties at a field-scale is an important part of sediment source fingerprinting. This study conducted both univariate and spatial analyses of a suite of soil geochemical and colour properties at two sites with contrasting landscape complexities and land uses. The agricultural site, characterized by a simple topography, exhibited lower coefficients of variation, approximately normal data distributions, and moderate to strong spatial autocorrelation across most measured properties. In contrast, the forested site featured more geomorphologically complex terrain, with greater variability in soil properties, data distributions that more frequently deviated from normality, and fewer properties exhibiting spatial autocorrelation. RF regression demonstrated that many fingerprint-relevant properties exhibit usable spatial dependence at the field scale.</w:t>
      </w:r>
    </w:p>
    <w:p>
      <w:pPr>
        <w:pStyle w:val="TextBody"/>
      </w:pPr>
      <w:r>
        <w:t xml:space="preserve">Elevation, wetness, and slope position explained a substantial portion of the observed variability only at the agricultural site, supporting the use of DEM-guided sampling strategies in simple terrains. For effective mapping of sediment fingerprinting properties at the field scale, a grid spacing approximately equal to the site-specific semivariogram range (~200–230 m) is recommended. In areas with complex terrain, stratified sampling should be implemented to capture spatial variability and improve representativeness. Unsupervise RF combined with hierarchical cluster analysis to identify sampling strata did not perform well at either site. At the agricultural site, the gradual gradient in terrain attributes made it difficult to identify an optimal number of clusters, since no clear boundaries separated one stratum from another. At the topographically complex forest site, the terrain attributes themselves made the resulting clusters difficult to interpret, as several attributes were inconsistent with the landform each cluster was expected to represent. Furthermore, colour coefficients such as</w:t>
      </w:r>
      <w:r>
        <w:t xml:space="preserve"> </w:t>
      </w:r>
      <w:r>
        <w:rPr>
          <w:i/>
          <w:iCs/>
        </w:rPr>
        <w:t xml:space="preserve">a*, b*, c*, h*</w:t>
      </w:r>
      <w:r>
        <w:t xml:space="preserve">, and</w:t>
      </w:r>
      <w:r>
        <w:t xml:space="preserve"> </w:t>
      </w:r>
      <w:r>
        <w:rPr>
          <w:i/>
          <w:iCs/>
        </w:rPr>
        <w:t xml:space="preserve">x</w:t>
      </w:r>
      <w:r>
        <w:t xml:space="preserve"> </w:t>
      </w:r>
      <w:r>
        <w:t xml:space="preserve">are ideal for inclusion in sediment mixing models when low coefficients of variation and near-normal data distributions are assumed.</w:t>
      </w:r>
    </w:p>
    <w:bookmarkEnd w:id="60"/>
    <w:bookmarkStart w:id="61" w:name="acknowledgments"/>
    <w:p>
      <w:pPr>
        <w:pStyle w:val="Heading2"/>
      </w:pPr>
      <w:r>
        <w:t xml:space="preserve">Acknowledgments</w:t>
      </w:r>
    </w:p>
    <w:p>
      <w:pPr>
        <w:pStyle w:val="FirstParagraph"/>
      </w:pPr>
      <w:r>
        <w:t xml:space="preserve">Special thanks and recognition for the field and technical support from A. Avila and the Riding Mountain National Park personnel.</w:t>
      </w:r>
    </w:p>
    <w:bookmarkEnd w:id="61"/>
    <w:bookmarkStart w:id="69" w:name="statements-and-declarations"/>
    <w:p>
      <w:pPr>
        <w:pStyle w:val="Heading2"/>
      </w:pPr>
      <w:r>
        <w:t xml:space="preserve">Statements and declarations</w:t>
      </w:r>
    </w:p>
    <w:bookmarkStart w:id="62" w:name="funding"/>
    <w:p>
      <w:pPr>
        <w:pStyle w:val="Heading3"/>
      </w:pPr>
      <w:r>
        <w:t xml:space="preserve">Funding</w:t>
      </w:r>
    </w:p>
    <w:p>
      <w:pPr>
        <w:pStyle w:val="FirstParagraph"/>
      </w:pPr>
      <w:r>
        <w:t xml:space="preserve">This research was supported by the Natural Sciences and Engineering Research Council of Canada Discovery Grant - From source to sink: Investigating the linkages between sources of sediment and downstream water quality in Canadian watersheds - awarded to AJK (RGPIN-2019-05273).</w:t>
      </w:r>
    </w:p>
    <w:bookmarkEnd w:id="62"/>
    <w:bookmarkStart w:id="63" w:name="competing-interests"/>
    <w:p>
      <w:pPr>
        <w:pStyle w:val="Heading3"/>
      </w:pPr>
      <w:r>
        <w:t xml:space="preserve">Competing interests</w:t>
      </w:r>
    </w:p>
    <w:p>
      <w:pPr>
        <w:pStyle w:val="FirstParagraph"/>
      </w:pPr>
      <w:r>
        <w:t xml:space="preserve">The authors have no competing interests to declare that are relevant to the content of this article.</w:t>
      </w:r>
    </w:p>
    <w:bookmarkEnd w:id="63"/>
    <w:bookmarkStart w:id="67" w:name="data-and-code-availability"/>
    <w:p>
      <w:pPr>
        <w:pStyle w:val="Heading3"/>
      </w:pPr>
      <w:r>
        <w:t xml:space="preserve">Data and code availability</w:t>
      </w:r>
    </w:p>
    <w:p>
      <w:pPr>
        <w:pStyle w:val="FirstParagraph"/>
      </w:pPr>
      <w:r>
        <w:t xml:space="preserve">Data and source code for analysis and manuscript available on GitHub:</w:t>
      </w:r>
      <w:r>
        <w:t xml:space="preserve"> </w:t>
      </w:r>
      <w:hyperlink r:id="rId64">
        <w:r>
          <w:rPr>
            <w:rStyle w:val="InternetLink"/>
          </w:rPr>
          <w:t xml:space="preserve">https://github.com/alex-koiter/terrain-attributes</w:t>
        </w:r>
      </w:hyperlink>
    </w:p>
    <w:p>
      <w:pPr>
        <w:pStyle w:val="TextBody"/>
      </w:pPr>
      <w:r>
        <w:t xml:space="preserve">The data are also archived on Mendeley Data: Koiter, A. (2026). Field-Scale Terrain and Soil Data (Version 1). Mendeley Data.</w:t>
      </w:r>
      <w:r>
        <w:t xml:space="preserve"> </w:t>
      </w:r>
      <w:hyperlink r:id="rId65">
        <w:r>
          <w:rPr>
            <w:rStyle w:val="InternetLink"/>
          </w:rPr>
          <w:t xml:space="preserve">https://doi.org/10.17632/fmn8n49bgn.1</w:t>
        </w:r>
      </w:hyperlink>
    </w:p>
    <w:p>
      <w:pPr>
        <w:pStyle w:val="TextBody"/>
      </w:pPr>
      <w:r>
        <w:t xml:space="preserve">Additional information, including analytical notebooks with details of the analysis and intermediate steps, is available online:</w:t>
      </w:r>
      <w:r>
        <w:t xml:space="preserve"> </w:t>
      </w:r>
      <w:hyperlink r:id="rId66">
        <w:r>
          <w:rPr>
            <w:rStyle w:val="InternetLink"/>
          </w:rPr>
          <w:t xml:space="preserve">https://alexkoiter.ca/terrain-attributes/</w:t>
        </w:r>
      </w:hyperlink>
    </w:p>
    <w:bookmarkEnd w:id="67"/>
    <w:bookmarkStart w:id="68" w:name="author-contributions"/>
    <w:p>
      <w:pPr>
        <w:pStyle w:val="Heading3"/>
      </w:pPr>
      <w:r>
        <w:t xml:space="preserve">Author contributions</w:t>
      </w:r>
    </w:p>
    <w:p>
      <w:pPr>
        <w:pStyle w:val="FirstParagraph"/>
      </w:pPr>
      <w:r>
        <w:rPr>
          <w:b/>
          <w:bCs/>
        </w:rPr>
        <w:t xml:space="preserve">M Luna Miño</w:t>
      </w:r>
      <w:r>
        <w:t xml:space="preserve"> </w:t>
      </w:r>
      <w:r>
        <w:t xml:space="preserve">Methodology; Investigation; Data curation; Formal analysis; Writing - Original Draft; Writing - Review &amp; Editing</w:t>
      </w:r>
    </w:p>
    <w:p>
      <w:pPr>
        <w:pStyle w:val="TextBody"/>
      </w:pPr>
      <w:r>
        <w:rPr>
          <w:b/>
          <w:bCs/>
        </w:rPr>
        <w:t xml:space="preserve">A Koiter</w:t>
      </w:r>
      <w:r>
        <w:t xml:space="preserve">: Conceptualization; Funding acquisition; Methodology; Investigation; Data curation; Formal analysis; Visualization; Writing - Original Draft; Writing – review and editing; Software; Project administration</w:t>
      </w:r>
    </w:p>
    <w:p>
      <w:pPr>
        <w:pStyle w:val="TextBody"/>
      </w:pPr>
      <w:r>
        <w:rPr>
          <w:b/>
          <w:bCs/>
        </w:rPr>
        <w:t xml:space="preserve">T Lychuk</w:t>
      </w:r>
      <w:r>
        <w:t xml:space="preserve">: Methodology; Formal analysis; Writing - Review &amp; Editing</w:t>
      </w:r>
    </w:p>
    <w:p>
      <w:pPr>
        <w:pStyle w:val="TextBody"/>
      </w:pPr>
      <w:r>
        <w:rPr>
          <w:b/>
          <w:bCs/>
        </w:rPr>
        <w:t xml:space="preserve">A Waddel</w:t>
      </w:r>
      <w:r>
        <w:t xml:space="preserve"> </w:t>
      </w:r>
      <w:r>
        <w:t xml:space="preserve">Methodology; Formal analysis; Writing - Review &amp; Editing</w:t>
      </w:r>
    </w:p>
    <w:p>
      <w:pPr>
        <w:pStyle w:val="TextBody"/>
      </w:pPr>
      <w:r>
        <w:rPr>
          <w:b/>
          <w:bCs/>
        </w:rPr>
        <w:t xml:space="preserve">A Moulin</w:t>
      </w:r>
      <w:r>
        <w:t xml:space="preserve"> </w:t>
      </w:r>
      <w:r>
        <w:t xml:space="preserve">Methodology; Formal analysis; Writing - Review &amp; Editing</w:t>
      </w:r>
    </w:p>
    <w:bookmarkEnd w:id="68"/>
    <w:bookmarkEnd w:id="69"/>
    <w:bookmarkStart w:id="205" w:name="references"/>
    <w:p>
      <w:pPr>
        <w:pStyle w:val="Heading2"/>
      </w:pPr>
      <w:r>
        <w:t xml:space="preserve">References</w:t>
      </w:r>
    </w:p>
    <w:bookmarkStart w:id="204" w:name="refs"/>
    <w:bookmarkStart w:id="71" w:name="ref-agisoft2021"/>
    <w:p>
      <w:pPr>
        <w:pStyle w:val="Bibliography"/>
      </w:pPr>
      <w:r>
        <w:t xml:space="preserve">Agisoft, 2021.</w:t>
      </w:r>
      <w:r>
        <w:t xml:space="preserve"> </w:t>
      </w:r>
      <w:hyperlink r:id="rId70">
        <w:r>
          <w:rPr>
            <w:rStyle w:val="InternetLink"/>
          </w:rPr>
          <w:t xml:space="preserve">Agisoft metashape: installer</w:t>
        </w:r>
      </w:hyperlink>
      <w:r>
        <w:t xml:space="preserve">.</w:t>
      </w:r>
    </w:p>
    <w:bookmarkEnd w:id="71"/>
    <w:bookmarkStart w:id="73" w:name="ref-beaudette2013"/>
    <w:p>
      <w:pPr>
        <w:pStyle w:val="Bibliography"/>
      </w:pPr>
      <w:r>
        <w:t xml:space="preserve">Beaudette, D.E., Dahlgren, R.A., O’Geen, A.T., 2013. Terrain-shape indices for modeling soil moisture dynamics. Soil Science Society of America Journal 77, 1696–1710.</w:t>
      </w:r>
      <w:r>
        <w:t xml:space="preserve"> </w:t>
      </w:r>
      <w:hyperlink r:id="rId72">
        <w:r>
          <w:rPr>
            <w:rStyle w:val="InternetLink"/>
          </w:rPr>
          <w:t xml:space="preserve">https://doi.org/10.2136/sssaj2013.02.0048</w:t>
        </w:r>
      </w:hyperlink>
    </w:p>
    <w:bookmarkEnd w:id="73"/>
    <w:bookmarkStart w:id="75" w:name="ref-beck2018"/>
    <w:p>
      <w:pPr>
        <w:pStyle w:val="Bibliography"/>
      </w:pPr>
      <w:r>
        <w:t xml:space="preserve">Beck, H.E., Zimmermann, N.E., McVicar, T.R., Vergopolan, N., Berg, A., Wood, E.F., 2018. Present and future köppen-geiger climate classification maps at 1-km resolution. Scientific Data 5, 180214.</w:t>
      </w:r>
      <w:r>
        <w:t xml:space="preserve"> </w:t>
      </w:r>
      <w:hyperlink r:id="rId74">
        <w:r>
          <w:rPr>
            <w:rStyle w:val="InternetLink"/>
          </w:rPr>
          <w:t xml:space="preserve">https://doi.org/10.1038/sdata.2018.214</w:t>
        </w:r>
      </w:hyperlink>
    </w:p>
    <w:bookmarkEnd w:id="75"/>
    <w:bookmarkStart w:id="77" w:name="ref-boudreault2018"/>
    <w:p>
      <w:pPr>
        <w:pStyle w:val="Bibliography"/>
      </w:pPr>
      <w:r>
        <w:t xml:space="preserve">Boudreault, M., Koiter, A.J., Lobb, D.A., Owens, P.N., Liu, K., Benoy, G., Danielescu, S., Li, S., 2018. Using colour, shape and radionuclide sediment fingerprints to identify sources of sediment in an agricultural watershed in atlantic canada. Canadian Water Resources Journal 43, 347–365. https://doi.org/</w:t>
      </w:r>
      <w:hyperlink r:id="rId76">
        <w:r>
          <w:rPr>
            <w:rStyle w:val="InternetLink"/>
          </w:rPr>
          <w:t xml:space="preserve">https://doi.org/10.1080/07011784.2018.1451781</w:t>
        </w:r>
      </w:hyperlink>
    </w:p>
    <w:bookmarkEnd w:id="77"/>
    <w:bookmarkStart w:id="79" w:name="ref-brown2004"/>
    <w:p>
      <w:pPr>
        <w:pStyle w:val="Bibliography"/>
      </w:pPr>
      <w:r>
        <w:t xml:space="preserve">Brown, D.J., Clayton, M.K., McSweeney, K., 2004. Potential terrain controls on soil color, texture contrast and grain-size deposition for the original catena landscape in uganda. Geoderma 122, 51–72.</w:t>
      </w:r>
      <w:r>
        <w:t xml:space="preserve"> </w:t>
      </w:r>
      <w:hyperlink r:id="rId78">
        <w:r>
          <w:rPr>
            <w:rStyle w:val="InternetLink"/>
          </w:rPr>
          <w:t xml:space="preserve">https://doi.org/10.1016/j.geoderma.2003.12.004</w:t>
        </w:r>
      </w:hyperlink>
    </w:p>
    <w:bookmarkEnd w:id="79"/>
    <w:bookmarkStart w:id="81" w:name="ref-naturalresourcescanada2024"/>
    <w:p>
      <w:pPr>
        <w:pStyle w:val="Bibliography"/>
      </w:pPr>
      <w:r>
        <w:t xml:space="preserve">Canada, N.R., 2024.</w:t>
      </w:r>
      <w:r>
        <w:t xml:space="preserve"> </w:t>
      </w:r>
      <w:hyperlink r:id="rId80">
        <w:r>
          <w:rPr>
            <w:rStyle w:val="InternetLink"/>
          </w:rPr>
          <w:t xml:space="preserve">High Resolution Digital Elevation Model Mosaic (HRDEM Mosaic) - CanElevation Series</w:t>
        </w:r>
      </w:hyperlink>
      <w:r>
        <w:t xml:space="preserve">.</w:t>
      </w:r>
    </w:p>
    <w:bookmarkEnd w:id="81"/>
    <w:bookmarkStart w:id="83" w:name="ref-canty2025"/>
    <w:p>
      <w:pPr>
        <w:pStyle w:val="Bibliography"/>
      </w:pPr>
      <w:r>
        <w:t xml:space="preserve">Canty, A., Ripley, B., 2025. Boot: Bootstrap functions.</w:t>
      </w:r>
      <w:r>
        <w:t xml:space="preserve"> </w:t>
      </w:r>
      <w:hyperlink r:id="rId82">
        <w:r>
          <w:rPr>
            <w:rStyle w:val="InternetLink"/>
          </w:rPr>
          <w:t xml:space="preserve">https://doi.org/10.32614/CRAN.package.boot</w:t>
        </w:r>
      </w:hyperlink>
    </w:p>
    <w:bookmarkEnd w:id="83"/>
    <w:bookmarkStart w:id="85" w:name="ref-collins2020"/>
    <w:p>
      <w:pPr>
        <w:pStyle w:val="Bibliography"/>
      </w:pPr>
      <w:r>
        <w:t xml:space="preserve">Collins, A.L., Blackwell, M., Boeckx, P., Chivers, C.-A., Emelko, M., Evrard, O., Foster, I., Gellis, A., Gholami, H., Granger, S., Harris, P., Horowitz, A.J., Laceby, J.P., Martinez-Carreras, N., Minella, J., Mol, L., Nosrati, K., Pulley, S., Silins, U., Silva, Y.J. da, Stone, M., Tiecher, T., Upadhayay, H.R., Zhang, Y., 2020. Sediment source fingerprinting: Benchmarking recent outputs, remaining challenges and emerging themes. Journal of Soils and Sediments 20, 4160–4193.</w:t>
      </w:r>
      <w:r>
        <w:t xml:space="preserve"> </w:t>
      </w:r>
      <w:hyperlink r:id="rId84">
        <w:r>
          <w:rPr>
            <w:rStyle w:val="InternetLink"/>
          </w:rPr>
          <w:t xml:space="preserve">https://doi.org/10.1007/s11368-020-02755-4</w:t>
        </w:r>
      </w:hyperlink>
    </w:p>
    <w:bookmarkEnd w:id="85"/>
    <w:bookmarkStart w:id="87" w:name="ref-collins2019"/>
    <w:p>
      <w:pPr>
        <w:pStyle w:val="Bibliography"/>
      </w:pPr>
      <w:r>
        <w:t xml:space="preserve">Collins, A.L., Burak, E., Harris, P., Pulley, S., Cardenas, L., Tang, Q., 2019. Field scale temporal and spatial variability of δ13C, δ15N, TC and TN soil properties: Implications for sediment source tracing. Geoderma 333, 108–122.</w:t>
      </w:r>
      <w:r>
        <w:t xml:space="preserve"> </w:t>
      </w:r>
      <w:hyperlink r:id="rId86">
        <w:r>
          <w:rPr>
            <w:rStyle w:val="InternetLink"/>
          </w:rPr>
          <w:t xml:space="preserve">https://doi.org/10.1016/j.geoderma.2018.07.019</w:t>
        </w:r>
      </w:hyperlink>
    </w:p>
    <w:bookmarkEnd w:id="87"/>
    <w:bookmarkStart w:id="89" w:name="ref-collins1997"/>
    <w:p>
      <w:pPr>
        <w:pStyle w:val="Bibliography"/>
      </w:pPr>
      <w:r>
        <w:t xml:space="preserve">Collins, A.L., Walling, D.E., Leeks, G.J.L., 1997. Source type ascription for fluvial suspended sediment based on a quantitative composite fingerprinting technique. Catena 29, 1–27. https://doi.org/</w:t>
      </w:r>
      <w:hyperlink r:id="rId88">
        <w:r>
          <w:rPr>
            <w:rStyle w:val="InternetLink"/>
          </w:rPr>
          <w:t xml:space="preserve">https://doi.org/10.1016/S0341-8162(96)00064-1</w:t>
        </w:r>
      </w:hyperlink>
    </w:p>
    <w:bookmarkEnd w:id="89"/>
    <w:bookmarkStart w:id="91" w:name="ref-conrad2015"/>
    <w:p>
      <w:pPr>
        <w:pStyle w:val="Bibliography"/>
      </w:pPr>
      <w:r>
        <w:t xml:space="preserve">Conrad, O., Bechtel, B., Bock, M., Dietrich, H., Fischer, E., Gerlitz, L., Wehberg, J., Wichmann, V., Böhner, J., 2015. System for automated geoscientific analyses (SAGA) v. 2.1.4. Geoscientific Model Development 8, 1991–2007.</w:t>
      </w:r>
      <w:r>
        <w:t xml:space="preserve"> </w:t>
      </w:r>
      <w:hyperlink r:id="rId90">
        <w:r>
          <w:rPr>
            <w:rStyle w:val="InternetLink"/>
          </w:rPr>
          <w:t xml:space="preserve">https://doi.org/10.5194/gmd-8-1991-2015</w:t>
        </w:r>
      </w:hyperlink>
    </w:p>
    <w:bookmarkEnd w:id="91"/>
    <w:bookmarkStart w:id="93" w:name="ref-cox2003"/>
    <w:p>
      <w:pPr>
        <w:pStyle w:val="Bibliography"/>
      </w:pPr>
      <w:r>
        <w:t xml:space="preserve">Cox, M.S., Gerard, P.D., Wardlaw, M.C., Abshire, M.J., 2003. Variability of selected soil properties and their relationships with soybean yield. Soil Science Society of America Journal 67, 1296–1302.</w:t>
      </w:r>
      <w:r>
        <w:t xml:space="preserve"> </w:t>
      </w:r>
      <w:hyperlink r:id="rId92">
        <w:r>
          <w:rPr>
            <w:rStyle w:val="InternetLink"/>
          </w:rPr>
          <w:t xml:space="preserve">https://doi.org/10.2136/sssaj2003.1296</w:t>
        </w:r>
      </w:hyperlink>
    </w:p>
    <w:bookmarkEnd w:id="93"/>
    <w:bookmarkStart w:id="95" w:name="ref-davison1997"/>
    <w:p>
      <w:pPr>
        <w:pStyle w:val="Bibliography"/>
      </w:pPr>
      <w:r>
        <w:t xml:space="preserve">Davison, A.C., Hinkley, D.V., 1997. Bootstrap methods and their applications. Cambridge University Press, Cambridge.</w:t>
      </w:r>
      <w:r>
        <w:t xml:space="preserve"> </w:t>
      </w:r>
      <w:hyperlink r:id="rId94">
        <w:r>
          <w:rPr>
            <w:rStyle w:val="InternetLink"/>
          </w:rPr>
          <w:t xml:space="preserve">https://doi.org/10.1017/CBO9780511802843</w:t>
        </w:r>
      </w:hyperlink>
    </w:p>
    <w:bookmarkEnd w:id="95"/>
    <w:bookmarkStart w:id="97" w:name="ref-derakhshan-babaei2024"/>
    <w:p>
      <w:pPr>
        <w:pStyle w:val="Bibliography"/>
      </w:pPr>
      <w:r>
        <w:t xml:space="preserve">Derakhshan-Babaei, F., Nosrati, K., Fiener, P., Egli, M., Collins, A.L., 2024. Source fingerprinting sediment loss from sub-catchments and topographic zones using geochemical tracers and weathering indices. Journal of Hydrology 633, 131019.</w:t>
      </w:r>
      <w:r>
        <w:t xml:space="preserve"> </w:t>
      </w:r>
      <w:hyperlink r:id="rId96">
        <w:r>
          <w:rPr>
            <w:rStyle w:val="InternetLink"/>
          </w:rPr>
          <w:t xml:space="preserve">https://doi.org/10.1016/j.jhydrol.2024.131019</w:t>
        </w:r>
      </w:hyperlink>
    </w:p>
    <w:bookmarkEnd w:id="97"/>
    <w:bookmarkStart w:id="99" w:name="ref-du2017"/>
    <w:p>
      <w:pPr>
        <w:pStyle w:val="Bibliography"/>
      </w:pPr>
      <w:r>
        <w:t xml:space="preserve">Du, P., Walling, D.E., 2017. Fingerprinting surficial sediment sources: Exploring some potential problems associated with the spatial variability of source material properties. Journal of Environmental Management 194, 4–15. https://doi.org/</w:t>
      </w:r>
      <w:hyperlink r:id="rId98">
        <w:r>
          <w:rPr>
            <w:rStyle w:val="InternetLink"/>
          </w:rPr>
          <w:t xml:space="preserve">https://doi.org/10.1016/j.jenvman.2016.05.066</w:t>
        </w:r>
      </w:hyperlink>
    </w:p>
    <w:bookmarkEnd w:id="99"/>
    <w:bookmarkStart w:id="100" w:name="ref-ehrlich1958"/>
    <w:p>
      <w:pPr>
        <w:pStyle w:val="Bibliography"/>
      </w:pPr>
      <w:r>
        <w:t xml:space="preserve">Ehrlich, W.A., Pratt, L.E., Leclaire, F.P., 1958. Reconnaissance soil survey of west-lake map sheet area.</w:t>
      </w:r>
    </w:p>
    <w:bookmarkEnd w:id="100"/>
    <w:bookmarkStart w:id="102" w:name="X314a104b7afaf0862b1b73f26445508a1e6fc28"/>
    <w:p>
      <w:pPr>
        <w:pStyle w:val="Bibliography"/>
      </w:pPr>
      <w:r>
        <w:t xml:space="preserve">Environment, Climate Change Canada, E., 2026.</w:t>
      </w:r>
      <w:r>
        <w:t xml:space="preserve"> </w:t>
      </w:r>
      <w:hyperlink r:id="rId101">
        <w:r>
          <w:rPr>
            <w:rStyle w:val="InternetLink"/>
          </w:rPr>
          <w:t xml:space="preserve">Canadian Climate Normals</w:t>
        </w:r>
      </w:hyperlink>
      <w:r>
        <w:t xml:space="preserve">.</w:t>
      </w:r>
    </w:p>
    <w:bookmarkEnd w:id="102"/>
    <w:bookmarkStart w:id="104" w:name="ref-esri2024"/>
    <w:p>
      <w:pPr>
        <w:pStyle w:val="Bibliography"/>
      </w:pPr>
      <w:r>
        <w:t xml:space="preserve">Esri, 2024.</w:t>
      </w:r>
      <w:r>
        <w:t xml:space="preserve"> </w:t>
      </w:r>
      <w:hyperlink r:id="rId103">
        <w:r>
          <w:rPr>
            <w:rStyle w:val="InternetLink"/>
          </w:rPr>
          <w:t xml:space="preserve">ArcGIS pro</w:t>
        </w:r>
      </w:hyperlink>
      <w:r>
        <w:t xml:space="preserve">. Esri.</w:t>
      </w:r>
    </w:p>
    <w:bookmarkEnd w:id="104"/>
    <w:bookmarkStart w:id="106" w:name="ref-evrard2022"/>
    <w:p>
      <w:pPr>
        <w:pStyle w:val="Bibliography"/>
      </w:pPr>
      <w:r>
        <w:t xml:space="preserve">Evrard, O., Batista, P.V.G., Company, J., Dabrin, A., Foucher, A., Frankl, A., García-Comendador, J., Huguet, A., Lake, N., Lizaga, I., Martínez-Carreras, N., Navratil, O., Pignol, C., Sellier, V., 2022. Improving the design and implementation of sediment fingerprinting studies: Summary and outcomes of the TRACING 2021 scientific school. Journal of Soils and Sediments 22, 1648–1661.</w:t>
      </w:r>
      <w:r>
        <w:t xml:space="preserve"> </w:t>
      </w:r>
      <w:hyperlink r:id="rId105">
        <w:r>
          <w:rPr>
            <w:rStyle w:val="InternetLink"/>
          </w:rPr>
          <w:t xml:space="preserve">https://doi.org/10.1007/s11368-022-03203-1</w:t>
        </w:r>
      </w:hyperlink>
    </w:p>
    <w:bookmarkEnd w:id="106"/>
    <w:bookmarkStart w:id="108" w:name="ref-soilclassificationworkinggroup1998"/>
    <w:p>
      <w:pPr>
        <w:pStyle w:val="Bibliography"/>
      </w:pPr>
      <w:r>
        <w:t xml:space="preserve">Group, S.C.W., 1998.</w:t>
      </w:r>
      <w:r>
        <w:t xml:space="preserve"> </w:t>
      </w:r>
      <w:hyperlink r:id="rId107">
        <w:r>
          <w:rPr>
            <w:rStyle w:val="InternetLink"/>
          </w:rPr>
          <w:t xml:space="preserve">The canadian system of soil classification</w:t>
        </w:r>
      </w:hyperlink>
      <w:r>
        <w:t xml:space="preserve">, 3rd ed. NRC Research Press, Ottawa, ON, Canada.</w:t>
      </w:r>
    </w:p>
    <w:bookmarkEnd w:id="108"/>
    <w:bookmarkStart w:id="110" w:name="ref-degruijter2006"/>
    <w:p>
      <w:pPr>
        <w:pStyle w:val="Bibliography"/>
      </w:pPr>
      <w:r>
        <w:t xml:space="preserve">Gruijter, J.J. de, Bierkens, M.F.P., Brus, D.J., Knotters, M., 2006. Sampling for natural resource monitoring. Springer Berlin Heidelberg.</w:t>
      </w:r>
      <w:r>
        <w:t xml:space="preserve"> </w:t>
      </w:r>
      <w:hyperlink r:id="rId109">
        <w:r>
          <w:rPr>
            <w:rStyle w:val="InternetLink"/>
          </w:rPr>
          <w:t xml:space="preserve">https://doi.org/10.1007/3-540-33161-1</w:t>
        </w:r>
      </w:hyperlink>
    </w:p>
    <w:bookmarkEnd w:id="110"/>
    <w:bookmarkStart w:id="112" w:name="ref-haddadchi2019"/>
    <w:p>
      <w:pPr>
        <w:pStyle w:val="Bibliography"/>
      </w:pPr>
      <w:r>
        <w:t xml:space="preserve">Haddadchi, A., Hicks, M., Olley, J.M., Singh, S., Srinivasan, M.s., 2019. Grid-based sediment tracing approach to determine sediment sources. Land Degradation and Development 30, 2088–2106.</w:t>
      </w:r>
      <w:r>
        <w:t xml:space="preserve"> </w:t>
      </w:r>
      <w:hyperlink r:id="rId111">
        <w:r>
          <w:rPr>
            <w:rStyle w:val="InternetLink"/>
          </w:rPr>
          <w:t xml:space="preserve">https://doi.org/10.1002/ldr.3407</w:t>
        </w:r>
      </w:hyperlink>
    </w:p>
    <w:bookmarkEnd w:id="112"/>
    <w:bookmarkStart w:id="114" w:name="ref-haluschak1998"/>
    <w:p>
      <w:pPr>
        <w:pStyle w:val="Bibliography"/>
      </w:pPr>
      <w:r>
        <w:t xml:space="preserve">Haluschak, P., Eilers, R.G., Mills, G.F., Grift, S., 1998.</w:t>
      </w:r>
      <w:r>
        <w:t xml:space="preserve"> </w:t>
      </w:r>
      <w:hyperlink r:id="rId113">
        <w:r>
          <w:rPr>
            <w:rStyle w:val="InternetLink"/>
          </w:rPr>
          <w:t xml:space="preserve">Status of selected trace elements in agricultural soils of southern manitoba</w:t>
        </w:r>
      </w:hyperlink>
      <w:r>
        <w:t xml:space="preserve">.</w:t>
      </w:r>
    </w:p>
    <w:bookmarkEnd w:id="114"/>
    <w:bookmarkStart w:id="116" w:name="ref-hengl2018"/>
    <w:p>
      <w:pPr>
        <w:pStyle w:val="Bibliography"/>
      </w:pPr>
      <w:r>
        <w:t xml:space="preserve">Hengl, T., Nussbaum, M., Wright, M.N., Heuvelink, G.B.M., Gräler, B., 2018. Random forest as a generic framework for predictive modeling of spatial and spatio-temporal variables. PeerJ 6, e5518.</w:t>
      </w:r>
      <w:r>
        <w:t xml:space="preserve"> </w:t>
      </w:r>
      <w:hyperlink r:id="rId115">
        <w:r>
          <w:rPr>
            <w:rStyle w:val="InternetLink"/>
          </w:rPr>
          <w:t xml:space="preserve">https://doi.org/10.7717/peerj.5518</w:t>
        </w:r>
      </w:hyperlink>
    </w:p>
    <w:bookmarkEnd w:id="116"/>
    <w:bookmarkStart w:id="118" w:name="ref-hijmans2024"/>
    <w:p>
      <w:pPr>
        <w:pStyle w:val="Bibliography"/>
      </w:pPr>
      <w:r>
        <w:t xml:space="preserve">Hijmans, R.J., 2024.</w:t>
      </w:r>
      <w:r>
        <w:t xml:space="preserve"> </w:t>
      </w:r>
      <w:hyperlink r:id="rId117">
        <w:r>
          <w:rPr>
            <w:rStyle w:val="InternetLink"/>
          </w:rPr>
          <w:t xml:space="preserve">Terra: Spatial data analysis</w:t>
        </w:r>
      </w:hyperlink>
      <w:r>
        <w:t xml:space="preserve">.</w:t>
      </w:r>
    </w:p>
    <w:bookmarkEnd w:id="118"/>
    <w:bookmarkStart w:id="119" w:name="ref-horowitz1991"/>
    <w:p>
      <w:pPr>
        <w:pStyle w:val="Bibliography"/>
      </w:pPr>
      <w:r>
        <w:t xml:space="preserve">Horowitz, A.J., 1991. A primer on sediment-trace element chemistry, 2nd ed. ed. Lewis Publishers, Chelsea, Michigan, USA.</w:t>
      </w:r>
    </w:p>
    <w:bookmarkEnd w:id="119"/>
    <w:bookmarkStart w:id="121" w:name="ref-kariuki2009"/>
    <w:p>
      <w:pPr>
        <w:pStyle w:val="Bibliography"/>
      </w:pPr>
      <w:r>
        <w:t xml:space="preserve">Kariuki, S.K., Zhang, H., Schroder, J.L., Hanks, T., Payton, M., Morris, T., 2009.</w:t>
      </w:r>
      <w:r>
        <w:t xml:space="preserve"> </w:t>
      </w:r>
      <w:hyperlink r:id="rId120">
        <w:r>
          <w:rPr>
            <w:rStyle w:val="InternetLink"/>
          </w:rPr>
          <w:t xml:space="preserve">Spatial variability and soil sampling in a grazed pasture</w:t>
        </w:r>
      </w:hyperlink>
      <w:r>
        <w:t xml:space="preserve">. Communications in Soil Science and Plant Analysis 40, 16741687.</w:t>
      </w:r>
    </w:p>
    <w:bookmarkEnd w:id="121"/>
    <w:bookmarkStart w:id="123" w:name="ref-koiter2021"/>
    <w:p>
      <w:pPr>
        <w:pStyle w:val="Bibliography"/>
      </w:pPr>
      <w:r>
        <w:t xml:space="preserve">Koiter, A., 2021. Colour analysis r scripts.</w:t>
      </w:r>
      <w:r>
        <w:t xml:space="preserve"> </w:t>
      </w:r>
      <w:hyperlink r:id="rId122">
        <w:r>
          <w:rPr>
            <w:rStyle w:val="InternetLink"/>
          </w:rPr>
          <w:t xml:space="preserve">https://doi.org/10.5281/zenodo.5123327</w:t>
        </w:r>
      </w:hyperlink>
    </w:p>
    <w:bookmarkEnd w:id="123"/>
    <w:bookmarkStart w:id="125" w:name="ref-koiter2013"/>
    <w:p>
      <w:pPr>
        <w:pStyle w:val="Bibliography"/>
      </w:pPr>
      <w:r>
        <w:t xml:space="preserve">Koiter, A.J., Owens, P.N., Petticrew, E.L., Lobb, D.A., 2013. The behavioural characteristics of sediment properties and their implications for sediment fingerprinting as an approach for identifying sediment sources in river basins. Earth-Science Reviews 125, 24–42. https://doi.org/</w:t>
      </w:r>
      <w:hyperlink r:id="rId124">
        <w:r>
          <w:rPr>
            <w:rStyle w:val="InternetLink"/>
          </w:rPr>
          <w:t xml:space="preserve">https://doi.org/10.1016/j.earscirev.2013.05.009</w:t>
        </w:r>
      </w:hyperlink>
    </w:p>
    <w:bookmarkEnd w:id="125"/>
    <w:bookmarkStart w:id="127" w:name="ref-kokulan2018"/>
    <w:p>
      <w:pPr>
        <w:pStyle w:val="Bibliography"/>
      </w:pPr>
      <w:r>
        <w:t xml:space="preserve">Kokulan, V., Akinremi, O., Moulin, A.P., Kumaragamage, D., 2018. Importance of terrain attributes in relation to the spatial distribution of soil properties at the micro scale: A case study. Canadian Journal of Soil Science 98, 292–305.</w:t>
      </w:r>
      <w:r>
        <w:t xml:space="preserve"> </w:t>
      </w:r>
      <w:hyperlink r:id="rId126">
        <w:r>
          <w:rPr>
            <w:rStyle w:val="InternetLink"/>
          </w:rPr>
          <w:t xml:space="preserve">https://doi.org/10.1139/cjss-2017-0128</w:t>
        </w:r>
      </w:hyperlink>
    </w:p>
    <w:bookmarkEnd w:id="127"/>
    <w:bookmarkStart w:id="129" w:name="ref-kuhn2008"/>
    <w:p>
      <w:pPr>
        <w:pStyle w:val="Bibliography"/>
      </w:pPr>
      <w:r>
        <w:t xml:space="preserve">Kuhn, Max, 2008. Building predictive models in r using the caret package. Journal of Statistical Software 28, 1–26.</w:t>
      </w:r>
      <w:r>
        <w:t xml:space="preserve"> </w:t>
      </w:r>
      <w:hyperlink r:id="rId128">
        <w:r>
          <w:rPr>
            <w:rStyle w:val="InternetLink"/>
          </w:rPr>
          <w:t xml:space="preserve">https://doi.org/10.18637/jss.v028.i05</w:t>
        </w:r>
      </w:hyperlink>
    </w:p>
    <w:bookmarkEnd w:id="129"/>
    <w:bookmarkStart w:id="131" w:name="ref-lange2025"/>
    <w:p>
      <w:pPr>
        <w:pStyle w:val="Bibliography"/>
      </w:pPr>
      <w:r>
        <w:t xml:space="preserve">Lange, T.M., Gültas, M., Schmitt, A.O., Heinrich, F., 2025. optRF: Optimising random forest stability by determining the optimal number of trees. BMC Bioinformatics.</w:t>
      </w:r>
      <w:r>
        <w:t xml:space="preserve"> </w:t>
      </w:r>
      <w:hyperlink r:id="rId130">
        <w:r>
          <w:rPr>
            <w:rStyle w:val="InternetLink"/>
          </w:rPr>
          <w:t xml:space="preserve">https://doi.org/10.1186/s12859-025-06097-1</w:t>
        </w:r>
      </w:hyperlink>
    </w:p>
    <w:bookmarkEnd w:id="131"/>
    <w:bookmarkStart w:id="133" w:name="ref-lark2018"/>
    <w:p>
      <w:pPr>
        <w:pStyle w:val="Bibliography"/>
      </w:pPr>
      <w:r>
        <w:t xml:space="preserve">Lark, R.M., Marchant, B.P., 2018. How should a spatial-coverage sample design for a geostatistical soil survey be supplemented to support estimation of spatial covariance parameters? Geoderma 319, 89–99.</w:t>
      </w:r>
      <w:r>
        <w:t xml:space="preserve"> </w:t>
      </w:r>
      <w:hyperlink r:id="rId132">
        <w:r>
          <w:rPr>
            <w:rStyle w:val="InternetLink"/>
          </w:rPr>
          <w:t xml:space="preserve">https://doi.org/10.1016/j.geoderma.2017.12.022</w:t>
        </w:r>
      </w:hyperlink>
    </w:p>
    <w:bookmarkEnd w:id="133"/>
    <w:bookmarkStart w:id="135" w:name="ref-liaw2002"/>
    <w:p>
      <w:pPr>
        <w:pStyle w:val="Bibliography"/>
      </w:pPr>
      <w:r>
        <w:t xml:space="preserve">Liaw, A., Wiener, M., 2002.</w:t>
      </w:r>
      <w:r>
        <w:t xml:space="preserve"> </w:t>
      </w:r>
      <w:hyperlink r:id="rId134">
        <w:r>
          <w:rPr>
            <w:rStyle w:val="InternetLink"/>
          </w:rPr>
          <w:t xml:space="preserve">Classification and regression by randomForest</w:t>
        </w:r>
      </w:hyperlink>
      <w:r>
        <w:t xml:space="preserve">. R News 2, 18–22.</w:t>
      </w:r>
    </w:p>
    <w:bookmarkEnd w:id="135"/>
    <w:bookmarkStart w:id="137" w:name="ref-libohova2024"/>
    <w:p>
      <w:pPr>
        <w:pStyle w:val="Bibliography"/>
      </w:pPr>
      <w:r>
        <w:t xml:space="preserve">Libohova, Z., Mancini, M., Winzeler, H.E., Read, Q.D., Sun, N., Beaudette, D., Williams, C., Blackstock, J., Silva, S.H.G., Curi, N., Adhikari, K., Ashworth, A., Minai, J.O., Owens, P.R., 2024. Interpreting the spatial distribution of soil properties with a physically-based distributed hydrological model. Geoderma Regional 39, e00863.</w:t>
      </w:r>
      <w:r>
        <w:t xml:space="preserve"> </w:t>
      </w:r>
      <w:hyperlink r:id="rId136">
        <w:r>
          <w:rPr>
            <w:rStyle w:val="InternetLink"/>
          </w:rPr>
          <w:t xml:space="preserve">https://doi.org/10.1016/j.geodrs.2024.e00863</w:t>
        </w:r>
      </w:hyperlink>
    </w:p>
    <w:bookmarkEnd w:id="137"/>
    <w:bookmarkStart w:id="139" w:name="ref-lima2023"/>
    <w:p>
      <w:pPr>
        <w:pStyle w:val="Bibliography"/>
      </w:pPr>
      <w:r>
        <w:t xml:space="preserve">Lima, F.R.D., Pereira, P., Vasques, I.C.F., Silva Junior, E.C., Mancini, M., Oliveira, J.R., Prianti, M.T.A., Windmöller, C.C., Weindorf, D.C., Curi, N., Ribeiro, B.T., Richardson, J., Marques, J.J., Guilherme, L.R.G., 2023. Predictive modeling of total hg background concentration in soils of the amazon rainforest biome with support of proximal sensors and auxiliary variables. Journal of South American Earth Sciences 129, 104510.</w:t>
      </w:r>
      <w:r>
        <w:t xml:space="preserve"> </w:t>
      </w:r>
      <w:hyperlink r:id="rId138">
        <w:r>
          <w:rPr>
            <w:rStyle w:val="InternetLink"/>
          </w:rPr>
          <w:t xml:space="preserve">https://doi.org/10.1016/j.jsames.2023.104510</w:t>
        </w:r>
      </w:hyperlink>
    </w:p>
    <w:bookmarkEnd w:id="139"/>
    <w:bookmarkStart w:id="141" w:name="ref-lunamiño2024"/>
    <w:p>
      <w:pPr>
        <w:pStyle w:val="Bibliography"/>
      </w:pPr>
      <w:r>
        <w:t xml:space="preserve">Luna Miño, M.A., Koiter, A.J., Lobb, D.A., 2024. Effect of sampling design on characterizing surface soil fingerprinting properties. Journal of Soils and Sediments 24, 2180–2198.</w:t>
      </w:r>
      <w:r>
        <w:t xml:space="preserve"> </w:t>
      </w:r>
      <w:hyperlink r:id="rId140">
        <w:r>
          <w:rPr>
            <w:rStyle w:val="InternetLink"/>
          </w:rPr>
          <w:t xml:space="preserve">https://doi.org/10.1007/s11368-024-03805-x</w:t>
        </w:r>
      </w:hyperlink>
    </w:p>
    <w:bookmarkEnd w:id="141"/>
    <w:bookmarkStart w:id="143" w:name="ref-ma2020"/>
    <w:p>
      <w:pPr>
        <w:pStyle w:val="Bibliography"/>
      </w:pPr>
      <w:r>
        <w:t xml:space="preserve">Ma, T., Brus, D.J., Zhu, A.-X., Zhang, L., Scholten, T., 2020. Comparison of conditioned latin hypercube and feature space coverage sampling for predicting soil classes using simulation from soil maps. Geoderma 370, 114366.</w:t>
      </w:r>
      <w:r>
        <w:t xml:space="preserve"> </w:t>
      </w:r>
      <w:hyperlink r:id="rId142">
        <w:r>
          <w:rPr>
            <w:rStyle w:val="InternetLink"/>
          </w:rPr>
          <w:t xml:space="preserve">https://doi.org/10.1016/j.geoderma.2020.114366</w:t>
        </w:r>
      </w:hyperlink>
    </w:p>
    <w:bookmarkEnd w:id="143"/>
    <w:bookmarkStart w:id="144" w:name="ref-mackay1970"/>
    <w:p>
      <w:pPr>
        <w:pStyle w:val="Bibliography"/>
      </w:pPr>
      <w:r>
        <w:t xml:space="preserve">MacKay, G.H., 1970. A quantitative study of geomorphology of the wilson creek watershed, manitoba (MSC thesis). University of Manitoba, Winnipeg, MB.</w:t>
      </w:r>
    </w:p>
    <w:bookmarkEnd w:id="144"/>
    <w:bookmarkStart w:id="146" w:name="ref-mashalaba2020"/>
    <w:p>
      <w:pPr>
        <w:pStyle w:val="Bibliography"/>
      </w:pPr>
      <w:r>
        <w:t xml:space="preserve">Mashalaba, L., Galleguillos, M., Seguel, O., Poblete-Olivares, J., 2020. Predicting spatial variability of selected soil properties using digital soil mapping in a rainfed vineyard of central chile. Geoderma Regional 22, e00289.</w:t>
      </w:r>
      <w:r>
        <w:t xml:space="preserve"> </w:t>
      </w:r>
      <w:hyperlink r:id="rId145">
        <w:r>
          <w:rPr>
            <w:rStyle w:val="InternetLink"/>
          </w:rPr>
          <w:t xml:space="preserve">https://doi.org/10.1016/j.geodrs.2020.e00289</w:t>
        </w:r>
      </w:hyperlink>
    </w:p>
    <w:bookmarkEnd w:id="146"/>
    <w:bookmarkStart w:id="148" w:name="ref-mehnatkesh2013"/>
    <w:p>
      <w:pPr>
        <w:pStyle w:val="Bibliography"/>
      </w:pPr>
      <w:r>
        <w:t xml:space="preserve">Mehnatkesh, A., Ayoubi, S., Jalalian, A., Sahrawat, K.L., 2013. Relationships between soil depth and terrain attributes in a semi arid hilly region in western iran. Journal of Mountain Science 10, 163–172.</w:t>
      </w:r>
      <w:r>
        <w:t xml:space="preserve"> </w:t>
      </w:r>
      <w:hyperlink r:id="rId147">
        <w:r>
          <w:rPr>
            <w:rStyle w:val="InternetLink"/>
          </w:rPr>
          <w:t xml:space="preserve">https://doi.org/10.1007/s11629-013-2427-9</w:t>
        </w:r>
      </w:hyperlink>
    </w:p>
    <w:bookmarkEnd w:id="148"/>
    <w:bookmarkStart w:id="150" w:name="ref-mello2022"/>
    <w:p>
      <w:pPr>
        <w:pStyle w:val="Bibliography"/>
      </w:pPr>
      <w:r>
        <w:t xml:space="preserve">Mello, F.A.O., Demattê, J.A.M., Rizzo, R., Mello, D.C. de, Poppiel, R.R., Silvero, N.E.Q., Safanelli, J.L., Bellinaso, H., Bonfatti, B.R., Gomez, A.M.R., Sousa, G.P.B., 2022. Complex hydrological knowledge to support digital soil mapping. Geoderma 409, 115638.</w:t>
      </w:r>
      <w:r>
        <w:t xml:space="preserve"> </w:t>
      </w:r>
      <w:hyperlink r:id="rId149">
        <w:r>
          <w:rPr>
            <w:rStyle w:val="InternetLink"/>
          </w:rPr>
          <w:t xml:space="preserve">https://doi.org/10.1016/j.geoderma.2021.115638</w:t>
        </w:r>
      </w:hyperlink>
    </w:p>
    <w:bookmarkEnd w:id="150"/>
    <w:bookmarkStart w:id="152" w:name="ref-minasny2006"/>
    <w:p>
      <w:pPr>
        <w:pStyle w:val="Bibliography"/>
      </w:pPr>
      <w:r>
        <w:t xml:space="preserve">Minasny, B., McBratney, A.B., 2006. A conditioned latin hypercube method for sampling in the presence of ancillary information. Computers &amp; Geosciences 32, 1378–1388.</w:t>
      </w:r>
      <w:r>
        <w:t xml:space="preserve"> </w:t>
      </w:r>
      <w:hyperlink r:id="rId151">
        <w:r>
          <w:rPr>
            <w:rStyle w:val="InternetLink"/>
          </w:rPr>
          <w:t xml:space="preserve">https://doi.org/10.1016/j.cageo.2005.12.009</w:t>
        </w:r>
      </w:hyperlink>
    </w:p>
    <w:bookmarkEnd w:id="152"/>
    <w:bookmarkStart w:id="154" w:name="ref-mzuku2005"/>
    <w:p>
      <w:pPr>
        <w:pStyle w:val="Bibliography"/>
      </w:pPr>
      <w:r>
        <w:t xml:space="preserve">Mzuku, M., Khosla, R., Reich, R., Inman, D., Smith, F., MacDonald, L., 2005. Spatial variability of measured soil properties across site-specific management zones. Soil Science Society of America Journal 69, 1572–1579.</w:t>
      </w:r>
      <w:r>
        <w:t xml:space="preserve"> </w:t>
      </w:r>
      <w:hyperlink r:id="rId153">
        <w:r>
          <w:rPr>
            <w:rStyle w:val="InternetLink"/>
          </w:rPr>
          <w:t xml:space="preserve">https://doi.org/10.2136/sssaj2005.0062</w:t>
        </w:r>
      </w:hyperlink>
    </w:p>
    <w:bookmarkEnd w:id="154"/>
    <w:bookmarkStart w:id="156" w:name="ref-Naimi2014"/>
    <w:p>
      <w:pPr>
        <w:pStyle w:val="Bibliography"/>
      </w:pPr>
      <w:r>
        <w:t xml:space="preserve">Naimi, B., Hamm, N. a.s., Groen, T.A., Skidmore, A.K., Toxopeus, A.G., 2014. Where is positional uncertainty a problem for species distribution modelling. Ecography 37, 191–203.</w:t>
      </w:r>
      <w:r>
        <w:t xml:space="preserve"> </w:t>
      </w:r>
      <w:hyperlink r:id="rId155">
        <w:r>
          <w:rPr>
            <w:rStyle w:val="InternetLink"/>
          </w:rPr>
          <w:t xml:space="preserve">https://doi.org/10.1111/j.1600-0587.2013.00205.x</w:t>
        </w:r>
      </w:hyperlink>
    </w:p>
    <w:bookmarkEnd w:id="156"/>
    <w:bookmarkStart w:id="157" w:name="ref-nicolas2011"/>
    <w:p>
      <w:pPr>
        <w:pStyle w:val="Bibliography"/>
      </w:pPr>
      <w:r>
        <w:t xml:space="preserve">Nicolas, M.P.B., Bamburak, J.D., 2011. Geochemistry and mineralogy of cretaceous shale, southwestern manitoba (parts of NTS 62F, g, j, k, n, 63C): Phase 2 results. Manitoba Innovation, Energy; Mines, Manitoba Geological Survey.</w:t>
      </w:r>
    </w:p>
    <w:bookmarkEnd w:id="157"/>
    <w:bookmarkStart w:id="159" w:name="ref-nosrati2020"/>
    <w:p>
      <w:pPr>
        <w:pStyle w:val="Bibliography"/>
      </w:pPr>
      <w:r>
        <w:t xml:space="preserve">Nosrati, K., Akbari-Mahdiabad, M., Ayoubi, S., Degos, E., Koubansky, A., Coquatrix, Q., Pulley, S., Collins, A.L., 2020. Storm dust source fingerprinting for different particle size fractions using colour and magnetic susceptibility and a bayesian un-mixing model. Environmental Science and Pollution Research 27, 31578–31594.</w:t>
      </w:r>
      <w:r>
        <w:t xml:space="preserve"> </w:t>
      </w:r>
      <w:hyperlink r:id="rId158">
        <w:r>
          <w:rPr>
            <w:rStyle w:val="InternetLink"/>
          </w:rPr>
          <w:t xml:space="preserve">https://doi.org/10.1007/s11356-020-09249-3</w:t>
        </w:r>
      </w:hyperlink>
    </w:p>
    <w:bookmarkEnd w:id="159"/>
    <w:bookmarkStart w:id="160" w:name="ref-papiernik2005"/>
    <w:p>
      <w:pPr>
        <w:pStyle w:val="Bibliography"/>
      </w:pPr>
      <w:r>
        <w:t xml:space="preserve">Papiernik, S.K., Lindstrom, M.J., Schumacher, J.A., Farenhorst, A., Stephens, K.D., Schumacher, T.E., Lobb, D.A., 2005. Variation in soil properties and crop yield across an eroded prairie landscape. Journal of Soil and Water Conservation 60, 8.</w:t>
      </w:r>
    </w:p>
    <w:bookmarkEnd w:id="160"/>
    <w:bookmarkStart w:id="161" w:name="ref-pennock2008"/>
    <w:p>
      <w:pPr>
        <w:pStyle w:val="Bibliography"/>
      </w:pPr>
      <w:r>
        <w:t xml:space="preserve">Pennock, D., Yates, T., Braidek, J., 2008. Soil sampling designs, in: Carter, M.R., Gregorich, E.G. (Eds.),. CRC Press, Boca Raton, FL, USA, pp. 1–14.</w:t>
      </w:r>
    </w:p>
    <w:bookmarkEnd w:id="161"/>
    <w:bookmarkStart w:id="163" w:name="ref-pham2025"/>
    <w:p>
      <w:pPr>
        <w:pStyle w:val="Bibliography"/>
      </w:pPr>
      <w:r>
        <w:t xml:space="preserve">Pham, T.-H., Osterloh, K., Nguyen, K.-D., 2025. Mapping of soil sampling sites using terrain and hydrological attributes. Artificial Intelligence in Agriculture 15, 470–481.</w:t>
      </w:r>
      <w:r>
        <w:t xml:space="preserve"> </w:t>
      </w:r>
      <w:hyperlink r:id="rId162">
        <w:r>
          <w:rPr>
            <w:rStyle w:val="InternetLink"/>
          </w:rPr>
          <w:t xml:space="preserve">https://doi.org/10.1016/j.aiia.2025.04.007</w:t>
        </w:r>
      </w:hyperlink>
    </w:p>
    <w:bookmarkEnd w:id="163"/>
    <w:bookmarkStart w:id="165" w:name="ref-pulley2018"/>
    <w:p>
      <w:pPr>
        <w:pStyle w:val="Bibliography"/>
      </w:pPr>
      <w:r>
        <w:t xml:space="preserve">Pulley, S., Collins, A.L., Van der Waal, B., 2018. Variability in the mineral magnetic properties of soils and sediments within a single field in the cape fold mountains, south africa: Implications for sediment source tracing. CATENA 163, 172–183.</w:t>
      </w:r>
      <w:r>
        <w:t xml:space="preserve"> </w:t>
      </w:r>
      <w:hyperlink r:id="rId164">
        <w:r>
          <w:rPr>
            <w:rStyle w:val="InternetLink"/>
          </w:rPr>
          <w:t xml:space="preserve">https://doi.org/10.1016/j.catena.2017.12.019</w:t>
        </w:r>
      </w:hyperlink>
    </w:p>
    <w:bookmarkEnd w:id="165"/>
    <w:bookmarkStart w:id="167" w:name="ref-pulley2017"/>
    <w:p>
      <w:pPr>
        <w:pStyle w:val="Bibliography"/>
      </w:pPr>
      <w:r>
        <w:t xml:space="preserve">Pulley, S., Foster, I., Collins, A.L., 2017.</w:t>
      </w:r>
      <w:r>
        <w:t xml:space="preserve"> </w:t>
      </w:r>
      <w:hyperlink r:id="rId166">
        <w:r>
          <w:rPr>
            <w:rStyle w:val="InternetLink"/>
          </w:rPr>
          <w:t xml:space="preserve">The impact of catchment source group classification on the accuracy of sediment fingerprinting outputs</w:t>
        </w:r>
      </w:hyperlink>
      <w:r>
        <w:t xml:space="preserve">. Journal of Environmental Management 194, 16–26.</w:t>
      </w:r>
    </w:p>
    <w:bookmarkEnd w:id="167"/>
    <w:bookmarkStart w:id="169" w:name="ref-ritchie1970"/>
    <w:p>
      <w:pPr>
        <w:pStyle w:val="Bibliography"/>
      </w:pPr>
      <w:r>
        <w:t xml:space="preserve">Ritchie, J.C., Clebsch, E.E.C., Rudolph, W.K., 1970.</w:t>
      </w:r>
      <w:r>
        <w:t xml:space="preserve"> </w:t>
      </w:r>
      <w:hyperlink r:id="rId168">
        <w:r>
          <w:rPr>
            <w:rStyle w:val="InternetLink"/>
          </w:rPr>
          <w:t xml:space="preserve">Distribution of fallout and natural gamma radionuclides in litter, humus and surface mineral soil layers under natural vegetation in the great smoky mountains, north carolina-tennessee</w:t>
        </w:r>
      </w:hyperlink>
      <w:r>
        <w:t xml:space="preserve">. Health Physics 18, 479.</w:t>
      </w:r>
    </w:p>
    <w:bookmarkEnd w:id="169"/>
    <w:bookmarkStart w:id="171" w:name="ref-rizzo2016"/>
    <w:p>
      <w:pPr>
        <w:pStyle w:val="Bibliography"/>
      </w:pPr>
      <w:r>
        <w:t xml:space="preserve">Rizzo, R., Demattê, J.A.M., Lepsch, I.F., Gallo, B.C., Fongaro, C.T., 2016. Digital soil mapping at local scale using a multi-depth vis</w:t>
      </w:r>
      <w:r>
        <w:t xml:space="preserve">NIR spectral library and terrain attributes. Geoderma 274, 18–27.</w:t>
      </w:r>
      <w:r>
        <w:t xml:space="preserve"> </w:t>
      </w:r>
      <w:hyperlink r:id="rId170">
        <w:r>
          <w:rPr>
            <w:rStyle w:val="InternetLink"/>
          </w:rPr>
          <w:t xml:space="preserve">https://doi.org/10.1016/j.geoderma.2016.03.019</w:t>
        </w:r>
      </w:hyperlink>
    </w:p>
    <w:bookmarkEnd w:id="171"/>
    <w:bookmarkStart w:id="173" w:name="ref-rstudio2026"/>
    <w:p>
      <w:pPr>
        <w:pStyle w:val="Bibliography"/>
      </w:pPr>
      <w:r>
        <w:t xml:space="preserve">RStudio, 2026.</w:t>
      </w:r>
      <w:r>
        <w:t xml:space="preserve"> </w:t>
      </w:r>
      <w:hyperlink r:id="rId172">
        <w:r>
          <w:rPr>
            <w:rStyle w:val="InternetLink"/>
          </w:rPr>
          <w:t xml:space="preserve">RStudio: Integrated development environment for r</w:t>
        </w:r>
      </w:hyperlink>
      <w:r>
        <w:t xml:space="preserve">.</w:t>
      </w:r>
    </w:p>
    <w:bookmarkEnd w:id="173"/>
    <w:bookmarkStart w:id="175" w:name="ref-soligo2023"/>
    <w:p>
      <w:pPr>
        <w:pStyle w:val="Bibliography"/>
      </w:pPr>
      <w:r>
        <w:t xml:space="preserve">Soligo, M.F., Pedron, F. de A., Moura-Bueno, J.M., Horst, T.Z., Dalmolin, R.S.D., Nalin, R.S., 2023. Sampling design and spatial modeling of available phosphorus in a complex agricultural area in southern brazil. Journal of Soil Science and Plant Nutrition 23, 6125–6138.</w:t>
      </w:r>
      <w:r>
        <w:t xml:space="preserve"> </w:t>
      </w:r>
      <w:hyperlink r:id="rId174">
        <w:r>
          <w:rPr>
            <w:rStyle w:val="InternetLink"/>
          </w:rPr>
          <w:t xml:space="preserve">https://doi.org/10.1007/s42729-023-01470-6</w:t>
        </w:r>
      </w:hyperlink>
    </w:p>
    <w:bookmarkEnd w:id="175"/>
    <w:bookmarkStart w:id="177" w:name="ref-starr1995"/>
    <w:p>
      <w:pPr>
        <w:pStyle w:val="Bibliography"/>
      </w:pPr>
      <w:r>
        <w:t xml:space="preserve">Starr, J.L., Meisinger, J.J., Parkin, T.B., 1995. Influence of sample size on chemical and physical soil measurements. Soil Science Society of America Journal 59, 713–719.</w:t>
      </w:r>
      <w:r>
        <w:t xml:space="preserve"> </w:t>
      </w:r>
      <w:hyperlink r:id="rId176">
        <w:r>
          <w:rPr>
            <w:rStyle w:val="InternetLink"/>
          </w:rPr>
          <w:t xml:space="preserve">https://doi.org/10.2136/sssaj1995.03615995005900030012x</w:t>
        </w:r>
      </w:hyperlink>
    </w:p>
    <w:bookmarkEnd w:id="177"/>
    <w:bookmarkStart w:id="179" w:name="ref-stonehouse1971"/>
    <w:p>
      <w:pPr>
        <w:pStyle w:val="Bibliography"/>
      </w:pPr>
      <w:r>
        <w:t xml:space="preserve">Stonehouse, H.B., St. Arnaud, R.J., 1971. Distribution of iron, clay and extractable iron and aluminum in some saskatchewan soils. Canadian Journal of Soil Science 51, 283–292.</w:t>
      </w:r>
      <w:r>
        <w:t xml:space="preserve"> </w:t>
      </w:r>
      <w:hyperlink r:id="rId178">
        <w:r>
          <w:rPr>
            <w:rStyle w:val="InternetLink"/>
          </w:rPr>
          <w:t xml:space="preserve">https://doi.org/10.4141/cjss71-036</w:t>
        </w:r>
      </w:hyperlink>
    </w:p>
    <w:bookmarkEnd w:id="179"/>
    <w:bookmarkStart w:id="181" w:name="ref-sun2021"/>
    <w:p>
      <w:pPr>
        <w:pStyle w:val="Bibliography"/>
      </w:pPr>
      <w:r>
        <w:t xml:space="preserve">Sun, Y., Guo, W., Weindorf, D.C., Sun, F., Deb, S., Cao, G., Neupane, J., Lin, Z., Raihan, A., 2021. Field-scale spatial variability of soil calcium in a semi-arid region: Implications for soil erosion and site-specific management. PEDOSPHERE 31, 705–714.</w:t>
      </w:r>
      <w:r>
        <w:t xml:space="preserve"> </w:t>
      </w:r>
      <w:hyperlink r:id="rId180">
        <w:r>
          <w:rPr>
            <w:rStyle w:val="InternetLink"/>
          </w:rPr>
          <w:t xml:space="preserve">https://doi.org/10.1016/S1002-0160(21)60019-X</w:t>
        </w:r>
      </w:hyperlink>
    </w:p>
    <w:bookmarkEnd w:id="181"/>
    <w:bookmarkStart w:id="183" w:name="ref-tajik2012"/>
    <w:p>
      <w:pPr>
        <w:pStyle w:val="Bibliography"/>
      </w:pPr>
      <w:r>
        <w:t xml:space="preserve">Tajik, S., Ayoubi, S., Nourbakhsh, F., 2012. Prediction of soil enzymes activity by digital terrain analysis: Comparing artificial neural network and multiple linear regression models. Environmental Engineering Science 29, 798–806.</w:t>
      </w:r>
      <w:r>
        <w:t xml:space="preserve"> </w:t>
      </w:r>
      <w:hyperlink r:id="rId182">
        <w:r>
          <w:rPr>
            <w:rStyle w:val="InternetLink"/>
          </w:rPr>
          <w:t xml:space="preserve">https://doi.org/10.1089/ees.2011.0313</w:t>
        </w:r>
      </w:hyperlink>
    </w:p>
    <w:bookmarkEnd w:id="183"/>
    <w:bookmarkStart w:id="185" w:name="ref-rcoreteam2026"/>
    <w:p>
      <w:pPr>
        <w:pStyle w:val="Bibliography"/>
      </w:pPr>
      <w:r>
        <w:t xml:space="preserve">Team, R.C., 2026.</w:t>
      </w:r>
      <w:r>
        <w:t xml:space="preserve"> </w:t>
      </w:r>
      <w:hyperlink r:id="rId184">
        <w:r>
          <w:rPr>
            <w:rStyle w:val="InternetLink"/>
          </w:rPr>
          <w:t xml:space="preserve">R: A language and environment for statistical computing</w:t>
        </w:r>
      </w:hyperlink>
      <w:r>
        <w:t xml:space="preserve">.</w:t>
      </w:r>
    </w:p>
    <w:bookmarkEnd w:id="185"/>
    <w:bookmarkStart w:id="187" w:name="ref-umali2012"/>
    <w:p>
      <w:pPr>
        <w:pStyle w:val="Bibliography"/>
      </w:pPr>
      <w:r>
        <w:t xml:space="preserve">Umali, B.P., Oliver, D.P., Forrester, S., Chittleborough, D.J., Hutson, J.L., Kookana, R.S., Ostendorf, B., 2012. The effect of terrain and management on the spatial variability of soil properties in an apple orchard. CATENA 93, 38–48.</w:t>
      </w:r>
      <w:r>
        <w:t xml:space="preserve"> </w:t>
      </w:r>
      <w:hyperlink r:id="rId186">
        <w:r>
          <w:rPr>
            <w:rStyle w:val="InternetLink"/>
          </w:rPr>
          <w:t xml:space="preserve">https://doi.org/10.1016/j.catena.2012.01.010</w:t>
        </w:r>
      </w:hyperlink>
    </w:p>
    <w:bookmarkEnd w:id="187"/>
    <w:bookmarkStart w:id="189" w:name="ref-vasu2017"/>
    <w:p>
      <w:pPr>
        <w:pStyle w:val="Bibliography"/>
      </w:pPr>
      <w:r>
        <w:t xml:space="preserve">Vasu, D., Singh, S.K., Sahu, N., Tiwary, P., Chandran, P., Duraisami, V.P., Ramamurthy, V., Lalitha, M., Kalaiselvi, B., 2017. Assessment of spatial variability of soil properties using geospatial techniques for farm level nutrient management. Soil and Tillage Research 169, 25–34.</w:t>
      </w:r>
      <w:r>
        <w:t xml:space="preserve"> </w:t>
      </w:r>
      <w:hyperlink r:id="rId188">
        <w:r>
          <w:rPr>
            <w:rStyle w:val="InternetLink"/>
          </w:rPr>
          <w:t xml:space="preserve">https://doi.org/10.1016/j.still.2017.01.006</w:t>
        </w:r>
      </w:hyperlink>
    </w:p>
    <w:bookmarkEnd w:id="189"/>
    <w:bookmarkStart w:id="191" w:name="ref-vidon2010"/>
    <w:p>
      <w:pPr>
        <w:pStyle w:val="Bibliography"/>
      </w:pPr>
      <w:r>
        <w:t xml:space="preserve">Vidon, P., Allan, C., Burns, D., Duval, T.P., Gurwick, N., Inamdar, S., Lowrance, R., Okay, J., Scott, D., Sebestyen, S., 2010. Hot spots and hot moments in riparian zones: Potential for improved water quality management. Journal of the American Water Resources Association 46, 278–298.</w:t>
      </w:r>
      <w:r>
        <w:t xml:space="preserve"> </w:t>
      </w:r>
      <w:hyperlink r:id="rId190">
        <w:r>
          <w:rPr>
            <w:rStyle w:val="InternetLink"/>
          </w:rPr>
          <w:t xml:space="preserve">https://doi.org/10.1111/j.1752-1688.2010.00420.x</w:t>
        </w:r>
      </w:hyperlink>
    </w:p>
    <w:bookmarkEnd w:id="191"/>
    <w:bookmarkStart w:id="193" w:name="ref-viscarrarossel2009"/>
    <w:p>
      <w:pPr>
        <w:pStyle w:val="Bibliography"/>
      </w:pPr>
      <w:r>
        <w:t xml:space="preserve">Viscarra Rossel, R.A., Cattle, S.R., Ortega, A., Fouad, Y., 2009. In situ measurements of soil colour, mineral composition and clay content by vis</w:t>
      </w:r>
      <w:r>
        <w:t xml:space="preserve">NIR spectroscopy. Geoderma 150, 253–266.</w:t>
      </w:r>
      <w:r>
        <w:t xml:space="preserve"> </w:t>
      </w:r>
      <w:hyperlink r:id="rId192">
        <w:r>
          <w:rPr>
            <w:rStyle w:val="InternetLink"/>
          </w:rPr>
          <w:t xml:space="preserve">https://doi.org/10.1016/j.geoderma.2009.01.025</w:t>
        </w:r>
      </w:hyperlink>
    </w:p>
    <w:bookmarkEnd w:id="193"/>
    <w:bookmarkStart w:id="194" w:name="ref-viscarrarossel2006"/>
    <w:p>
      <w:pPr>
        <w:pStyle w:val="Bibliography"/>
      </w:pPr>
      <w:r>
        <w:t xml:space="preserve">Viscarra Rossel, R.A., Minasny, B., Roudier, P., McBratney, A.B., 2006. Colour space models for soil science. Geoderma 133, 320337.</w:t>
      </w:r>
    </w:p>
    <w:bookmarkEnd w:id="194"/>
    <w:bookmarkStart w:id="195" w:name="ref-wickham2016"/>
    <w:p>
      <w:pPr>
        <w:pStyle w:val="Bibliography"/>
      </w:pPr>
      <w:r>
        <w:t xml:space="preserve">Wickham, H., 2016. ggplot2: Elegant graphics for data analysis. Springer-Verlag, New York NY U.S.A.</w:t>
      </w:r>
    </w:p>
    <w:bookmarkEnd w:id="195"/>
    <w:bookmarkStart w:id="197" w:name="ref-wilkinson2015"/>
    <w:p>
      <w:pPr>
        <w:pStyle w:val="Bibliography"/>
      </w:pPr>
      <w:r>
        <w:t xml:space="preserve">Wilkinson, S.N., Olley, J.M., Furuichi, T., Burton, J., Kinsey-Henderson, A.E., 2015. Sediment source tracing with stratified sampling and weightings based on spatial gradients in soil erosion. Journal of Soils and Sediments 15, 2038–2051.</w:t>
      </w:r>
      <w:r>
        <w:t xml:space="preserve"> </w:t>
      </w:r>
      <w:hyperlink r:id="rId196">
        <w:r>
          <w:rPr>
            <w:rStyle w:val="InternetLink"/>
          </w:rPr>
          <w:t xml:space="preserve">https://doi.org/10.1007/s11368-015-1134-2</w:t>
        </w:r>
      </w:hyperlink>
    </w:p>
    <w:bookmarkEnd w:id="197"/>
    <w:bookmarkStart w:id="199" w:name="ref-xiong2022"/>
    <w:p>
      <w:pPr>
        <w:pStyle w:val="Bibliography"/>
      </w:pPr>
      <w:r>
        <w:t xml:space="preserve">Xiong, L., Li, S., Tang, G., Strobl, J., 2022. Geomorphometry and terrain analysis: Data, methods, platforms and applications. Earth-Science Reviews 233, 104191.</w:t>
      </w:r>
      <w:r>
        <w:t xml:space="preserve"> </w:t>
      </w:r>
      <w:hyperlink r:id="rId198">
        <w:r>
          <w:rPr>
            <w:rStyle w:val="InternetLink"/>
          </w:rPr>
          <w:t xml:space="preserve">https://doi.org/10.1016/j.earscirev.2022.104191</w:t>
        </w:r>
      </w:hyperlink>
    </w:p>
    <w:bookmarkEnd w:id="199"/>
    <w:bookmarkStart w:id="201" w:name="ref-zhang2012"/>
    <w:p>
      <w:pPr>
        <w:pStyle w:val="Bibliography"/>
      </w:pPr>
      <w:r>
        <w:t xml:space="preserve">Zhang, S., Huang, Y., Shen, C., Ye, H., Du, Y., 2012. Spatial prediction of soil organic matter using terrain indices and categorical variables as auxiliary information. Geoderma, Entering the digital era: Special issue of pedometrics 2009, beijing 171-172, 35–43.</w:t>
      </w:r>
      <w:r>
        <w:t xml:space="preserve"> </w:t>
      </w:r>
      <w:hyperlink r:id="rId200">
        <w:r>
          <w:rPr>
            <w:rStyle w:val="InternetLink"/>
          </w:rPr>
          <w:t xml:space="preserve">https://doi.org/10.1016/j.geoderma.2011.07.012</w:t>
        </w:r>
      </w:hyperlink>
    </w:p>
    <w:bookmarkEnd w:id="201"/>
    <w:bookmarkStart w:id="203" w:name="ref-zízala2024"/>
    <w:p>
      <w:pPr>
        <w:pStyle w:val="Bibliography"/>
      </w:pPr>
      <w:r>
        <w:t xml:space="preserve">Žížala, D., Princ, T., Skála, J., Juřicová, A., Lukas, V., Bohovic, R., Zádorová, T., Minařík, R., 2024. Soil sampling design matters - enhancing the efficiency of digital soil mapping at the field scale. Geoderma Regional 39, e00874.</w:t>
      </w:r>
      <w:r>
        <w:t xml:space="preserve"> </w:t>
      </w:r>
      <w:hyperlink r:id="rId202">
        <w:r>
          <w:rPr>
            <w:rStyle w:val="InternetLink"/>
          </w:rPr>
          <w:t xml:space="preserve">https://doi.org/10.1016/j.geodrs.2024.e00874</w:t>
        </w:r>
      </w:hyperlink>
    </w:p>
    <w:bookmarkEnd w:id="203"/>
    <w:bookmarkEnd w:id="204"/>
    <w:bookmarkEnd w:id="205"/>
    <w:bookmarkStart w:id="218" w:name="supplemental-figures"/>
    <w:p>
      <w:pPr>
        <w:pStyle w:val="Heading2"/>
      </w:pPr>
      <w:r>
        <w:t xml:space="preserve">Supplemental figures</w:t>
      </w:r>
    </w:p>
    <w:tbl>
      <w:tblPr>
        <w:tblStyle w:val="Table"/>
        <w:tblW w:type="pct" w:w="5000"/>
        <w:tblLayout w:type="fixed"/>
        <w:tblLook w:firstRow="0" w:lastRow="0" w:firstColumn="0" w:lastColumn="0" w:noHBand="0" w:noVBand="0" w:val="0000"/>
      </w:tblPr>
      <w:tblGrid>
        <w:gridCol w:w="7920"/>
      </w:tblGrid>
      <w:tr>
        <w:tc>
          <w:tcPr/>
          <w:bookmarkStart w:id="209" w:name="suppfig-ag_RF_summary"/>
          <w:p>
            <w:pPr>
              <w:pStyle w:val="Compact"/>
              <w:jc w:val="center"/>
            </w:pPr>
            <w:r>
              <w:drawing>
                <wp:inline>
                  <wp:extent cx="5943600" cy="5943600"/>
                  <wp:effectExtent b="0" l="0" r="0" t="0"/>
                  <wp:docPr descr="" title="" id="207" name="Picture"/>
                  <a:graphic>
                    <a:graphicData uri="http://schemas.openxmlformats.org/drawingml/2006/picture">
                      <pic:pic>
                        <pic:nvPicPr>
                          <pic:cNvPr descr="images/Ag_RF_summary.png" id="208" name="Picture"/>
                          <pic:cNvPicPr>
                            <a:picLocks noChangeArrowheads="1" noChangeAspect="1"/>
                          </pic:cNvPicPr>
                        </pic:nvPicPr>
                        <pic:blipFill>
                          <a:blip r:embed="rId206"/>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S1: Variable importance, expressed as the percentage increase in Mean Squared Error, for soil colour and geochemical fingerprint properties derived from random forest models using terrain attributes as predictorsat the agricultural site.</w:t>
            </w:r>
          </w:p>
          <w:bookmarkEnd w:id="209"/>
        </w:tc>
      </w:tr>
    </w:tbl>
    <w:p>
      <w:pPr>
        <w:pStyle w:val="TextBody"/>
      </w:pPr>
      <w:r>
        <w:t xml:space="preserve"> </w:t>
      </w:r>
    </w:p>
    <w:tbl>
      <w:tblPr>
        <w:tblStyle w:val="Table"/>
        <w:tblW w:type="pct" w:w="5000"/>
        <w:tblLayout w:type="fixed"/>
        <w:tblLook w:firstRow="0" w:lastRow="0" w:firstColumn="0" w:lastColumn="0" w:noHBand="0" w:noVBand="0" w:val="0000"/>
      </w:tblPr>
      <w:tblGrid>
        <w:gridCol w:w="7920"/>
      </w:tblGrid>
      <w:tr>
        <w:tc>
          <w:tcPr/>
          <w:bookmarkStart w:id="213" w:name="suppfig-forest_RF_summary"/>
          <w:p>
            <w:pPr>
              <w:pStyle w:val="Compact"/>
              <w:jc w:val="center"/>
            </w:pPr>
            <w:r>
              <w:drawing>
                <wp:inline>
                  <wp:extent cx="5943600" cy="2971800"/>
                  <wp:effectExtent b="0" l="0" r="0" t="0"/>
                  <wp:docPr descr="" title="" id="211" name="Picture"/>
                  <a:graphic>
                    <a:graphicData uri="http://schemas.openxmlformats.org/drawingml/2006/picture">
                      <pic:pic>
                        <pic:nvPicPr>
                          <pic:cNvPr descr="images/Forest_RF_summary.png" id="212" name="Picture"/>
                          <pic:cNvPicPr>
                            <a:picLocks noChangeArrowheads="1" noChangeAspect="1"/>
                          </pic:cNvPicPr>
                        </pic:nvPicPr>
                        <pic:blipFill>
                          <a:blip r:embed="rId210"/>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S2: Variable importance, expressed as the percentage increase in Mean Squared Error, for soil colour and geochemical fingerprint properties derived from random forest models using terrain attributes as predictorsat the forest site.</w:t>
            </w:r>
          </w:p>
          <w:bookmarkEnd w:id="213"/>
        </w:tc>
      </w:tr>
    </w:tbl>
    <w:p>
      <w:pPr>
        <w:pStyle w:val="TextBody"/>
      </w:pPr>
      <w:r>
        <w:t xml:space="preserve"> </w:t>
      </w:r>
    </w:p>
    <w:tbl>
      <w:tblPr>
        <w:tblStyle w:val="Table"/>
        <w:tblW w:type="pct" w:w="5000"/>
        <w:tblLayout w:type="fixed"/>
        <w:tblLook w:firstRow="0" w:lastRow="0" w:firstColumn="0" w:lastColumn="0" w:noHBand="0" w:noVBand="0" w:val="0000"/>
      </w:tblPr>
      <w:tblGrid>
        <w:gridCol w:w="7920"/>
      </w:tblGrid>
      <w:tr>
        <w:tc>
          <w:tcPr/>
          <w:bookmarkStart w:id="217" w:name="suppfig-cluster_summary"/>
          <w:p>
            <w:pPr>
              <w:pStyle w:val="Compact"/>
              <w:jc w:val="center"/>
            </w:pPr>
            <w:r>
              <w:drawing>
                <wp:inline>
                  <wp:extent cx="5943600" cy="4457699"/>
                  <wp:effectExtent b="0" l="0" r="0" t="0"/>
                  <wp:docPr descr="" title="" id="215" name="Picture"/>
                  <a:graphic>
                    <a:graphicData uri="http://schemas.openxmlformats.org/drawingml/2006/picture">
                      <pic:pic>
                        <pic:nvPicPr>
                          <pic:cNvPr descr="images/elbows.png" id="216" name="Picture"/>
                          <pic:cNvPicPr>
                            <a:picLocks noChangeArrowheads="1" noChangeAspect="1"/>
                          </pic:cNvPicPr>
                        </pic:nvPicPr>
                        <pic:blipFill>
                          <a:blip r:embed="rId214"/>
                          <a:stretch>
                            <a:fillRect/>
                          </a:stretch>
                        </pic:blipFill>
                        <pic:spPr bwMode="auto">
                          <a:xfrm>
                            <a:off x="0" y="0"/>
                            <a:ext cx="5943600" cy="4457699"/>
                          </a:xfrm>
                          <a:prstGeom prst="rect">
                            <a:avLst/>
                          </a:prstGeom>
                          <a:noFill/>
                          <a:ln w="9525">
                            <a:noFill/>
                            <a:headEnd/>
                            <a:tailEnd/>
                          </a:ln>
                        </pic:spPr>
                      </pic:pic>
                    </a:graphicData>
                  </a:graphic>
                </wp:inline>
              </w:drawing>
            </w:r>
          </w:p>
          <w:p>
            <w:pPr>
              <w:jc w:val="center"/>
            </w:pPr>
            <w:pPr>
              <w:jc w:val="left"/>
              <w:spacing w:before="200"/>
              <w:pStyle w:val="ImageCaption"/>
            </w:pPr>
            <w:r>
              <w:t xml:space="preserve">Figure S3: Elbow plots for selecting optimal clusters.</w:t>
            </w:r>
          </w:p>
          <w:bookmarkEnd w:id="217"/>
        </w:tc>
      </w:tr>
    </w:tbl>
    <w:bookmarkEnd w:id="218"/>
    <w:bookmarkStart w:id="221" w:name="supplemental-tables"/>
    <w:p>
      <w:pPr>
        <w:pStyle w:val="Heading2"/>
      </w:pPr>
      <w:r>
        <w:t xml:space="preserve">Supplemental tables</w:t>
      </w:r>
    </w:p>
    <w:tbl>
      <w:tblPr>
        <w:tblStyle w:val="Table"/>
        <w:tblW w:type="pct" w:w="5000"/>
        <w:tblLayout w:type="fixed"/>
        <w:tblLook w:firstRow="0" w:lastRow="0" w:firstColumn="0" w:lastColumn="0" w:noHBand="0" w:noVBand="0" w:val="0000"/>
      </w:tblPr>
      <w:tblGrid>
        <w:gridCol w:w="7920"/>
      </w:tblGrid>
      <w:tr>
        <w:tc>
          <w:tcPr/>
          <w:bookmarkStart w:id="219" w:name="supptab-abbrev"/>
          <w:p>
            <w:pPr>
              <w:jc w:val="center"/>
            </w:pPr>
            <w:pPr>
              <w:jc w:val="left"/>
              <w:spacing w:before="200"/>
              <w:pStyle w:val="ImageCaption"/>
            </w:pPr>
            <w:r>
              <w:t xml:space="preserve">Table S1: Description of spectral reflectance colour coefficients used as fingerprints. Reproduced from Boudreault et al. (2018)</w:t>
            </w:r>
          </w:p>
          <w:tbl>
            <w:tblPr>
              <w:tblStyle w:val="Table"/>
              <w:tblW w:type="pct" w:w="4947"/>
              <w:tblLayout w:type="fixed"/>
              <w:tblLook w:firstRow="1" w:lastRow="0" w:firstColumn="0" w:lastColumn="0" w:noHBand="0" w:noVBand="0" w:val="0020"/>
            </w:tblPr>
            <w:tblGrid>
              <w:gridCol w:w="2106"/>
              <w:gridCol w:w="4381"/>
              <w:gridCol w:w="1348"/>
            </w:tblGrid>
            <w:tr>
              <w:trPr>
                <w:tblHeader w:val="on"/>
              </w:trPr>
              <w:tc>
                <w:tcPr/>
                <w:p>
                  <w:pPr>
                    <w:pStyle w:val="Compact"/>
                    <w:jc w:val="center"/>
                  </w:pPr>
                  <w:r>
                    <w:rPr>
                      <w:b/>
                      <w:bCs/>
                    </w:rPr>
                    <w:t xml:space="preserve">Colour space model</w:t>
                  </w:r>
                </w:p>
              </w:tc>
              <w:tc>
                <w:tcPr/>
                <w:p>
                  <w:pPr>
                    <w:pStyle w:val="Compact"/>
                    <w:jc w:val="center"/>
                  </w:pPr>
                  <w:r>
                    <w:t xml:space="preserve">Parameter</w:t>
                  </w:r>
                </w:p>
              </w:tc>
              <w:tc>
                <w:tcPr/>
                <w:p>
                  <w:pPr>
                    <w:pStyle w:val="Compact"/>
                    <w:jc w:val="center"/>
                  </w:pPr>
                  <w:r>
                    <w:t xml:space="preserve">Abbreviation</w:t>
                  </w:r>
                </w:p>
              </w:tc>
            </w:tr>
            <w:tr>
              <w:tc>
                <w:tcPr/>
                <w:p>
                  <w:pPr>
                    <w:pStyle w:val="Compact"/>
                    <w:jc w:val="center"/>
                  </w:pPr>
                  <w:r>
                    <w:t xml:space="preserve">RGB</w:t>
                  </w:r>
                </w:p>
              </w:tc>
              <w:tc>
                <w:tcPr/>
                <w:p>
                  <w:pPr>
                    <w:pStyle w:val="Compact"/>
                    <w:jc w:val="center"/>
                  </w:pPr>
                  <w:r>
                    <w:t xml:space="preserve">Red</w:t>
                  </w:r>
                </w:p>
              </w:tc>
              <w:tc>
                <w:tcPr/>
                <w:p>
                  <w:pPr>
                    <w:pStyle w:val="Compact"/>
                    <w:jc w:val="center"/>
                  </w:pPr>
                  <w:r>
                    <w:t xml:space="preserve">R</w:t>
                  </w:r>
                </w:p>
              </w:tc>
            </w:tr>
            <w:tr>
              <w:tc>
                <w:tcPr/>
                <w:p>
                  <w:pPr>
                    <w:pStyle w:val="Compact"/>
                    <w:jc w:val="center"/>
                  </w:pPr>
                  <w:r>
                    <w:t xml:space="preserve">RGB</w:t>
                  </w:r>
                </w:p>
              </w:tc>
              <w:tc>
                <w:tcPr/>
                <w:p>
                  <w:pPr>
                    <w:pStyle w:val="Compact"/>
                    <w:jc w:val="center"/>
                  </w:pPr>
                  <w:r>
                    <w:t xml:space="preserve">Green</w:t>
                  </w:r>
                </w:p>
              </w:tc>
              <w:tc>
                <w:tcPr/>
                <w:p>
                  <w:pPr>
                    <w:pStyle w:val="Compact"/>
                    <w:jc w:val="center"/>
                  </w:pPr>
                  <w:r>
                    <w:t xml:space="preserve">G</w:t>
                  </w:r>
                </w:p>
              </w:tc>
            </w:tr>
            <w:tr>
              <w:tc>
                <w:tcPr/>
                <w:p>
                  <w:pPr>
                    <w:pStyle w:val="Compact"/>
                    <w:jc w:val="center"/>
                  </w:pPr>
                  <w:r>
                    <w:t xml:space="preserve">RGB</w:t>
                  </w:r>
                </w:p>
              </w:tc>
              <w:tc>
                <w:tcPr/>
                <w:p>
                  <w:pPr>
                    <w:pStyle w:val="Compact"/>
                    <w:jc w:val="center"/>
                  </w:pPr>
                  <w:r>
                    <w:t xml:space="preserve">Blue</w:t>
                  </w:r>
                </w:p>
              </w:tc>
              <w:tc>
                <w:tcPr/>
                <w:p>
                  <w:pPr>
                    <w:pStyle w:val="Compact"/>
                    <w:jc w:val="center"/>
                  </w:pPr>
                  <w:r>
                    <w:t xml:space="preserve">B</w:t>
                  </w:r>
                </w:p>
              </w:tc>
            </w:tr>
            <w:tr>
              <w:tc>
                <w:tcPr/>
                <w:p>
                  <w:pPr>
                    <w:pStyle w:val="Compact"/>
                    <w:jc w:val="center"/>
                  </w:pPr>
                  <w:r>
                    <w:t xml:space="preserve">CIE xyY</w:t>
                  </w:r>
                </w:p>
              </w:tc>
              <w:tc>
                <w:tcPr/>
                <w:p>
                  <w:pPr>
                    <w:pStyle w:val="Compact"/>
                    <w:jc w:val="center"/>
                  </w:pPr>
                  <w:r>
                    <w:t xml:space="preserve">Chromatic Coordinate x</w:t>
                  </w:r>
                </w:p>
              </w:tc>
              <w:tc>
                <w:tcPr/>
                <w:p>
                  <w:pPr>
                    <w:pStyle w:val="Compact"/>
                    <w:jc w:val="center"/>
                  </w:pPr>
                  <w:r>
                    <w:t xml:space="preserve">x</w:t>
                  </w:r>
                </w:p>
              </w:tc>
            </w:tr>
            <w:tr>
              <w:tc>
                <w:tcPr/>
                <w:p>
                  <w:pPr>
                    <w:pStyle w:val="Compact"/>
                    <w:jc w:val="center"/>
                  </w:pPr>
                  <w:r>
                    <w:t xml:space="preserve">CIE xyY</w:t>
                  </w:r>
                </w:p>
              </w:tc>
              <w:tc>
                <w:tcPr/>
                <w:p>
                  <w:pPr>
                    <w:pStyle w:val="Compact"/>
                    <w:jc w:val="center"/>
                  </w:pPr>
                  <w:r>
                    <w:t xml:space="preserve">Chromatic Coordinate y</w:t>
                  </w:r>
                </w:p>
              </w:tc>
              <w:tc>
                <w:tcPr/>
                <w:p>
                  <w:pPr>
                    <w:pStyle w:val="Compact"/>
                    <w:jc w:val="center"/>
                  </w:pPr>
                  <w:r>
                    <w:t xml:space="preserve">y</w:t>
                  </w:r>
                </w:p>
              </w:tc>
            </w:tr>
            <w:tr>
              <w:tc>
                <w:tcPr/>
                <w:p>
                  <w:pPr>
                    <w:pStyle w:val="Compact"/>
                    <w:jc w:val="center"/>
                  </w:pPr>
                  <w:r>
                    <w:t xml:space="preserve">CIE xyY</w:t>
                  </w:r>
                </w:p>
              </w:tc>
              <w:tc>
                <w:tcPr/>
                <w:p>
                  <w:pPr>
                    <w:pStyle w:val="Compact"/>
                    <w:jc w:val="center"/>
                  </w:pPr>
                  <w:r>
                    <w:t xml:space="preserve">Brightness</w:t>
                  </w:r>
                </w:p>
              </w:tc>
              <w:tc>
                <w:tcPr/>
                <w:p>
                  <w:pPr>
                    <w:pStyle w:val="Compact"/>
                    <w:jc w:val="center"/>
                  </w:pPr>
                  <w:r>
                    <w:t xml:space="preserve">Y</w:t>
                  </w:r>
                </w:p>
              </w:tc>
            </w:tr>
            <w:tr>
              <w:tc>
                <w:tcPr/>
                <w:p>
                  <w:pPr>
                    <w:pStyle w:val="Compact"/>
                    <w:jc w:val="center"/>
                  </w:pPr>
                  <w:r>
                    <w:t xml:space="preserve">CIE XYZ</w:t>
                  </w:r>
                </w:p>
              </w:tc>
              <w:tc>
                <w:tcPr/>
                <w:p>
                  <w:pPr>
                    <w:pStyle w:val="Compact"/>
                    <w:jc w:val="center"/>
                  </w:pPr>
                  <w:r>
                    <w:t xml:space="preserve">Virtual component X</w:t>
                  </w:r>
                </w:p>
              </w:tc>
              <w:tc>
                <w:tcPr/>
                <w:p>
                  <w:pPr>
                    <w:pStyle w:val="Compact"/>
                    <w:jc w:val="center"/>
                  </w:pPr>
                  <w:r>
                    <w:t xml:space="preserve">X</w:t>
                  </w:r>
                </w:p>
              </w:tc>
            </w:tr>
            <w:tr>
              <w:tc>
                <w:tcPr/>
                <w:p>
                  <w:pPr>
                    <w:pStyle w:val="Compact"/>
                    <w:jc w:val="center"/>
                  </w:pPr>
                  <w:r>
                    <w:t xml:space="preserve">CIE XYZ</w:t>
                  </w:r>
                </w:p>
              </w:tc>
              <w:tc>
                <w:tcPr/>
                <w:p>
                  <w:pPr>
                    <w:pStyle w:val="Compact"/>
                    <w:jc w:val="center"/>
                  </w:pPr>
                  <w:r>
                    <w:t xml:space="preserve">Virtual component Z</w:t>
                  </w:r>
                </w:p>
              </w:tc>
              <w:tc>
                <w:tcPr/>
                <w:p>
                  <w:pPr>
                    <w:pStyle w:val="Compact"/>
                    <w:jc w:val="center"/>
                  </w:pPr>
                  <w:r>
                    <w:t xml:space="preserve">Z</w:t>
                  </w:r>
                </w:p>
              </w:tc>
            </w:tr>
            <w:tr>
              <w:tc>
                <w:tcPr/>
                <w:p>
                  <w:pPr>
                    <w:pStyle w:val="Compact"/>
                    <w:jc w:val="center"/>
                  </w:pPr>
                  <w:r>
                    <w:t xml:space="preserve">CIE LAB</w:t>
                  </w:r>
                </w:p>
              </w:tc>
              <w:tc>
                <w:tcPr/>
                <w:p>
                  <w:pPr>
                    <w:pStyle w:val="Compact"/>
                    <w:jc w:val="center"/>
                  </w:pPr>
                  <w:r>
                    <w:t xml:space="preserve">Metric lightness function</w:t>
                  </w:r>
                </w:p>
              </w:tc>
              <w:tc>
                <w:tcPr/>
                <w:p>
                  <w:pPr>
                    <w:pStyle w:val="Compact"/>
                    <w:jc w:val="center"/>
                  </w:pPr>
                  <w:r>
                    <w:t xml:space="preserve">L</w:t>
                  </w:r>
                </w:p>
              </w:tc>
            </w:tr>
            <w:tr>
              <w:tc>
                <w:tcPr/>
                <w:p>
                  <w:pPr>
                    <w:pStyle w:val="Compact"/>
                    <w:jc w:val="center"/>
                  </w:pPr>
                  <w:r>
                    <w:t xml:space="preserve">CIE LAB</w:t>
                  </w:r>
                </w:p>
              </w:tc>
              <w:tc>
                <w:tcPr/>
                <w:p>
                  <w:pPr>
                    <w:pStyle w:val="Compact"/>
                    <w:jc w:val="center"/>
                  </w:pPr>
                  <w:r>
                    <w:t xml:space="preserve">Chromatic coordinate opponent red–green scales</w:t>
                  </w:r>
                </w:p>
              </w:tc>
              <w:tc>
                <w:tcPr/>
                <w:p>
                  <w:pPr>
                    <w:pStyle w:val="Compact"/>
                    <w:jc w:val="center"/>
                  </w:pPr>
                  <w:r>
                    <w:rPr>
                      <w:i/>
                      <w:iCs/>
                    </w:rPr>
                    <w:t xml:space="preserve">a*</w:t>
                  </w:r>
                </w:p>
              </w:tc>
            </w:tr>
            <w:tr>
              <w:tc>
                <w:tcPr/>
                <w:p>
                  <w:pPr>
                    <w:pStyle w:val="Compact"/>
                    <w:jc w:val="center"/>
                  </w:pPr>
                  <w:r>
                    <w:t xml:space="preserve">CIE LAB</w:t>
                  </w:r>
                </w:p>
              </w:tc>
              <w:tc>
                <w:tcPr/>
                <w:p>
                  <w:pPr>
                    <w:pStyle w:val="Compact"/>
                    <w:jc w:val="center"/>
                  </w:pPr>
                  <w:r>
                    <w:t xml:space="preserve">Chromatic coordinate opponent red–green scales</w:t>
                  </w:r>
                </w:p>
              </w:tc>
              <w:tc>
                <w:tcPr/>
                <w:p>
                  <w:pPr>
                    <w:pStyle w:val="Compact"/>
                    <w:jc w:val="center"/>
                  </w:pPr>
                  <w:r>
                    <w:rPr>
                      <w:i/>
                      <w:iCs/>
                    </w:rPr>
                    <w:t xml:space="preserve">b*</w:t>
                  </w:r>
                </w:p>
              </w:tc>
            </w:tr>
            <w:tr>
              <w:tc>
                <w:tcPr/>
                <w:p>
                  <w:pPr>
                    <w:pStyle w:val="Compact"/>
                    <w:jc w:val="center"/>
                  </w:pPr>
                  <w:r>
                    <w:t xml:space="preserve">CIE LUV</w:t>
                  </w:r>
                </w:p>
              </w:tc>
              <w:tc>
                <w:tcPr/>
                <w:p>
                  <w:pPr>
                    <w:pStyle w:val="Compact"/>
                    <w:jc w:val="center"/>
                  </w:pPr>
                  <w:r>
                    <w:t xml:space="preserve">Chromatic coordinate opponent blue–yellow scales</w:t>
                  </w:r>
                </w:p>
              </w:tc>
              <w:tc>
                <w:tcPr/>
                <w:p>
                  <w:pPr>
                    <w:pStyle w:val="Compact"/>
                    <w:jc w:val="center"/>
                  </w:pPr>
                  <w:r>
                    <w:rPr>
                      <w:i/>
                      <w:iCs/>
                    </w:rPr>
                    <w:t xml:space="preserve">u*</w:t>
                  </w:r>
                </w:p>
              </w:tc>
            </w:tr>
            <w:tr>
              <w:tc>
                <w:tcPr/>
                <w:p>
                  <w:pPr>
                    <w:pStyle w:val="Compact"/>
                    <w:jc w:val="center"/>
                  </w:pPr>
                  <w:r>
                    <w:t xml:space="preserve">CIE LUV</w:t>
                  </w:r>
                </w:p>
              </w:tc>
              <w:tc>
                <w:tcPr/>
                <w:p>
                  <w:pPr>
                    <w:pStyle w:val="Compact"/>
                    <w:jc w:val="center"/>
                  </w:pPr>
                  <w:r>
                    <w:t xml:space="preserve">Chromatic oordinate opponent red–green scales</w:t>
                  </w:r>
                </w:p>
              </w:tc>
              <w:tc>
                <w:tcPr/>
                <w:p>
                  <w:pPr>
                    <w:pStyle w:val="Compact"/>
                    <w:jc w:val="center"/>
                  </w:pPr>
                  <w:r>
                    <w:rPr>
                      <w:i/>
                      <w:iCs/>
                    </w:rPr>
                    <w:t xml:space="preserve">v*</w:t>
                  </w:r>
                </w:p>
              </w:tc>
            </w:tr>
            <w:tr>
              <w:tc>
                <w:tcPr/>
                <w:p>
                  <w:pPr>
                    <w:pStyle w:val="Compact"/>
                    <w:jc w:val="center"/>
                  </w:pPr>
                  <w:r>
                    <w:t xml:space="preserve">CIE LCH</w:t>
                  </w:r>
                </w:p>
              </w:tc>
              <w:tc>
                <w:tcPr/>
                <w:p>
                  <w:pPr>
                    <w:pStyle w:val="Compact"/>
                    <w:jc w:val="center"/>
                  </w:pPr>
                  <w:r>
                    <w:t xml:space="preserve">CIE hue</w:t>
                  </w:r>
                </w:p>
              </w:tc>
              <w:tc>
                <w:tcPr/>
                <w:p>
                  <w:pPr>
                    <w:pStyle w:val="Compact"/>
                    <w:jc w:val="center"/>
                  </w:pPr>
                  <w:r>
                    <w:rPr>
                      <w:i/>
                      <w:iCs/>
                    </w:rPr>
                    <w:t xml:space="preserve">c*</w:t>
                  </w:r>
                </w:p>
              </w:tc>
            </w:tr>
            <w:tr>
              <w:tc>
                <w:tcPr/>
                <w:p>
                  <w:pPr>
                    <w:pStyle w:val="Compact"/>
                    <w:jc w:val="center"/>
                  </w:pPr>
                  <w:r>
                    <w:t xml:space="preserve">CIE LCH</w:t>
                  </w:r>
                </w:p>
              </w:tc>
              <w:tc>
                <w:tcPr/>
                <w:p>
                  <w:pPr>
                    <w:pStyle w:val="Compact"/>
                    <w:jc w:val="center"/>
                  </w:pPr>
                  <w:r>
                    <w:t xml:space="preserve">CIE chroma</w:t>
                  </w:r>
                </w:p>
              </w:tc>
              <w:tc>
                <w:tcPr/>
                <w:p>
                  <w:pPr>
                    <w:pStyle w:val="Compact"/>
                    <w:jc w:val="center"/>
                  </w:pPr>
                  <w:r>
                    <w:rPr>
                      <w:i/>
                      <w:iCs/>
                    </w:rPr>
                    <w:t xml:space="preserve">h*</w:t>
                  </w:r>
                </w:p>
              </w:tc>
            </w:tr>
          </w:tbl>
          <w:bookmarkEnd w:id="219"/>
          <w:p/>
        </w:tc>
      </w:tr>
    </w:tbl>
    <w:p>
      <w:pPr>
        <w:pStyle w:val="TextBody"/>
      </w:pPr>
      <w:r>
        <w:t xml:space="preserve"> </w:t>
      </w:r>
    </w:p>
    <w:tbl>
      <w:tblPr>
        <w:tblStyle w:val="Table"/>
        <w:tblW w:type="pct" w:w="5000"/>
        <w:tblLayout w:type="fixed"/>
        <w:tblLook w:firstRow="0" w:lastRow="0" w:firstColumn="0" w:lastColumn="0" w:noHBand="0" w:noVBand="0" w:val="0000"/>
      </w:tblPr>
      <w:tblGrid>
        <w:gridCol w:w="7920"/>
      </w:tblGrid>
      <w:tr>
        <w:tc>
          <w:tcPr/>
          <w:bookmarkStart w:id="220" w:name="supptab-terrain"/>
          <w:p>
            <w:pPr>
              <w:jc w:val="center"/>
            </w:pPr>
            <w:pPr>
              <w:jc w:val="left"/>
              <w:spacing w:before="200"/>
              <w:pStyle w:val="ImageCaption"/>
            </w:pPr>
            <w:r>
              <w:t xml:space="preserve">Table S2: Terrain attribute descriptions</w:t>
            </w:r>
          </w:p>
          <w:tbl>
            <w:tblPr>
              <w:tblStyle w:val="Table"/>
              <w:tblW w:type="pct" w:w="5000"/>
              <w:tblLayout w:type="fixed"/>
              <w:tblLook w:firstRow="1" w:lastRow="0" w:firstColumn="0" w:lastColumn="0" w:noHBand="0" w:noVBand="0" w:val="0020"/>
            </w:tblPr>
            <w:tblGrid>
              <w:gridCol w:w="637"/>
              <w:gridCol w:w="7282"/>
            </w:tblGrid>
            <w:tr>
              <w:trPr>
                <w:tblHeader w:val="on"/>
              </w:trPr>
              <w:tc>
                <w:tcPr/>
                <w:p>
                  <w:pPr>
                    <w:pStyle w:val="Compact"/>
                    <w:jc w:val="center"/>
                  </w:pPr>
                  <w:r>
                    <w:t xml:space="preserve">Terrain Attribute</w:t>
                  </w:r>
                </w:p>
              </w:tc>
              <w:tc>
                <w:tcPr/>
                <w:p>
                  <w:pPr>
                    <w:pStyle w:val="Compact"/>
                    <w:jc w:val="center"/>
                  </w:pPr>
                  <w:r>
                    <w:t xml:space="preserve">Description</w:t>
                  </w:r>
                </w:p>
              </w:tc>
            </w:tr>
            <w:tr>
              <w:tc>
                <w:tcPr/>
                <w:p>
                  <w:pPr>
                    <w:pStyle w:val="Compact"/>
                    <w:jc w:val="center"/>
                  </w:pPr>
                  <w:r>
                    <w:t xml:space="preserve">Elevation</w:t>
                  </w:r>
                </w:p>
              </w:tc>
              <w:tc>
                <w:tcPr/>
                <w:p>
                  <w:pPr>
                    <w:pStyle w:val="Compact"/>
                    <w:jc w:val="center"/>
                  </w:pPr>
                  <w:r>
                    <w:t xml:space="preserve">Meters above sea level</w:t>
                  </w:r>
                </w:p>
              </w:tc>
            </w:tr>
            <w:tr>
              <w:tc>
                <w:tcPr/>
                <w:p>
                  <w:pPr>
                    <w:pStyle w:val="Compact"/>
                    <w:jc w:val="center"/>
                  </w:pPr>
                  <w:r>
                    <w:t xml:space="preserve">Plan Curvature</w:t>
                  </w:r>
                </w:p>
              </w:tc>
              <w:tc>
                <w:tcPr/>
                <w:p>
                  <w:pPr>
                    <w:pStyle w:val="Compact"/>
                    <w:jc w:val="center"/>
                  </w:pPr>
                  <w:r>
                    <w:t xml:space="preserve">Across slope curvature</w:t>
                  </w:r>
                </w:p>
              </w:tc>
            </w:tr>
            <w:tr>
              <w:tc>
                <w:tcPr/>
                <w:p>
                  <w:pPr>
                    <w:pStyle w:val="Compact"/>
                    <w:jc w:val="center"/>
                  </w:pPr>
                  <w:r>
                    <w:t xml:space="preserve">Profile Curvature</w:t>
                  </w:r>
                </w:p>
              </w:tc>
              <w:tc>
                <w:tcPr/>
                <w:p>
                  <w:pPr>
                    <w:pStyle w:val="Compact"/>
                    <w:jc w:val="center"/>
                  </w:pPr>
                  <w:r>
                    <w:t xml:space="preserve">Down slope curvature</w:t>
                  </w:r>
                </w:p>
              </w:tc>
            </w:tr>
            <w:tr>
              <w:tc>
                <w:tcPr/>
                <w:p>
                  <w:pPr>
                    <w:pStyle w:val="Compact"/>
                    <w:jc w:val="center"/>
                  </w:pPr>
                  <w:r>
                    <w:t xml:space="preserve">SAGA Wetness Index</w:t>
                  </w:r>
                </w:p>
              </w:tc>
              <w:tc>
                <w:tcPr/>
                <w:p>
                  <w:pPr>
                    <w:pStyle w:val="Compact"/>
                    <w:jc w:val="center"/>
                  </w:pPr>
                  <w:r>
                    <w:t xml:space="preserve">Similar to the</w:t>
                  </w:r>
                  <w:r>
                    <w:t xml:space="preserve"> </w:t>
                  </w:r>
                  <w:r>
                    <w:t xml:space="preserve">‘Topographic Wetness Index’</w:t>
                  </w:r>
                  <w:r>
                    <w:t xml:space="preserve"> </w:t>
                  </w:r>
                  <w:r>
                    <w:t xml:space="preserve">(TWI), but it is based on a modified catchment area calculation, which does not think of the flow as very thin film. As result it predicts for cells situated in valley floors with a small vertical distance to a channel a more realistic, higher potential soil moisture compared to the standard TWI calculation</w:t>
                  </w:r>
                </w:p>
              </w:tc>
            </w:tr>
            <w:tr>
              <w:tc>
                <w:tcPr/>
                <w:p>
                  <w:pPr>
                    <w:pStyle w:val="Compact"/>
                    <w:jc w:val="center"/>
                  </w:pPr>
                  <w:r>
                    <w:t xml:space="preserve">Catchment Area</w:t>
                  </w:r>
                </w:p>
              </w:tc>
              <w:tc>
                <w:tcPr/>
                <w:p>
                  <w:pPr>
                    <w:pStyle w:val="Compact"/>
                    <w:jc w:val="center"/>
                  </w:pPr>
                  <w:r>
                    <w:t xml:space="preserve">Area of upslope contributing area</w:t>
                  </w:r>
                </w:p>
              </w:tc>
            </w:tr>
            <w:tr>
              <w:tc>
                <w:tcPr/>
                <w:p>
                  <w:pPr>
                    <w:pStyle w:val="Compact"/>
                    <w:jc w:val="center"/>
                  </w:pPr>
                  <w:r>
                    <w:t xml:space="preserve">Relative Slope Position</w:t>
                  </w:r>
                </w:p>
              </w:tc>
              <w:tc>
                <w:tcPr/>
                <w:p>
                  <w:pPr>
                    <w:pStyle w:val="Compact"/>
                    <w:jc w:val="center"/>
                  </w:pPr>
                  <w:r>
                    <w:t xml:space="preserve">A value between 0 and 1 illustrating the position of a pixel within the landscape with values approaching 0 indicating streams to pits, and values approaching 1 indicating upper slope positions to peaks</w:t>
                  </w:r>
                </w:p>
              </w:tc>
            </w:tr>
            <w:tr>
              <w:tc>
                <w:tcPr/>
                <w:p>
                  <w:pPr>
                    <w:pStyle w:val="Compact"/>
                    <w:jc w:val="center"/>
                  </w:pPr>
                  <w:r>
                    <w:t xml:space="preserve">Vertical Distance to Channel</w:t>
                  </w:r>
                </w:p>
              </w:tc>
              <w:tc>
                <w:tcPr/>
                <w:p>
                  <w:pPr>
                    <w:jc w:val="center"/>
                  </w:pPr>
                  <w:r>
                    <w:t xml:space="preserve">The vertical distance to a channel network base level. The algorithm consists of two major steps:</w:t>
                  </w:r>
                </w:p>
                <w:p>
                  <w:pPr>
                    <w:jc w:val="center"/>
                  </w:pPr>
                  <w:r>
                    <w:t xml:space="preserve">1. Interpolation of a channel network base level elevation</w:t>
                  </w:r>
                  <w:r>
                    <w:br/>
                  </w:r>
                  <w:r>
                    <w:t xml:space="preserve">2. Subtraction of this base level from the original elevations</w:t>
                  </w:r>
                </w:p>
              </w:tc>
            </w:tr>
          </w:tbl>
          <w:bookmarkEnd w:id="220"/>
          <w:p/>
        </w:tc>
      </w:tr>
    </w:tbl>
    <w:bookmarkEnd w:id="221"/>
    <w:sectPr>
      <w:footnotePr>
        <w:numFmt w:val="decimal"/>
      </w:footnotePr>
      <w:type w:val="nextPage"/>
      <w:pgSz w:h="15840" w:w="12240"/>
      <w:pgMar w:bottom="1440" w:footer="0" w:gutter="0" w:header="0" w:left="1440" w:right="1440" w:top="1440"/>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aramond">
    <w:charset w:val="01"/>
    <w:family w:val="roman"/>
    <w:pitch w:val="variable"/>
  </w:font>
  <w:font w:name="Calibri">
    <w:charset w:val="01"/>
    <w:family w:val="roman"/>
    <w:pitch w:val="variable"/>
  </w:font>
  <w:font w:name="Consolas">
    <w:charset w:val="01"/>
    <w:family w:val="roman"/>
    <w:pitch w:val="variable"/>
  </w:font>
  <w:font w:name="Segoe UI">
    <w:charset w:val="01"/>
    <w:family w:val="roman"/>
    <w:pitch w:val="variable"/>
  </w:font>
  <w:font w:name="Liberation Sans">
    <w:altName w:val="Arial"/>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rsid w:val="001e36a3"/>
    <w:pPr>
      <w:keepNext w:val="true"/>
      <w:keepLines/>
      <w:spacing w:after="0" w:before="480"/>
      <w:jc w:val="center"/>
      <w:outlineLvl w:val="0"/>
    </w:pPr>
    <w:rPr>
      <w:rFonts w:ascii="Garamond" w:cs="" w:cstheme="majorBidi" w:eastAsia="" w:eastAsiaTheme="majorEastAsia" w:hAnsi="Garamond"/>
      <w:b/>
      <w:bCs/>
      <w:color w:themeColor="text1" w:val="000000"/>
      <w:sz w:val="28"/>
      <w:szCs w:val="32"/>
    </w:rPr>
  </w:style>
  <w:style w:styleId="Heading2" w:type="paragraph">
    <w:name w:val="Heading 2"/>
    <w:basedOn w:val="Normal"/>
    <w:next w:val="TextBody"/>
    <w:uiPriority w:val="9"/>
    <w:unhideWhenUsed/>
    <w:qFormat/>
    <w:rsid w:val="00a96e27"/>
    <w:pPr>
      <w:keepNext w:val="true"/>
      <w:keepLines/>
      <w:spacing w:after="0" w:before="200"/>
      <w:outlineLvl w:val="1"/>
    </w:pPr>
    <w:rPr>
      <w:rFonts w:ascii="Garamond" w:cs="" w:cstheme="majorBidi" w:eastAsia="" w:eastAsiaTheme="majorEastAsia" w:hAnsi="Garamond"/>
      <w:b/>
      <w:bCs/>
      <w:color w:themeColor="text1" w:val="000000"/>
      <w:sz w:val="28"/>
      <w:szCs w:val="28"/>
    </w:rPr>
  </w:style>
  <w:style w:styleId="Heading3" w:type="paragraph">
    <w:name w:val="Heading 3"/>
    <w:basedOn w:val="Normal"/>
    <w:next w:val="TextBody"/>
    <w:uiPriority w:val="9"/>
    <w:unhideWhenUsed/>
    <w:qFormat/>
    <w:rsid w:val="00a96e27"/>
    <w:pPr>
      <w:keepNext w:val="true"/>
      <w:keepLines/>
      <w:spacing w:after="0" w:before="200"/>
      <w:outlineLvl w:val="2"/>
    </w:pPr>
    <w:rPr>
      <w:rFonts w:ascii="Garamond" w:cs="" w:cstheme="majorBidi" w:eastAsia="" w:eastAsiaTheme="majorEastAsia" w:hAnsi="Garamond"/>
      <w:b/>
      <w:bCs/>
      <w:color w:themeColor="text1" w:val="000000"/>
    </w:rPr>
  </w:style>
  <w:style w:styleId="Heading4" w:type="paragraph">
    <w:name w:val="Heading 4"/>
    <w:basedOn w:val="Normal"/>
    <w:next w:val="TextBody"/>
    <w:uiPriority w:val="9"/>
    <w:unhideWhenUsed/>
    <w:qFormat/>
    <w:rsid w:val="00a96e27"/>
    <w:pPr>
      <w:keepNext w:val="true"/>
      <w:keepLines/>
      <w:spacing w:after="0" w:before="200"/>
      <w:outlineLvl w:val="3"/>
    </w:pPr>
    <w:rPr>
      <w:rFonts w:ascii="Garamond" w:cs="" w:cstheme="majorBidi" w:eastAsia="" w:eastAsiaTheme="majorEastAsia" w:hAnsi="Garamond"/>
      <w:bCs/>
      <w:iCs/>
      <w:color w:themeColor="text1" w:val="000000"/>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 w:eastAsiaTheme="majorEastAsia" w:hAnsi="Calibri" w:hAnsiTheme="majorHAnsi"/>
      <w:iCs/>
      <w:color w:themeColor="accent1" w:val="4F81BD"/>
    </w:rPr>
  </w:style>
  <w:style w:styleId="Heading6" w:type="paragraph">
    <w:name w:val="Heading 6"/>
    <w:basedOn w:val="Normal"/>
    <w:next w:val="TextBody"/>
    <w:uiPriority w:val="9"/>
    <w:unhideWhenUsed/>
    <w:qFormat/>
    <w:rsid w:val="00a96e27"/>
    <w:pPr>
      <w:keepNext w:val="true"/>
      <w:keepLines/>
      <w:spacing w:after="0" w:before="200"/>
      <w:outlineLvl w:val="5"/>
    </w:pPr>
    <w:rPr>
      <w:rFonts w:ascii="Garamond" w:cs="" w:cstheme="majorBidi" w:eastAsia="" w:eastAsiaTheme="majorEastAsia" w:hAnsi="Garamond"/>
      <w:color w:themeColor="text1" w:val="000000"/>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1"/>
    <w:qFormat/>
    <w:rPr/>
  </w:style>
  <w:style w:customStyle="1" w:styleId="VerbatimChar" w:type="character">
    <w:name w:val="Verbatim Char"/>
    <w:basedOn w:val="CaptionChar"/>
    <w:qFormat/>
    <w:rsid w:val="00a96e27"/>
    <w:rPr>
      <w:rFonts w:ascii="Consolas" w:hAnsi="Consolas"/>
      <w:sz w:val="22"/>
    </w:rPr>
  </w:style>
  <w:style w:customStyle="1" w:styleId="SectionNumber" w:type="character">
    <w:name w:val="Section Number"/>
    <w:basedOn w:val="CaptionChar"/>
    <w:qFormat/>
    <w:rPr/>
  </w:style>
  <w:style w:customStyle="1" w:styleId="FootnoteCharacters" w:type="character">
    <w:name w:val="Footnote Characters"/>
    <w:basedOn w:val="CaptionChar"/>
    <w:qFormat/>
    <w:rPr>
      <w:vertAlign w:val="superscript"/>
    </w:rPr>
  </w:style>
  <w:style w:customStyle="1"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BalloonTextChar" w:type="character">
    <w:name w:val="Balloon Text Char"/>
    <w:basedOn w:val="DefaultParagraphFont"/>
    <w:link w:val="BalloonText"/>
    <w:qFormat/>
    <w:rsid w:val="00a96e27"/>
    <w:rPr>
      <w:rFonts w:ascii="Segoe UI" w:cs="Segoe UI" w:hAnsi="Segoe UI"/>
      <w:sz w:val="18"/>
      <w:szCs w:val="18"/>
    </w:rPr>
  </w:style>
  <w:style w:customStyle="1" w:styleId="EndnoteAnchor" w:type="character">
    <w:name w:val="Endnote Anchor"/>
    <w:rPr>
      <w:vertAlign w:val="superscript"/>
    </w:rPr>
  </w:style>
  <w:style w:customStyle="1" w:styleId="EndnoteCharacters" w:type="character">
    <w:name w:val="Endnote Characters"/>
    <w:qFormat/>
    <w:rPr/>
  </w:style>
  <w:style w:customStyle="1" w:styleId="LineNumbering" w:type="character">
    <w:name w:val="Line Numbering"/>
    <w:rPr/>
  </w:style>
  <w:style w:styleId="Linenumber" w:type="character">
    <w:name w:val="line number"/>
    <w:basedOn w:val="DefaultParagraphFont"/>
    <w:qFormat/>
    <w:rsid w:val="001e36a3"/>
    <w:rPr/>
  </w:style>
  <w:style w:customStyle="1" w:styleId="Heading" w:type="paragraph">
    <w:name w:val="Heading"/>
    <w:basedOn w:val="Normal"/>
    <w:next w:val="TextBody"/>
    <w:qFormat/>
    <w:pPr>
      <w:keepNext w:val="true"/>
      <w:spacing w:after="120" w:before="240"/>
    </w:pPr>
    <w:rPr>
      <w:rFonts w:ascii="Liberation Sans" w:cs="Lohit Devanagari" w:eastAsia="Noto Sans CJK SC" w:hAnsi="Liberation Sans"/>
      <w:sz w:val="28"/>
      <w:szCs w:val="28"/>
    </w:rPr>
  </w:style>
  <w:style w:styleId="TextBody" w:type="paragraph">
    <w:name w:val="Body Text"/>
    <w:basedOn w:val="Normal"/>
    <w:qFormat/>
    <w:rsid w:val="00a96e27"/>
    <w:pPr>
      <w:spacing w:after="180" w:before="180" w:line="480" w:lineRule="auto"/>
    </w:pPr>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customStyle="1" w:styleId="Index" w:type="paragraph">
    <w:name w:val="Index"/>
    <w:basedOn w:val="Normal"/>
    <w:qFormat/>
    <w:pPr>
      <w:suppressLineNumbers/>
    </w:pPr>
    <w:rPr>
      <w:rFonts w:cs="Lohit Devanagari"/>
    </w:rPr>
  </w:style>
  <w:style w:styleId="Caption1" w:type="paragraph">
    <w:name w:val="caption"/>
    <w:basedOn w:val="Normal"/>
    <w:link w:val="CaptionChar"/>
    <w:qFormat/>
    <w:pPr>
      <w:spacing w:after="120" w:before="0"/>
    </w:pPr>
    <w:rPr>
      <w:i/>
    </w:rPr>
  </w:style>
  <w:style w:customStyle="1" w:styleId="FirstParagraph" w:type="paragraph">
    <w:name w:val="First Paragraph"/>
    <w:basedOn w:val="TextBody"/>
    <w:next w:val="TextBody"/>
    <w:qFormat/>
    <w:rsid w:val="00a96e27"/>
    <w:pPr/>
    <w:rPr/>
  </w:style>
  <w:style w:customStyle="1" w:styleId="Compact" w:type="paragraph">
    <w:name w:val="Compact"/>
    <w:basedOn w:val="TextBody"/>
    <w:qFormat/>
    <w:rsid w:val="00a96e27"/>
    <w:pPr>
      <w:spacing w:after="36" w:before="36"/>
    </w:pPr>
    <w:rPr>
      <w:rFonts w:ascii="Garamond" w:hAnsi="Garamond"/>
      <w:color w:themeColor="text1" w:val="000000"/>
    </w:rPr>
  </w:style>
  <w:style w:styleId="Title" w:type="paragraph">
    <w:name w:val="Title"/>
    <w:basedOn w:val="Normal"/>
    <w:next w:val="TextBody"/>
    <w:qFormat/>
    <w:rsid w:val="001e36a3"/>
    <w:pPr>
      <w:keepNext w:val="true"/>
      <w:keepLines/>
      <w:spacing w:after="240" w:before="480"/>
      <w:jc w:val="center"/>
    </w:pPr>
    <w:rPr>
      <w:rFonts w:ascii="Calibri" w:asciiTheme="majorHAnsi" w:cs="" w:cstheme="majorBidi" w:eastAsia="" w:eastAsiaTheme="majorEastAsia" w:hAnsi="Calibri" w:hAnsiTheme="majorHAnsi"/>
      <w:b/>
      <w:bCs/>
      <w:sz w:val="28"/>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rsid w:val="00a96e27"/>
    <w:pPr>
      <w:keepNext w:val="true"/>
      <w:keepLines/>
      <w:widowControl/>
      <w:suppressAutoHyphens w:val="true"/>
      <w:bidi w:val="0"/>
      <w:spacing w:after="200" w:before="0"/>
      <w:jc w:val="center"/>
    </w:pPr>
    <w:rPr>
      <w:rFonts w:ascii="Garamond" w:cs="" w:eastAsia="Cambria" w:hAnsi="Garamond"/>
      <w:color w:themeColor="text1" w:val="000000"/>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rFonts w:ascii="Garamond" w:hAnsi="Garamond"/>
      <w:b/>
      <w:color w:val="000000"/>
      <w:szCs w:val="20"/>
    </w:rPr>
  </w:style>
  <w:style w:customStyle="1" w:styleId="Abstract" w:type="paragraph">
    <w:name w:val="Abstract"/>
    <w:basedOn w:val="Normal"/>
    <w:next w:val="TextBody"/>
    <w:qFormat/>
    <w:rsid w:val="001e36a3"/>
    <w:pPr>
      <w:keepNext w:val="true"/>
      <w:keepLines/>
      <w:spacing w:after="74" w:before="0" w:line="480" w:lineRule="auto"/>
    </w:pPr>
    <w:rPr>
      <w:rFonts w:ascii="Garamond" w:hAnsi="Garamond"/>
      <w:b w:val="false"/>
      <w:color w:themeColor="text1" w:val="000000"/>
    </w:rPr>
  </w:style>
  <w:style w:styleId="Bibliography" w:type="paragraph">
    <w:name w:val="Bibliography"/>
    <w:basedOn w:val="Normal"/>
    <w:qFormat/>
    <w:pPr/>
    <w:rPr/>
  </w:style>
  <w:style w:styleId="BlockText" w:type="paragraph">
    <w:name w:val="Block Text"/>
    <w:basedOn w:val="TextBody"/>
    <w:next w:val="TextBody"/>
    <w:uiPriority w:val="9"/>
    <w:unhideWhenUsed/>
    <w:qFormat/>
    <w:rsid w:val="00a96e27"/>
    <w:pPr>
      <w:spacing w:after="100" w:before="100"/>
      <w:ind w:hanging="0" w:left="480" w:right="480"/>
    </w:pPr>
    <w:rPr/>
  </w:style>
  <w:style w:styleId="Footnote" w:type="paragraph">
    <w:name w:val="Footnote Text"/>
    <w:basedOn w:val="Normal"/>
    <w:uiPriority w:val="9"/>
    <w:unhideWhenUsed/>
    <w:qFormat/>
    <w:rsid w:val="00a96e27"/>
    <w:pPr/>
    <w:rPr/>
  </w:style>
  <w:style w:customStyle="1" w:styleId="FootnoteBlockText" w:type="paragraph">
    <w:name w:val="Footnote Block Text"/>
    <w:uiPriority w:val="9"/>
    <w:unhideWhenUsed/>
    <w:qFormat/>
    <w:pPr>
      <w:widowControl/>
      <w:suppressAutoHyphens w:val="true"/>
      <w:bidi w:val="0"/>
      <w:spacing w:after="100" w:before="100"/>
      <w:ind w:hanging="0" w:left="480" w:right="48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DefinitionTerm" w:type="paragraph">
    <w:name w:val="Definition Term"/>
    <w:basedOn w:val="Normal"/>
    <w:next w:val="Definition"/>
    <w:qFormat/>
    <w:rsid w:val="00a96e27"/>
    <w:pPr>
      <w:keepNext w:val="true"/>
      <w:keepLines/>
      <w:spacing w:after="0" w:before="0"/>
    </w:pPr>
    <w:rPr>
      <w:b/>
    </w:rPr>
  </w:style>
  <w:style w:customStyle="1" w:styleId="Definition" w:type="paragraph">
    <w:name w:val="Definition"/>
    <w:basedOn w:val="Normal"/>
    <w:qFormat/>
    <w:rsid w:val="00a96e27"/>
    <w:pPr/>
    <w:rPr/>
  </w:style>
  <w:style w:customStyle="1" w:styleId="TableCaption" w:type="paragraph">
    <w:name w:val="Table Caption"/>
    <w:basedOn w:val="Caption1"/>
    <w:qFormat/>
    <w:rsid w:val="00a96e27"/>
    <w:pPr>
      <w:keepNext w:val="true"/>
    </w:pPr>
    <w:rPr/>
  </w:style>
  <w:style w:customStyle="1" w:styleId="ImageCaption" w:type="paragraph">
    <w:name w:val="Image Caption"/>
    <w:basedOn w:val="Caption1"/>
    <w:qFormat/>
    <w:rsid w:val="00a96e27"/>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qFormat/>
    <w:pPr/>
    <w:rPr/>
  </w:style>
  <w:style w:styleId="IndexHeading1" w:type="paragraph">
    <w:name w:val="Index Heading"/>
    <w:basedOn w:val="Heading"/>
    <w:pPr/>
    <w:rPr/>
  </w:style>
  <w:style w:styleId="ContentsHeading" w:type="paragraph">
    <w:name w:val="TOC Heading"/>
    <w:basedOn w:val="Heading1"/>
    <w:next w:val="TextBody"/>
    <w:uiPriority w:val="39"/>
    <w:unhideWhenUsed/>
    <w:qFormat/>
    <w:pPr>
      <w:spacing w:after="0" w:before="240" w:line="259" w:lineRule="auto"/>
      <w:outlineLvl w:val="9"/>
    </w:pPr>
    <w:rPr>
      <w:rFonts w:ascii="Calibri" w:asciiTheme="majorHAnsi" w:hAnsi="Calibri" w:hAnsiTheme="majorHAnsi"/>
      <w:b w:val="false"/>
      <w:bCs w:val="false"/>
      <w:color w:themeColor="accent1" w:themeShade="bf" w:val="365F91"/>
    </w:rPr>
  </w:style>
  <w:style w:styleId="BalloonText" w:type="paragraph">
    <w:name w:val="Balloon Text"/>
    <w:basedOn w:val="Normal"/>
    <w:link w:val="BalloonTextChar"/>
    <w:qFormat/>
    <w:rsid w:val="00a96e27"/>
    <w:pPr>
      <w:spacing w:after="0" w:before="0"/>
    </w:pPr>
    <w:rPr>
      <w:rFonts w:ascii="Segoe UI" w:cs="Segoe UI" w:hAnsi="Segoe UI"/>
      <w:sz w:val="18"/>
      <w:szCs w:val="18"/>
    </w:rPr>
  </w:style>
  <w:style w:customStyle="1"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Header" w:type="paragraph">
    <w:name w:val="Header"/>
    <w:basedOn w:val="HeaderandFooter"/>
    <w:pPr>
      <w:suppressLineNumbers/>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6" Target="media/rId20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11" Target="media/rId11.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184" Target="http://www.R-project.org" TargetMode="External" /><Relationship Type="http://schemas.openxmlformats.org/officeDocument/2006/relationships/hyperlink" Id="rId113" Target="http://www.gov.mb.ca/cgi-bin/print_hit_bold.pl/agriculture/soilwater/soilsurvey/pdf/fss03s00a.pdf" TargetMode="External" /><Relationship Type="http://schemas.openxmlformats.org/officeDocument/2006/relationships/hyperlink" Id="rId172" Target="http://www.rstudio.org/" TargetMode="External" /><Relationship Type="http://schemas.openxmlformats.org/officeDocument/2006/relationships/hyperlink" Id="rId166" Target="http://www.sciencedirect.com/science/article/pii/S0301479716302195" TargetMode="External" /><Relationship Type="http://schemas.openxmlformats.org/officeDocument/2006/relationships/hyperlink" Id="rId120" Target="http://www.tandfonline.com/doi/abs/10.1080/00103620902832089" TargetMode="External" /><Relationship Type="http://schemas.openxmlformats.org/officeDocument/2006/relationships/hyperlink" Id="rId134" Target="https://CRAN.R-project.org/doc/Rnews/" TargetMode="External" /><Relationship Type="http://schemas.openxmlformats.org/officeDocument/2006/relationships/hyperlink" Id="rId117" Target="https://CRAN.R-project.org/package=terra" TargetMode="External" /><Relationship Type="http://schemas.openxmlformats.org/officeDocument/2006/relationships/hyperlink" Id="rId46" Target="https://alex-koiter.github.io/terrain-attributes/notebooks/RF_summary-preview.html#cell-fig-rf-results" TargetMode="External" /><Relationship Type="http://schemas.openxmlformats.org/officeDocument/2006/relationships/hyperlink" Id="rId41" Target="https://alex-koiter.github.io/terrain-attributes/notebooks/RF_summary-preview.html#cell-tbl-rf-summary" TargetMode="External" /><Relationship Type="http://schemas.openxmlformats.org/officeDocument/2006/relationships/hyperlink" Id="rId51" Target="https://alex-koiter.github.io/terrain-attributes/notebooks/clustering_analysis-preview.html#cell-fig-cluster" TargetMode="External" /><Relationship Type="http://schemas.openxmlformats.org/officeDocument/2006/relationships/hyperlink" Id="rId53" Target="https://alex-koiter.github.io/terrain-attributes/notebooks/clustering_analysis-preview.html#cell-tbl-cluster-summary" TargetMode="External" /><Relationship Type="http://schemas.openxmlformats.org/officeDocument/2006/relationships/hyperlink" Id="rId15" Target="https://alex-koiter.github.io/terrain-attributes/notebooks/location_map-preview.html#cell-fig-location_map" TargetMode="External" /><Relationship Type="http://schemas.openxmlformats.org/officeDocument/2006/relationships/hyperlink" Id="rId32" Target="https://alex-koiter.github.io/terrain-attributes/notebooks/property_maps-preview.html#cell-fig-ag_map" TargetMode="External" /><Relationship Type="http://schemas.openxmlformats.org/officeDocument/2006/relationships/hyperlink" Id="rId37" Target="https://alex-koiter.github.io/terrain-attributes/notebooks/property_maps-preview.html#cell-fig-forest_map" TargetMode="External" /><Relationship Type="http://schemas.openxmlformats.org/officeDocument/2006/relationships/hyperlink" Id="rId27" Target="https://alex-koiter.github.io/terrain-attributes/notebooks/semivariogram-preview.html#cell-tbl-geocol-semivariogram" TargetMode="External" /><Relationship Type="http://schemas.openxmlformats.org/officeDocument/2006/relationships/hyperlink" Id="rId39" Target="https://alex-koiter.github.io/terrain-attributes/notebooks/univariate_analysis-preview.html#cell-tbl-correlation" TargetMode="External" /><Relationship Type="http://schemas.openxmlformats.org/officeDocument/2006/relationships/hyperlink" Id="rId22" Target="https://alex-koiter.github.io/terrain-attributes/notebooks/univariate_analysis-preview.html#cell-tbl-univariate-summary" TargetMode="External" /><Relationship Type="http://schemas.openxmlformats.org/officeDocument/2006/relationships/hyperlink" Id="rId24" Target="https://alex-koiter.github.io/terrain-attributes/notebooks/univariate_analysis-preview.html#cell-tbl-univariate-summary2" TargetMode="External" /><Relationship Type="http://schemas.openxmlformats.org/officeDocument/2006/relationships/hyperlink" Id="rId66" Target="https://alexkoiter.ca/terrain-attributes/" TargetMode="External" /><Relationship Type="http://schemas.openxmlformats.org/officeDocument/2006/relationships/hyperlink" Id="rId101" Target="https://climate.weather.gc.ca/climate_normals/index_e.html" TargetMode="External" /><Relationship Type="http://schemas.openxmlformats.org/officeDocument/2006/relationships/hyperlink" Id="rId111" Target="https://doi.org/10.1002/ldr.3407" TargetMode="External" /><Relationship Type="http://schemas.openxmlformats.org/officeDocument/2006/relationships/hyperlink" Id="rId109" Target="https://doi.org/10.1007/3-540-33161-1" TargetMode="External" /><Relationship Type="http://schemas.openxmlformats.org/officeDocument/2006/relationships/hyperlink" Id="rId158" Target="https://doi.org/10.1007/s11356-020-09249-3" TargetMode="External" /><Relationship Type="http://schemas.openxmlformats.org/officeDocument/2006/relationships/hyperlink" Id="rId196" Target="https://doi.org/10.1007/s11368-015-1134-2" TargetMode="External" /><Relationship Type="http://schemas.openxmlformats.org/officeDocument/2006/relationships/hyperlink" Id="rId84" Target="https://doi.org/10.1007/s11368-020-02755-4" TargetMode="External" /><Relationship Type="http://schemas.openxmlformats.org/officeDocument/2006/relationships/hyperlink" Id="rId105" Target="https://doi.org/10.1007/s11368-022-03203-1" TargetMode="External" /><Relationship Type="http://schemas.openxmlformats.org/officeDocument/2006/relationships/hyperlink" Id="rId140" Target="https://doi.org/10.1007/s11368-024-03805-x" TargetMode="External" /><Relationship Type="http://schemas.openxmlformats.org/officeDocument/2006/relationships/hyperlink" Id="rId147" Target="https://doi.org/10.1007/s11629-013-2427-9" TargetMode="External" /><Relationship Type="http://schemas.openxmlformats.org/officeDocument/2006/relationships/hyperlink" Id="rId174" Target="https://doi.org/10.1007/s42729-023-01470-6" TargetMode="External" /><Relationship Type="http://schemas.openxmlformats.org/officeDocument/2006/relationships/hyperlink" Id="rId88" Target="https://doi.org/10.1016/S0341-8162(96)00064-1" TargetMode="External" /><Relationship Type="http://schemas.openxmlformats.org/officeDocument/2006/relationships/hyperlink" Id="rId180" Target="https://doi.org/10.1016/S1002-0160(21)60019-X" TargetMode="External" /><Relationship Type="http://schemas.openxmlformats.org/officeDocument/2006/relationships/hyperlink" Id="rId162" Target="https://doi.org/10.1016/j.aiia.2025.04.007" TargetMode="External" /><Relationship Type="http://schemas.openxmlformats.org/officeDocument/2006/relationships/hyperlink" Id="rId151" Target="https://doi.org/10.1016/j.cageo.2005.12.009" TargetMode="External" /><Relationship Type="http://schemas.openxmlformats.org/officeDocument/2006/relationships/hyperlink" Id="rId186" Target="https://doi.org/10.1016/j.catena.2012.01.010" TargetMode="External" /><Relationship Type="http://schemas.openxmlformats.org/officeDocument/2006/relationships/hyperlink" Id="rId164" Target="https://doi.org/10.1016/j.catena.2017.12.019" TargetMode="External" /><Relationship Type="http://schemas.openxmlformats.org/officeDocument/2006/relationships/hyperlink" Id="rId124" Target="https://doi.org/10.1016/j.earscirev.2013.05.009" TargetMode="External" /><Relationship Type="http://schemas.openxmlformats.org/officeDocument/2006/relationships/hyperlink" Id="rId198" Target="https://doi.org/10.1016/j.earscirev.2022.104191" TargetMode="External" /><Relationship Type="http://schemas.openxmlformats.org/officeDocument/2006/relationships/hyperlink" Id="rId78" Target="https://doi.org/10.1016/j.geoderma.2003.12.004" TargetMode="External" /><Relationship Type="http://schemas.openxmlformats.org/officeDocument/2006/relationships/hyperlink" Id="rId192" Target="https://doi.org/10.1016/j.geoderma.2009.01.025" TargetMode="External" /><Relationship Type="http://schemas.openxmlformats.org/officeDocument/2006/relationships/hyperlink" Id="rId200" Target="https://doi.org/10.1016/j.geoderma.2011.07.012" TargetMode="External" /><Relationship Type="http://schemas.openxmlformats.org/officeDocument/2006/relationships/hyperlink" Id="rId170" Target="https://doi.org/10.1016/j.geoderma.2016.03.019" TargetMode="External" /><Relationship Type="http://schemas.openxmlformats.org/officeDocument/2006/relationships/hyperlink" Id="rId132" Target="https://doi.org/10.1016/j.geoderma.2017.12.022" TargetMode="External" /><Relationship Type="http://schemas.openxmlformats.org/officeDocument/2006/relationships/hyperlink" Id="rId86" Target="https://doi.org/10.1016/j.geoderma.2018.07.019" TargetMode="External" /><Relationship Type="http://schemas.openxmlformats.org/officeDocument/2006/relationships/hyperlink" Id="rId142" Target="https://doi.org/10.1016/j.geoderma.2020.114366" TargetMode="External" /><Relationship Type="http://schemas.openxmlformats.org/officeDocument/2006/relationships/hyperlink" Id="rId149" Target="https://doi.org/10.1016/j.geoderma.2021.115638" TargetMode="External" /><Relationship Type="http://schemas.openxmlformats.org/officeDocument/2006/relationships/hyperlink" Id="rId145" Target="https://doi.org/10.1016/j.geodrs.2020.e00289" TargetMode="External" /><Relationship Type="http://schemas.openxmlformats.org/officeDocument/2006/relationships/hyperlink" Id="rId136" Target="https://doi.org/10.1016/j.geodrs.2024.e00863" TargetMode="External" /><Relationship Type="http://schemas.openxmlformats.org/officeDocument/2006/relationships/hyperlink" Id="rId202" Target="https://doi.org/10.1016/j.geodrs.2024.e00874" TargetMode="External" /><Relationship Type="http://schemas.openxmlformats.org/officeDocument/2006/relationships/hyperlink" Id="rId98" Target="https://doi.org/10.1016/j.jenvman.2016.05.066" TargetMode="External" /><Relationship Type="http://schemas.openxmlformats.org/officeDocument/2006/relationships/hyperlink" Id="rId96" Target="https://doi.org/10.1016/j.jhydrol.2024.131019" TargetMode="External" /><Relationship Type="http://schemas.openxmlformats.org/officeDocument/2006/relationships/hyperlink" Id="rId138" Target="https://doi.org/10.1016/j.jsames.2023.104510" TargetMode="External" /><Relationship Type="http://schemas.openxmlformats.org/officeDocument/2006/relationships/hyperlink" Id="rId188" Target="https://doi.org/10.1016/j.still.2017.01.006" TargetMode="External" /><Relationship Type="http://schemas.openxmlformats.org/officeDocument/2006/relationships/hyperlink" Id="rId94" Target="https://doi.org/10.1017/CBO9780511802843" TargetMode="External" /><Relationship Type="http://schemas.openxmlformats.org/officeDocument/2006/relationships/hyperlink" Id="rId74" Target="https://doi.org/10.1038/sdata.2018.214" TargetMode="External" /><Relationship Type="http://schemas.openxmlformats.org/officeDocument/2006/relationships/hyperlink" Id="rId76" Target="https://doi.org/10.1080/07011784.2018.1451781" TargetMode="External" /><Relationship Type="http://schemas.openxmlformats.org/officeDocument/2006/relationships/hyperlink" Id="rId182" Target="https://doi.org/10.1089/ees.2011.0313" TargetMode="External" /><Relationship Type="http://schemas.openxmlformats.org/officeDocument/2006/relationships/hyperlink" Id="rId155" Target="https://doi.org/10.1111/j.1600-0587.2013.00205.x" TargetMode="External" /><Relationship Type="http://schemas.openxmlformats.org/officeDocument/2006/relationships/hyperlink" Id="rId190" Target="https://doi.org/10.1111/j.1752-1688.2010.00420.x" TargetMode="External" /><Relationship Type="http://schemas.openxmlformats.org/officeDocument/2006/relationships/hyperlink" Id="rId126" Target="https://doi.org/10.1139/cjss-2017-0128" TargetMode="External" /><Relationship Type="http://schemas.openxmlformats.org/officeDocument/2006/relationships/hyperlink" Id="rId130" Target="https://doi.org/10.1186/s12859-025-06097-1" TargetMode="External" /><Relationship Type="http://schemas.openxmlformats.org/officeDocument/2006/relationships/hyperlink" Id="rId65" Target="https://doi.org/10.17632/fmn8n49bgn.1" TargetMode="External" /><Relationship Type="http://schemas.openxmlformats.org/officeDocument/2006/relationships/hyperlink" Id="rId128" Target="https://doi.org/10.18637/jss.v028.i05" TargetMode="External" /><Relationship Type="http://schemas.openxmlformats.org/officeDocument/2006/relationships/hyperlink" Id="rId176" Target="https://doi.org/10.2136/sssaj1995.03615995005900030012x" TargetMode="External" /><Relationship Type="http://schemas.openxmlformats.org/officeDocument/2006/relationships/hyperlink" Id="rId92" Target="https://doi.org/10.2136/sssaj2003.1296" TargetMode="External" /><Relationship Type="http://schemas.openxmlformats.org/officeDocument/2006/relationships/hyperlink" Id="rId153" Target="https://doi.org/10.2136/sssaj2005.0062" TargetMode="External" /><Relationship Type="http://schemas.openxmlformats.org/officeDocument/2006/relationships/hyperlink" Id="rId72" Target="https://doi.org/10.2136/sssaj2013.02.0048" TargetMode="External" /><Relationship Type="http://schemas.openxmlformats.org/officeDocument/2006/relationships/hyperlink" Id="rId82" Target="https://doi.org/10.32614/CRAN.package.boot" TargetMode="External" /><Relationship Type="http://schemas.openxmlformats.org/officeDocument/2006/relationships/hyperlink" Id="rId178" Target="https://doi.org/10.4141/cjss71-036" TargetMode="External" /><Relationship Type="http://schemas.openxmlformats.org/officeDocument/2006/relationships/hyperlink" Id="rId90" Target="https://doi.org/10.5194/gmd-8-1991-2015" TargetMode="External" /><Relationship Type="http://schemas.openxmlformats.org/officeDocument/2006/relationships/hyperlink" Id="rId122" Target="https://doi.org/10.5281/zenodo.5123327" TargetMode="External" /><Relationship Type="http://schemas.openxmlformats.org/officeDocument/2006/relationships/hyperlink" Id="rId115" Target="https://doi.org/10.7717/peerj.5518" TargetMode="External" /><Relationship Type="http://schemas.openxmlformats.org/officeDocument/2006/relationships/hyperlink" Id="rId64" Target="https://github.com/alex-koiter/terrain-attributes" TargetMode="External" /><Relationship Type="http://schemas.openxmlformats.org/officeDocument/2006/relationships/hyperlink" Id="rId168" Target="https://journals.lww.com/health-physics/Abstract/1970/05000/Distribution_of_Fallout_and_Natural_Gamma.3.aspx" TargetMode="External" /><Relationship Type="http://schemas.openxmlformats.org/officeDocument/2006/relationships/hyperlink" Id="rId80" Target="https://open.canada.ca/data/en/dataset/0fe65119-e96e-4a57-8bfe-9d9245fba06b" TargetMode="External" /><Relationship Type="http://schemas.openxmlformats.org/officeDocument/2006/relationships/hyperlink" Id="rId107" Target="https://sis.agr.gc.ca/cansis/taxa/cssc3/index.html" TargetMode="External" /><Relationship Type="http://schemas.openxmlformats.org/officeDocument/2006/relationships/hyperlink" Id="rId70" Target="https://www.agisoft.com/downloads/installer/" TargetMode="External" /><Relationship Type="http://schemas.openxmlformats.org/officeDocument/2006/relationships/hyperlink" Id="rId103" Target="https://www.esri.ca/" TargetMode="External" /></Relationships>
</file>

<file path=word/_rels/footnotes.xml.rels><?xml version="1.0" encoding="UTF-8"?><Relationships xmlns="http://schemas.openxmlformats.org/package/2006/relationships"><Relationship Type="http://schemas.openxmlformats.org/officeDocument/2006/relationships/hyperlink" Id="rId184" Target="http://www.R-project.org" TargetMode="External" /><Relationship Type="http://schemas.openxmlformats.org/officeDocument/2006/relationships/hyperlink" Id="rId113" Target="http://www.gov.mb.ca/cgi-bin/print_hit_bold.pl/agriculture/soilwater/soilsurvey/pdf/fss03s00a.pdf" TargetMode="External" /><Relationship Type="http://schemas.openxmlformats.org/officeDocument/2006/relationships/hyperlink" Id="rId172" Target="http://www.rstudio.org/" TargetMode="External" /><Relationship Type="http://schemas.openxmlformats.org/officeDocument/2006/relationships/hyperlink" Id="rId166" Target="http://www.sciencedirect.com/science/article/pii/S0301479716302195" TargetMode="External" /><Relationship Type="http://schemas.openxmlformats.org/officeDocument/2006/relationships/hyperlink" Id="rId120" Target="http://www.tandfonline.com/doi/abs/10.1080/00103620902832089" TargetMode="External" /><Relationship Type="http://schemas.openxmlformats.org/officeDocument/2006/relationships/hyperlink" Id="rId134" Target="https://CRAN.R-project.org/doc/Rnews/" TargetMode="External" /><Relationship Type="http://schemas.openxmlformats.org/officeDocument/2006/relationships/hyperlink" Id="rId117" Target="https://CRAN.R-project.org/package=terra" TargetMode="External" /><Relationship Type="http://schemas.openxmlformats.org/officeDocument/2006/relationships/hyperlink" Id="rId46" Target="https://alex-koiter.github.io/terrain-attributes/notebooks/RF_summary-preview.html#cell-fig-rf-results" TargetMode="External" /><Relationship Type="http://schemas.openxmlformats.org/officeDocument/2006/relationships/hyperlink" Id="rId41" Target="https://alex-koiter.github.io/terrain-attributes/notebooks/RF_summary-preview.html#cell-tbl-rf-summary" TargetMode="External" /><Relationship Type="http://schemas.openxmlformats.org/officeDocument/2006/relationships/hyperlink" Id="rId51" Target="https://alex-koiter.github.io/terrain-attributes/notebooks/clustering_analysis-preview.html#cell-fig-cluster" TargetMode="External" /><Relationship Type="http://schemas.openxmlformats.org/officeDocument/2006/relationships/hyperlink" Id="rId53" Target="https://alex-koiter.github.io/terrain-attributes/notebooks/clustering_analysis-preview.html#cell-tbl-cluster-summary" TargetMode="External" /><Relationship Type="http://schemas.openxmlformats.org/officeDocument/2006/relationships/hyperlink" Id="rId15" Target="https://alex-koiter.github.io/terrain-attributes/notebooks/location_map-preview.html#cell-fig-location_map" TargetMode="External" /><Relationship Type="http://schemas.openxmlformats.org/officeDocument/2006/relationships/hyperlink" Id="rId32" Target="https://alex-koiter.github.io/terrain-attributes/notebooks/property_maps-preview.html#cell-fig-ag_map" TargetMode="External" /><Relationship Type="http://schemas.openxmlformats.org/officeDocument/2006/relationships/hyperlink" Id="rId37" Target="https://alex-koiter.github.io/terrain-attributes/notebooks/property_maps-preview.html#cell-fig-forest_map" TargetMode="External" /><Relationship Type="http://schemas.openxmlformats.org/officeDocument/2006/relationships/hyperlink" Id="rId27" Target="https://alex-koiter.github.io/terrain-attributes/notebooks/semivariogram-preview.html#cell-tbl-geocol-semivariogram" TargetMode="External" /><Relationship Type="http://schemas.openxmlformats.org/officeDocument/2006/relationships/hyperlink" Id="rId39" Target="https://alex-koiter.github.io/terrain-attributes/notebooks/univariate_analysis-preview.html#cell-tbl-correlation" TargetMode="External" /><Relationship Type="http://schemas.openxmlformats.org/officeDocument/2006/relationships/hyperlink" Id="rId22" Target="https://alex-koiter.github.io/terrain-attributes/notebooks/univariate_analysis-preview.html#cell-tbl-univariate-summary" TargetMode="External" /><Relationship Type="http://schemas.openxmlformats.org/officeDocument/2006/relationships/hyperlink" Id="rId24" Target="https://alex-koiter.github.io/terrain-attributes/notebooks/univariate_analysis-preview.html#cell-tbl-univariate-summary2" TargetMode="External" /><Relationship Type="http://schemas.openxmlformats.org/officeDocument/2006/relationships/hyperlink" Id="rId66" Target="https://alexkoiter.ca/terrain-attributes/" TargetMode="External" /><Relationship Type="http://schemas.openxmlformats.org/officeDocument/2006/relationships/hyperlink" Id="rId101" Target="https://climate.weather.gc.ca/climate_normals/index_e.html" TargetMode="External" /><Relationship Type="http://schemas.openxmlformats.org/officeDocument/2006/relationships/hyperlink" Id="rId111" Target="https://doi.org/10.1002/ldr.3407" TargetMode="External" /><Relationship Type="http://schemas.openxmlformats.org/officeDocument/2006/relationships/hyperlink" Id="rId109" Target="https://doi.org/10.1007/3-540-33161-1" TargetMode="External" /><Relationship Type="http://schemas.openxmlformats.org/officeDocument/2006/relationships/hyperlink" Id="rId158" Target="https://doi.org/10.1007/s11356-020-09249-3" TargetMode="External" /><Relationship Type="http://schemas.openxmlformats.org/officeDocument/2006/relationships/hyperlink" Id="rId196" Target="https://doi.org/10.1007/s11368-015-1134-2" TargetMode="External" /><Relationship Type="http://schemas.openxmlformats.org/officeDocument/2006/relationships/hyperlink" Id="rId84" Target="https://doi.org/10.1007/s11368-020-02755-4" TargetMode="External" /><Relationship Type="http://schemas.openxmlformats.org/officeDocument/2006/relationships/hyperlink" Id="rId105" Target="https://doi.org/10.1007/s11368-022-03203-1" TargetMode="External" /><Relationship Type="http://schemas.openxmlformats.org/officeDocument/2006/relationships/hyperlink" Id="rId140" Target="https://doi.org/10.1007/s11368-024-03805-x" TargetMode="External" /><Relationship Type="http://schemas.openxmlformats.org/officeDocument/2006/relationships/hyperlink" Id="rId147" Target="https://doi.org/10.1007/s11629-013-2427-9" TargetMode="External" /><Relationship Type="http://schemas.openxmlformats.org/officeDocument/2006/relationships/hyperlink" Id="rId174" Target="https://doi.org/10.1007/s42729-023-01470-6" TargetMode="External" /><Relationship Type="http://schemas.openxmlformats.org/officeDocument/2006/relationships/hyperlink" Id="rId88" Target="https://doi.org/10.1016/S0341-8162(96)00064-1" TargetMode="External" /><Relationship Type="http://schemas.openxmlformats.org/officeDocument/2006/relationships/hyperlink" Id="rId180" Target="https://doi.org/10.1016/S1002-0160(21)60019-X" TargetMode="External" /><Relationship Type="http://schemas.openxmlformats.org/officeDocument/2006/relationships/hyperlink" Id="rId162" Target="https://doi.org/10.1016/j.aiia.2025.04.007" TargetMode="External" /><Relationship Type="http://schemas.openxmlformats.org/officeDocument/2006/relationships/hyperlink" Id="rId151" Target="https://doi.org/10.1016/j.cageo.2005.12.009" TargetMode="External" /><Relationship Type="http://schemas.openxmlformats.org/officeDocument/2006/relationships/hyperlink" Id="rId186" Target="https://doi.org/10.1016/j.catena.2012.01.010" TargetMode="External" /><Relationship Type="http://schemas.openxmlformats.org/officeDocument/2006/relationships/hyperlink" Id="rId164" Target="https://doi.org/10.1016/j.catena.2017.12.019" TargetMode="External" /><Relationship Type="http://schemas.openxmlformats.org/officeDocument/2006/relationships/hyperlink" Id="rId124" Target="https://doi.org/10.1016/j.earscirev.2013.05.009" TargetMode="External" /><Relationship Type="http://schemas.openxmlformats.org/officeDocument/2006/relationships/hyperlink" Id="rId198" Target="https://doi.org/10.1016/j.earscirev.2022.104191" TargetMode="External" /><Relationship Type="http://schemas.openxmlformats.org/officeDocument/2006/relationships/hyperlink" Id="rId78" Target="https://doi.org/10.1016/j.geoderma.2003.12.004" TargetMode="External" /><Relationship Type="http://schemas.openxmlformats.org/officeDocument/2006/relationships/hyperlink" Id="rId192" Target="https://doi.org/10.1016/j.geoderma.2009.01.025" TargetMode="External" /><Relationship Type="http://schemas.openxmlformats.org/officeDocument/2006/relationships/hyperlink" Id="rId200" Target="https://doi.org/10.1016/j.geoderma.2011.07.012" TargetMode="External" /><Relationship Type="http://schemas.openxmlformats.org/officeDocument/2006/relationships/hyperlink" Id="rId170" Target="https://doi.org/10.1016/j.geoderma.2016.03.019" TargetMode="External" /><Relationship Type="http://schemas.openxmlformats.org/officeDocument/2006/relationships/hyperlink" Id="rId132" Target="https://doi.org/10.1016/j.geoderma.2017.12.022" TargetMode="External" /><Relationship Type="http://schemas.openxmlformats.org/officeDocument/2006/relationships/hyperlink" Id="rId86" Target="https://doi.org/10.1016/j.geoderma.2018.07.019" TargetMode="External" /><Relationship Type="http://schemas.openxmlformats.org/officeDocument/2006/relationships/hyperlink" Id="rId142" Target="https://doi.org/10.1016/j.geoderma.2020.114366" TargetMode="External" /><Relationship Type="http://schemas.openxmlformats.org/officeDocument/2006/relationships/hyperlink" Id="rId149" Target="https://doi.org/10.1016/j.geoderma.2021.115638" TargetMode="External" /><Relationship Type="http://schemas.openxmlformats.org/officeDocument/2006/relationships/hyperlink" Id="rId145" Target="https://doi.org/10.1016/j.geodrs.2020.e00289" TargetMode="External" /><Relationship Type="http://schemas.openxmlformats.org/officeDocument/2006/relationships/hyperlink" Id="rId136" Target="https://doi.org/10.1016/j.geodrs.2024.e00863" TargetMode="External" /><Relationship Type="http://schemas.openxmlformats.org/officeDocument/2006/relationships/hyperlink" Id="rId202" Target="https://doi.org/10.1016/j.geodrs.2024.e00874" TargetMode="External" /><Relationship Type="http://schemas.openxmlformats.org/officeDocument/2006/relationships/hyperlink" Id="rId98" Target="https://doi.org/10.1016/j.jenvman.2016.05.066" TargetMode="External" /><Relationship Type="http://schemas.openxmlformats.org/officeDocument/2006/relationships/hyperlink" Id="rId96" Target="https://doi.org/10.1016/j.jhydrol.2024.131019" TargetMode="External" /><Relationship Type="http://schemas.openxmlformats.org/officeDocument/2006/relationships/hyperlink" Id="rId138" Target="https://doi.org/10.1016/j.jsames.2023.104510" TargetMode="External" /><Relationship Type="http://schemas.openxmlformats.org/officeDocument/2006/relationships/hyperlink" Id="rId188" Target="https://doi.org/10.1016/j.still.2017.01.006" TargetMode="External" /><Relationship Type="http://schemas.openxmlformats.org/officeDocument/2006/relationships/hyperlink" Id="rId94" Target="https://doi.org/10.1017/CBO9780511802843" TargetMode="External" /><Relationship Type="http://schemas.openxmlformats.org/officeDocument/2006/relationships/hyperlink" Id="rId74" Target="https://doi.org/10.1038/sdata.2018.214" TargetMode="External" /><Relationship Type="http://schemas.openxmlformats.org/officeDocument/2006/relationships/hyperlink" Id="rId76" Target="https://doi.org/10.1080/07011784.2018.1451781" TargetMode="External" /><Relationship Type="http://schemas.openxmlformats.org/officeDocument/2006/relationships/hyperlink" Id="rId182" Target="https://doi.org/10.1089/ees.2011.0313" TargetMode="External" /><Relationship Type="http://schemas.openxmlformats.org/officeDocument/2006/relationships/hyperlink" Id="rId155" Target="https://doi.org/10.1111/j.1600-0587.2013.00205.x" TargetMode="External" /><Relationship Type="http://schemas.openxmlformats.org/officeDocument/2006/relationships/hyperlink" Id="rId190" Target="https://doi.org/10.1111/j.1752-1688.2010.00420.x" TargetMode="External" /><Relationship Type="http://schemas.openxmlformats.org/officeDocument/2006/relationships/hyperlink" Id="rId126" Target="https://doi.org/10.1139/cjss-2017-0128" TargetMode="External" /><Relationship Type="http://schemas.openxmlformats.org/officeDocument/2006/relationships/hyperlink" Id="rId130" Target="https://doi.org/10.1186/s12859-025-06097-1" TargetMode="External" /><Relationship Type="http://schemas.openxmlformats.org/officeDocument/2006/relationships/hyperlink" Id="rId65" Target="https://doi.org/10.17632/fmn8n49bgn.1" TargetMode="External" /><Relationship Type="http://schemas.openxmlformats.org/officeDocument/2006/relationships/hyperlink" Id="rId128" Target="https://doi.org/10.18637/jss.v028.i05" TargetMode="External" /><Relationship Type="http://schemas.openxmlformats.org/officeDocument/2006/relationships/hyperlink" Id="rId176" Target="https://doi.org/10.2136/sssaj1995.03615995005900030012x" TargetMode="External" /><Relationship Type="http://schemas.openxmlformats.org/officeDocument/2006/relationships/hyperlink" Id="rId92" Target="https://doi.org/10.2136/sssaj2003.1296" TargetMode="External" /><Relationship Type="http://schemas.openxmlformats.org/officeDocument/2006/relationships/hyperlink" Id="rId153" Target="https://doi.org/10.2136/sssaj2005.0062" TargetMode="External" /><Relationship Type="http://schemas.openxmlformats.org/officeDocument/2006/relationships/hyperlink" Id="rId72" Target="https://doi.org/10.2136/sssaj2013.02.0048" TargetMode="External" /><Relationship Type="http://schemas.openxmlformats.org/officeDocument/2006/relationships/hyperlink" Id="rId82" Target="https://doi.org/10.32614/CRAN.package.boot" TargetMode="External" /><Relationship Type="http://schemas.openxmlformats.org/officeDocument/2006/relationships/hyperlink" Id="rId178" Target="https://doi.org/10.4141/cjss71-036" TargetMode="External" /><Relationship Type="http://schemas.openxmlformats.org/officeDocument/2006/relationships/hyperlink" Id="rId90" Target="https://doi.org/10.5194/gmd-8-1991-2015" TargetMode="External" /><Relationship Type="http://schemas.openxmlformats.org/officeDocument/2006/relationships/hyperlink" Id="rId122" Target="https://doi.org/10.5281/zenodo.5123327" TargetMode="External" /><Relationship Type="http://schemas.openxmlformats.org/officeDocument/2006/relationships/hyperlink" Id="rId115" Target="https://doi.org/10.7717/peerj.5518" TargetMode="External" /><Relationship Type="http://schemas.openxmlformats.org/officeDocument/2006/relationships/hyperlink" Id="rId64" Target="https://github.com/alex-koiter/terrain-attributes" TargetMode="External" /><Relationship Type="http://schemas.openxmlformats.org/officeDocument/2006/relationships/hyperlink" Id="rId168" Target="https://journals.lww.com/health-physics/Abstract/1970/05000/Distribution_of_Fallout_and_Natural_Gamma.3.aspx" TargetMode="External" /><Relationship Type="http://schemas.openxmlformats.org/officeDocument/2006/relationships/hyperlink" Id="rId80" Target="https://open.canada.ca/data/en/dataset/0fe65119-e96e-4a57-8bfe-9d9245fba06b" TargetMode="External" /><Relationship Type="http://schemas.openxmlformats.org/officeDocument/2006/relationships/hyperlink" Id="rId107" Target="https://sis.agr.gc.ca/cansis/taxa/cssc3/index.html" TargetMode="External" /><Relationship Type="http://schemas.openxmlformats.org/officeDocument/2006/relationships/hyperlink" Id="rId70" Target="https://www.agisoft.com/downloads/installer/" TargetMode="External" /><Relationship Type="http://schemas.openxmlformats.org/officeDocument/2006/relationships/hyperlink" Id="rId103" Target="https://www.esr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LibreOffice/7.3.7.2$Linux_X86_64 LibreOffice_project/30$Build-2</Application>
  <AppVersion>15.0000</AppVersion>
  <Pages>2</Pages>
  <Words>55</Words>
  <Characters>293</Characters>
  <CharactersWithSpaces>382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of Spatial Variability of Sediment Fingerprinting Properties in Relation to Terrain Attributes in Two Field Sites in Southern Manitoba, Canada</dc:title>
  <dc:creator>Maria Luna Miño; Alexander J Koiter; Taras E Lychuk; Arnie Waddel; Alan Moulin</dc:creator>
  <cp:keywords>Soil geochemistry, Soil colour, Spatial analysis, Terrain attributes, Sediment fingerprinting</cp:keywords>
  <dcterms:created xsi:type="dcterms:W3CDTF">2026-10-12T18:46:33Z</dcterms:created>
  <dcterms:modified xsi:type="dcterms:W3CDTF">2026-10-12T18:46:33Z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Sediment source fingerprinting depends on representative sampling of source materials, yet the field-scale spatial variability of the geochemical and spectral properties commonly used as fingerprints remains poorly quantified. This case study assessed the spatial patterns of soil fingerprint properties and their relation to terrain attributes at two contrasting ~40 ha sites located within the Wilson Creek Watershed, in southern Manitoba, Canada: an agricultural field with simple terrain (2.8 m relief) and a mixedwood forest with more complex, channel-dissected terrain (17.9 m relief). A set of 15 fingerprint properties (ten geochemical elements and five spectral colour coefficients) were measured on the &lt;63 µm fraction. Their spatial variability and spatial autocorrelation were quantified, and their relation to seven terrain attributes was assessed through correlation and Random Forest regression. Unsupervised Random Forest regression and hierarchical clustering were used to identify patterns in the data as an approach to guide stratified sampling. Such grouping is useful because stratified sampling designs require meaningful strata.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Random Forest models performed better at the agricultural site, where elevation, wetness, and slope position were the top predictors for most properties. These terrain attributes likely act as proxies for hydrological and soil-forming gradients that drive the physical and geochemical processes controlling the observed patterns in fingerprint properties. The strength of the relationship between soil properties and terrain attributes depended on terrain complexity. It was stronger in the low-relief agricultural field and weaker in the more complex forested site. This suggests that DEM-based sampling is more reliable where terrain is simple. In practice, sample spacing on the order of the semivariogram range (∼200–230 m) can suffice for mapping in simple agricultural settings, whereas stratified designs (e.g., near-stream vs. hillslope) may be preferable in more complex forested terrains. Because these relationships are specific to the two study sites, their transferability to other landscapes should be tested before the approach is applied more broadly.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rossref">
    <vt:lpwstr/>
  </property>
  <property fmtid="{D5CDD505-2E9C-101B-9397-08002B2CF9AE}" pid="12" name="csl">
    <vt:lpwstr>geoderma.csl</vt:lpwstr>
  </property>
  <property fmtid="{D5CDD505-2E9C-101B-9397-08002B2CF9AE}" pid="13" name="date-modified">
    <vt:lpwstr>2026-10-12</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link-bibliography">
    <vt:lpwstr>True</vt:lpwstr>
  </property>
  <property fmtid="{D5CDD505-2E9C-101B-9397-08002B2CF9AE}" pid="22" name="link-citations">
    <vt:lpwstr>True</vt:lpwstr>
  </property>
  <property fmtid="{D5CDD505-2E9C-101B-9397-08002B2CF9AE}" pid="23" name="manuscript">
    <vt:lpwstr/>
  </property>
  <property fmtid="{D5CDD505-2E9C-101B-9397-08002B2CF9AE}" pid="24" name="notebook-preview-options">
    <vt:lpwstr/>
  </property>
  <property fmtid="{D5CDD505-2E9C-101B-9397-08002B2CF9AE}" pid="25" name="plain-language-summary">
    <vt:lpwstr>Spatial analysis is tricky buisness</vt:lpwstr>
  </property>
  <property fmtid="{D5CDD505-2E9C-101B-9397-08002B2CF9AE}" pid="26" name="quarto-internal">
    <vt:lpwstr/>
  </property>
  <property fmtid="{D5CDD505-2E9C-101B-9397-08002B2CF9AE}" pid="27" name="remove-hidden">
    <vt:lpwstr>all</vt:lpwstr>
  </property>
  <property fmtid="{D5CDD505-2E9C-101B-9397-08002B2CF9AE}" pid="28" name="suppplot-cap-location">
    <vt:lpwstr>bottom</vt:lpwstr>
  </property>
  <property fmtid="{D5CDD505-2E9C-101B-9397-08002B2CF9AE}" pid="29" name="supptab-cap-location">
    <vt:lpwstr>top</vt:lpwstr>
  </property>
  <property fmtid="{D5CDD505-2E9C-101B-9397-08002B2CF9AE}" pid="30" name="template-partials">
    <vt:lpwstr/>
  </property>
  <property fmtid="{D5CDD505-2E9C-101B-9397-08002B2CF9AE}" pid="31" name="theme">
    <vt:lpwstr>cosmo</vt:lpwstr>
  </property>
  <property fmtid="{D5CDD505-2E9C-101B-9397-08002B2CF9AE}" pid="32" name="title-block-style">
    <vt:lpwstr>manuscript</vt:lpwstr>
  </property>
  <property fmtid="{D5CDD505-2E9C-101B-9397-08002B2CF9AE}" pid="33" name="toc-title">
    <vt:lpwstr>Table of contents</vt:lpwstr>
  </property>
  <property fmtid="{D5CDD505-2E9C-101B-9397-08002B2CF9AE}" pid="34" name="unroll-markdown-cells">
    <vt:lpwstr>True</vt:lpwstr>
  </property>
</Properties>
</file>