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88.png" ContentType="image/png"/>
  <Override PartName="/word/media/rId53.png" ContentType="image/png"/>
  <Override PartName="/word/media/rId22.png" ContentType="image/png"/>
  <Override PartName="/word/media/rId39.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Start w:id="20"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w:t>
      </w:r>
      <w:r>
        <w:t xml:space="preserve"> </w:t>
      </w:r>
      <w:r>
        <w:t xml:space="preserve">Across both sites, colour properties exhibited approximately normal distributions with low coefficients of variation (CV), whereas geochemical properties were more variable and skewed.</w:t>
      </w:r>
      <w:r>
        <w:t xml:space="preserve"> </w:t>
      </w:r>
      <w:r>
        <w:t xml:space="preserve">Semivariograms indicated strong spatial dependence for most properties at the agricultural site (median range ≈ 210 m) and moderate dependence at the forested site (ranges 176–298 m).</w:t>
      </w:r>
      <w:r>
        <w:t xml:space="preserve"> </w:t>
      </w:r>
      <w:r>
        <w:t xml:space="preserve">RF models performed better at the agricultural site; elevation, wetness and slope position were the top-ranked predictors for most properties.</w:t>
      </w:r>
      <w:r>
        <w:t xml:space="preserve"> </w:t>
      </w:r>
      <w:r>
        <w:t xml:space="preserve">These results support DEM-based sampling strategies.</w:t>
      </w:r>
      <w:r>
        <w:t xml:space="preserve"> </w:t>
      </w:r>
      <w:r>
        <w:t xml:space="preserve">In practice, sample spacing on the order of the semivariogram range (∼200–230 m) can suffice for mapping in simple agricultural settings, whereas stratified designs (e.g., near-stream vs. hillslope) may be preferable in more complex forested terrains.</w:t>
      </w:r>
    </w:p>
    <w:bookmarkEnd w:id="20"/>
    <w:bookmarkStart w:id="21"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Characterizing the patterns and drivers of this variation is an important component of many agri-environmental studies.</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r>
        <w:t xml:space="preserve">(</w:t>
      </w:r>
      <w:hyperlink w:anchor="ref-kariuki2009">
        <w:r>
          <w:rPr>
            <w:rStyle w:val="InternetLink"/>
          </w:rPr>
          <w:t xml:space="preserve">Kariuki et al., 2009</w:t>
        </w:r>
      </w:hyperlink>
      <w:r>
        <w:t xml:space="preserve">;</w:t>
      </w:r>
      <w:r>
        <w:t xml:space="preserve"> </w:t>
      </w:r>
      <w:hyperlink w:anchor="ref-starr1995">
        <w:r>
          <w:rPr>
            <w:rStyle w:val="InternetLink"/>
          </w:rPr>
          <w:t xml:space="preserve">Starr et al., 1995</w:t>
        </w:r>
      </w:hyperlink>
      <w:r>
        <w:t xml:space="preserve">)</w:t>
      </w:r>
      <w:r>
        <w:t xml:space="preserve">.</w:t>
      </w:r>
      <w:r>
        <w:t xml:space="preserve"> </w:t>
      </w:r>
      <w:r>
        <w:t xml:space="preserve">Similarly, accounting for spatial variability extends to sediment source fingerprinting, as unaccounted spatial heterogeneity within sources of sediment can compromise the source apportionment results</w:t>
      </w:r>
      <w:r>
        <w:t xml:space="preserve"> </w:t>
      </w:r>
      <w:r>
        <w:t xml:space="preserve">(</w:t>
      </w:r>
      <w:hyperlink w:anchor="ref-du2017">
        <w:r>
          <w:rPr>
            <w:rStyle w:val="InternetLink"/>
          </w:rPr>
          <w:t xml:space="preserve">Du and Walling, 2017</w:t>
        </w:r>
      </w:hyperlink>
      <w:r>
        <w:t xml:space="preserve">)</w:t>
      </w:r>
      <w:r>
        <w:t xml:space="preserve">.</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However, investigating spatial variability at smaller scales is less common</w:t>
      </w:r>
      <w:r>
        <w:t xml:space="preserve"> </w:t>
      </w:r>
      <w:r>
        <w:t xml:space="preserve">(</w:t>
      </w:r>
      <w:hyperlink w:anchor="ref-collins2019">
        <w:r>
          <w:rPr>
            <w:rStyle w:val="InternetLink"/>
          </w:rPr>
          <w:t xml:space="preserve">Collins et al., 2019</w:t>
        </w:r>
      </w:hyperlink>
      <w:r>
        <w:t xml:space="preserve">;</w:t>
      </w:r>
      <w:r>
        <w:t xml:space="preserve"> </w:t>
      </w:r>
      <w:hyperlink w:anchor="ref-du2017">
        <w:r>
          <w:rPr>
            <w:rStyle w:val="InternetLink"/>
          </w:rPr>
          <w:t xml:space="preserve">Du and Walling, 2017</w:t>
        </w:r>
      </w:hyperlink>
      <w:r>
        <w:t xml:space="preserve">;</w:t>
      </w:r>
      <w:r>
        <w:t xml:space="preserve"> </w:t>
      </w:r>
      <w:hyperlink w:anchor="ref-lunamiño2024">
        <w:r>
          <w:rPr>
            <w:rStyle w:val="InternetLink"/>
          </w:rPr>
          <w:t xml:space="preserve">Luna Miño et al., 2024</w:t>
        </w:r>
      </w:hyperlink>
      <w:r>
        <w:t xml:space="preserve">;</w:t>
      </w:r>
      <w:r>
        <w:t xml:space="preserve"> </w:t>
      </w:r>
      <w:hyperlink w:anchor="ref-pulley2018">
        <w:r>
          <w:rPr>
            <w:rStyle w:val="InternetLink"/>
          </w:rPr>
          <w:t xml:space="preserve">Pulley et al., 2018</w:t>
        </w:r>
      </w:hyperlink>
      <w:r>
        <w:t xml:space="preserve">)</w:t>
      </w:r>
      <w:r>
        <w:t xml:space="preserve"> </w:t>
      </w:r>
      <w:r>
        <w:t xml:space="preserve">and remains a research priority</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w:t>
      </w:r>
      <w:r>
        <w:t xml:space="preserve"> </w:t>
      </w:r>
      <w:r>
        <w:t xml:space="preserve">(</w:t>
      </w:r>
      <w:hyperlink w:anchor="ref-wilkinson2015">
        <w:r>
          <w:rPr>
            <w:rStyle w:val="InternetLink"/>
          </w:rPr>
          <w:t xml:space="preserve">Wilkinson et al., 2015</w:t>
        </w:r>
      </w:hyperlink>
      <w:r>
        <w:t xml:space="preserve">)</w:t>
      </w:r>
      <w:r>
        <w:t xml:space="preserve">.</w:t>
      </w:r>
      <w:r>
        <w:t xml:space="preserve"> </w:t>
      </w:r>
      <w:r>
        <w:t xml:space="preserve">Designing and implementing source sampling campaigns must consider this, as the sampling design used has been shown to influence the characterization of a wide range of commonly used fingerprints</w:t>
      </w:r>
      <w:r>
        <w:t xml:space="preserve"> </w:t>
      </w:r>
      <w:r>
        <w:t xml:space="preserve">(</w:t>
      </w:r>
      <w:hyperlink w:anchor="ref-lunamiño2024">
        <w:r>
          <w:rPr>
            <w:rStyle w:val="InternetLink"/>
          </w:rPr>
          <w:t xml:space="preserve">Luna Miño et al., 2024</w:t>
        </w:r>
      </w:hyperlink>
      <w:r>
        <w:t xml:space="preserve">)</w:t>
      </w:r>
      <w:r>
        <w:t xml:space="preserve">.</w:t>
      </w:r>
      <w:r>
        <w:t xml:space="preserve"> </w:t>
      </w:r>
      <w:r>
        <w:t xml:space="preserve">The lack of standardization in sediment source sampling designs makes it difficult to compare results across studies and creates uncertainties in the interpretation of results</w:t>
      </w:r>
      <w:r>
        <w:t xml:space="preserve"> </w:t>
      </w:r>
      <w:r>
        <w:t xml:space="preserve">(</w:t>
      </w:r>
      <w:hyperlink w:anchor="ref-lunamiño2024">
        <w:r>
          <w:rPr>
            <w:rStyle w:val="InternetLink"/>
          </w:rPr>
          <w:t xml:space="preserve">Luna Miño et al., 2024</w:t>
        </w:r>
      </w:hyperlink>
      <w:r>
        <w:t xml:space="preserve">)</w:t>
      </w:r>
      <w:r>
        <w:t xml:space="preserve">.</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w:t>
      </w:r>
      <w:r>
        <w:t xml:space="preserve"> </w:t>
      </w:r>
      <w:r>
        <w:t xml:space="preserve">(</w:t>
      </w:r>
      <w:hyperlink w:anchor="ref-du2017">
        <w:r>
          <w:rPr>
            <w:rStyle w:val="InternetLink"/>
          </w:rPr>
          <w:t xml:space="preserve">Du and Walling, 2017</w:t>
        </w:r>
      </w:hyperlink>
      <w:r>
        <w:t xml:space="preserve">;</w:t>
      </w:r>
      <w:r>
        <w:t xml:space="preserve"> </w:t>
      </w:r>
      <w:hyperlink w:anchor="ref-wilkinson2015">
        <w:r>
          <w:rPr>
            <w:rStyle w:val="InternetLink"/>
          </w:rPr>
          <w:t xml:space="preserve">Wilkinson et al., 2015</w:t>
        </w:r>
      </w:hyperlink>
      <w:r>
        <w:t xml:space="preserve">)</w:t>
      </w:r>
      <w:r>
        <w:t xml:space="preserve"> </w:t>
      </w:r>
      <w:r>
        <w:t xml:space="preserve">and using spatially interpolated maps of fingerprint values to provide a finer resolution of the fingerprint variability within each source</w:t>
      </w:r>
      <w:r>
        <w:t xml:space="preserve"> </w:t>
      </w:r>
      <w:r>
        <w:t xml:space="preserve">(</w:t>
      </w:r>
      <w:hyperlink w:anchor="ref-haddadchi2019">
        <w:r>
          <w:rPr>
            <w:rStyle w:val="InternetLink"/>
          </w:rPr>
          <w:t xml:space="preserve">Haddadchi et al., 2019</w:t>
        </w:r>
      </w:hyperlink>
      <w:r>
        <w:t xml:space="preserve">)</w:t>
      </w:r>
      <w:r>
        <w:t xml:space="preserve">.</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use a statistical-based approach</w:t>
      </w:r>
      <w:r>
        <w:t xml:space="preserve"> </w:t>
      </w:r>
      <w:r>
        <w:t xml:space="preserve">(</w:t>
      </w:r>
      <w:hyperlink w:anchor="ref-collins1997">
        <w:r>
          <w:rPr>
            <w:rStyle w:val="InternetLink"/>
          </w:rPr>
          <w:t xml:space="preserve">Collins et al., 1997</w:t>
        </w:r>
      </w:hyperlink>
      <w:r>
        <w:t xml:space="preserve">)</w:t>
      </w:r>
      <w:r>
        <w:t xml:space="preserve"> </w:t>
      </w:r>
      <w:r>
        <w:t xml:space="preserve">to select suitable fingerprints there are concerns that this approach may result in the inclusion of false positives (i.e., type I error) in which a fingerprint is incorrectly identified as having discriminatory power between sources when it does not, or non-conservative fingerprints</w:t>
      </w:r>
      <w:r>
        <w:t xml:space="preserve"> </w:t>
      </w:r>
      <w:r>
        <w:t xml:space="preserve">(</w:t>
      </w:r>
      <w:hyperlink w:anchor="ref-koiter2013">
        <w:r>
          <w:rPr>
            <w:rStyle w:val="InternetLink"/>
          </w:rPr>
          <w:t xml:space="preserve">Koiter et al., 2013</w:t>
        </w:r>
      </w:hyperlink>
      <w:r>
        <w:t xml:space="preserve">)</w:t>
      </w:r>
      <w:r>
        <w:t xml:space="preserve">.</w:t>
      </w:r>
      <w:r>
        <w:t xml:space="preserve"> </w:t>
      </w:r>
      <w:r>
        <w:t xml:space="preserve">Consequently, there has been a call for the inclusion of a process-based (e.g., weathering, erosion) or geologic-based explanation of the fingerprints selected to address these concerns</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This remains challenging due to limited data on soil properties, particularly with geochemical properties, as routine lab analysis often measures more than 50 elements.</w:t>
      </w:r>
      <w:r>
        <w:t xml:space="preserve"> </w:t>
      </w:r>
      <w:r>
        <w:t xml:space="preserve">The spatial patterns of some soil properties are well studied because of their agronomic importance or ability to infer other important soil properties and processes and include fallout radionuclides</w:t>
      </w:r>
      <w:r>
        <w:t xml:space="preserve"> </w:t>
      </w:r>
      <w:r>
        <w:t xml:space="preserve">(e.g.,</w:t>
      </w:r>
      <w:r>
        <w:t xml:space="preserve"> </w:t>
      </w:r>
      <w:r>
        <w:rPr>
          <w:vertAlign w:val="superscript"/>
        </w:rPr>
        <w:t xml:space="preserve">137</w:t>
      </w:r>
      <w:r>
        <w:t xml:space="preserve">Cs,</w:t>
      </w:r>
      <w:r>
        <w:t xml:space="preserve"> </w:t>
      </w:r>
      <w:r>
        <w:rPr>
          <w:vertAlign w:val="superscript"/>
        </w:rPr>
        <w:t xml:space="preserve">7</w:t>
      </w:r>
      <w:r>
        <w:t xml:space="preserve">Be</w:t>
      </w:r>
      <w:r>
        <w:t xml:space="preserve"> </w:t>
      </w:r>
      <w:hyperlink w:anchor="ref-ritchie1970">
        <w:r>
          <w:rPr>
            <w:rStyle w:val="InternetLink"/>
          </w:rPr>
          <w:t xml:space="preserve">Ritchie et al., 1970</w:t>
        </w:r>
      </w:hyperlink>
      <w:r>
        <w:t xml:space="preserve">)</w:t>
      </w:r>
      <w:r>
        <w:t xml:space="preserve">, plant nutrients</w:t>
      </w:r>
      <w:r>
        <w:t xml:space="preserve"> </w:t>
      </w:r>
      <w:r>
        <w:t xml:space="preserve">(e.g., N, P</w:t>
      </w:r>
      <w:r>
        <w:t xml:space="preserve"> </w:t>
      </w:r>
      <w:hyperlink w:anchor="ref-vasu2017">
        <w:r>
          <w:rPr>
            <w:rStyle w:val="InternetLink"/>
          </w:rPr>
          <w:t xml:space="preserve">Vasu et al., 2017</w:t>
        </w:r>
      </w:hyperlink>
      <w:r>
        <w:t xml:space="preserve">)</w:t>
      </w:r>
      <w:r>
        <w:t xml:space="preserve">, soil colour</w:t>
      </w:r>
      <w:r>
        <w:t xml:space="preserve"> </w:t>
      </w:r>
      <w:r>
        <w:t xml:space="preserve">(e.g., hue, value</w:t>
      </w:r>
      <w:r>
        <w:t xml:space="preserve"> </w:t>
      </w:r>
      <w:hyperlink w:anchor="ref-viscarrarossel2006">
        <w:r>
          <w:rPr>
            <w:rStyle w:val="InternetLink"/>
          </w:rPr>
          <w:t xml:space="preserve">Viscarra Rossel et al., 2006</w:t>
        </w:r>
      </w:hyperlink>
      <w:r>
        <w:t xml:space="preserve">)</w:t>
      </w:r>
      <w:r>
        <w:t xml:space="preserve">, major non-acid forming cations</w:t>
      </w:r>
      <w:r>
        <w:t xml:space="preserve"> </w:t>
      </w:r>
      <w:r>
        <w:t xml:space="preserve">(e.g., Ca, Na</w:t>
      </w:r>
      <w:r>
        <w:t xml:space="preserve"> </w:t>
      </w:r>
      <w:hyperlink w:anchor="ref-sun2021">
        <w:r>
          <w:rPr>
            <w:rStyle w:val="InternetLink"/>
          </w:rPr>
          <w:t xml:space="preserve">Sun et al., 2021a</w:t>
        </w:r>
      </w:hyperlink>
      <w:r>
        <w:t xml:space="preserve">)</w:t>
      </w:r>
      <w:r>
        <w:t xml:space="preserve">.</w:t>
      </w:r>
      <w:r>
        <w:t xml:space="preserve"> </w:t>
      </w:r>
      <w:r>
        <w:t xml:space="preserve">In contrast, the processes that control the distribution of rare earth elements and trace metals, are less well studied or tend to be site-specific, making it difficult to draw generalizations.</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w:t>
      </w:r>
      <w:r>
        <w:t xml:space="preserve"> </w:t>
      </w:r>
      <w:r>
        <w:t xml:space="preserve">(</w:t>
      </w:r>
      <w:hyperlink w:anchor="ref-beaudette2013">
        <w:r>
          <w:rPr>
            <w:rStyle w:val="InternetLink"/>
          </w:rPr>
          <w:t xml:space="preserve">Beaudette et al., 2013</w:t>
        </w:r>
      </w:hyperlink>
      <w:r>
        <w:t xml:space="preserve">)</w:t>
      </w:r>
      <w:r>
        <w:t xml:space="preserve">, texture</w:t>
      </w:r>
      <w:r>
        <w:t xml:space="preserve"> </w:t>
      </w:r>
      <w:r>
        <w:t xml:space="preserve">(</w:t>
      </w:r>
      <w:hyperlink w:anchor="ref-kokulan2018">
        <w:r>
          <w:rPr>
            <w:rStyle w:val="InternetLink"/>
          </w:rPr>
          <w:t xml:space="preserve">Kokulan et al., 2018</w:t>
        </w:r>
      </w:hyperlink>
      <w:r>
        <w:t xml:space="preserve">)</w:t>
      </w:r>
      <w:r>
        <w:t xml:space="preserve">, colour</w:t>
      </w:r>
      <w:r>
        <w:t xml:space="preserve"> </w:t>
      </w:r>
      <w:r>
        <w:t xml:space="preserve">(</w:t>
      </w:r>
      <w:hyperlink w:anchor="ref-brown2004">
        <w:r>
          <w:rPr>
            <w:rStyle w:val="InternetLink"/>
          </w:rPr>
          <w:t xml:space="preserve">Brown et al., 2004</w:t>
        </w:r>
      </w:hyperlink>
      <w:r>
        <w:t xml:space="preserve">)</w:t>
      </w:r>
      <w:r>
        <w:t xml:space="preserve">, organic matter</w:t>
      </w:r>
      <w:r>
        <w:t xml:space="preserve"> </w:t>
      </w:r>
      <w:r>
        <w:t xml:space="preserve">(</w:t>
      </w:r>
      <w:hyperlink w:anchor="ref-zhang2012">
        <w:r>
          <w:rPr>
            <w:rStyle w:val="InternetLink"/>
          </w:rPr>
          <w:t xml:space="preserve">Zhang et al., 2012</w:t>
        </w:r>
      </w:hyperlink>
      <w:r>
        <w:t xml:space="preserve">)</w:t>
      </w:r>
      <w:r>
        <w:t xml:space="preserve">, conductivity</w:t>
      </w:r>
      <w:r>
        <w:t xml:space="preserve"> </w:t>
      </w:r>
      <w:r>
        <w:t xml:space="preserve">(</w:t>
      </w:r>
      <w:hyperlink w:anchor="ref-umali2012">
        <w:r>
          <w:rPr>
            <w:rStyle w:val="InternetLink"/>
          </w:rPr>
          <w:t xml:space="preserve">Umali et al., 2012</w:t>
        </w:r>
      </w:hyperlink>
      <w:r>
        <w:t xml:space="preserve">)</w:t>
      </w:r>
      <w:r>
        <w:t xml:space="preserve">, and geochemistry</w:t>
      </w:r>
      <w:r>
        <w:t xml:space="preserve"> </w:t>
      </w:r>
      <w:r>
        <w:t xml:space="preserve">(</w:t>
      </w:r>
      <w:hyperlink w:anchor="ref-lima2023">
        <w:r>
          <w:rPr>
            <w:rStyle w:val="InternetLink"/>
          </w:rPr>
          <w:t xml:space="preserve">Lima et al., 2023</w:t>
        </w:r>
      </w:hyperlink>
      <w:r>
        <w:t xml:space="preserve">)</w:t>
      </w:r>
      <w:r>
        <w:t xml:space="preserve">.</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This study builds on the previous work of Luna Miño</w:t>
      </w:r>
      <w:r>
        <w:t xml:space="preserve"> </w:t>
      </w:r>
      <w:r>
        <w:t xml:space="preserve">(</w:t>
      </w:r>
      <w:hyperlink w:anchor="ref-lunamiño2024">
        <w:r>
          <w:rPr>
            <w:rStyle w:val="InternetLink"/>
          </w:rPr>
          <w:t xml:space="preserve">2024</w:t>
        </w:r>
      </w:hyperlink>
      <w:r>
        <w:t xml:space="preserve">)</w:t>
      </w:r>
      <w:r>
        <w:t xml:space="preserve"> </w:t>
      </w:r>
      <w:r>
        <w:t xml:space="preserve">where the impact of three different sampling designs on the characterization of source materials, within the framework of the sediment fingerprinting approach, was assessed.</w:t>
      </w:r>
      <w:r>
        <w:t xml:space="preserve"> </w:t>
      </w:r>
      <w:r>
        <w:t xml:space="preserve">This study expands that study by using the data from grid sampling approach to assess the spatial autocorrelation, and identify important terrain attributes driving the observed patterns.</w:t>
      </w:r>
      <w:r>
        <w:t xml:space="preserve"> </w:t>
      </w:r>
      <w:r>
        <w:t xml:space="preserve">The objectives of this study were to: (1) quantify the spatial variability and spatial dependence of 15 fingerprint-relevant soil properties across an agricultural and forested field site; and (2) test the relation between these soil properties and seven terrain attributes (derived from DEMs), using correlation and Random Forest regression to identify terrain controls and their relative importance.</w:t>
      </w:r>
      <w:r>
        <w:t xml:space="preserve"> </w:t>
      </w:r>
      <w:r>
        <w:t xml:space="preserve">Together, these objectives address how terrain attributes may be used to understand spatial distributions of soil properties and help guide sampling design.</w:t>
      </w:r>
    </w:p>
    <w:bookmarkEnd w:id="21"/>
    <w:bookmarkStart w:id="31" w:name="methods"/>
    <w:p>
      <w:pPr>
        <w:pStyle w:val="Heading2"/>
      </w:pPr>
      <w:r>
        <w:t xml:space="preserve">2 Methods</w:t>
      </w:r>
    </w:p>
    <w:bookmarkStart w:id="27"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w:t>
      </w:r>
      <w:r>
        <w:rPr>
          <w:i/>
          <w:iCs/>
        </w:rPr>
        <w:t xml:space="preserve">Picea glauca</w:t>
      </w:r>
      <w:r>
        <w:t xml:space="preserve">), black spruce (</w:t>
      </w:r>
      <w:r>
        <w:rPr>
          <w:i/>
          <w:iCs/>
        </w:rPr>
        <w:t xml:space="preserve">Picea mariana</w:t>
      </w:r>
      <w:r>
        <w:t xml:space="preserve">), balsam fir (</w:t>
      </w:r>
      <w:r>
        <w:rPr>
          <w:i/>
          <w:iCs/>
        </w:rPr>
        <w:t xml:space="preserve">Abies balsamea</w:t>
      </w:r>
      <w:r>
        <w:t xml:space="preserve">), larch (</w:t>
      </w:r>
      <w:r>
        <w:rPr>
          <w:i/>
          <w:iCs/>
        </w:rPr>
        <w:t xml:space="preserve">Larix laricina</w:t>
      </w:r>
      <w:r>
        <w:t xml:space="preserve">), and trembling aspen (</w:t>
      </w:r>
      <w:r>
        <w:rPr>
          <w:i/>
          <w:iCs/>
        </w:rPr>
        <w:t xml:space="preserve">Populus tremuloides</w:t>
      </w:r>
      <w:r>
        <w:t xml:space="preserve">), with soils likely part of the Grey Wooded soil association (Luvisol) developed on boulder till of mostly shale with some limestone and granitic rocks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w:t>
      </w:r>
      <w:r>
        <w:t xml:space="preserve"> </w:t>
      </w:r>
      <w:r>
        <w:t xml:space="preserve">(</w:t>
      </w:r>
      <w:hyperlink w:anchor="ref-beck2018">
        <w:r>
          <w:rPr>
            <w:rStyle w:val="InternetLink"/>
          </w:rPr>
          <w:t xml:space="preserve">Beck et al., 2018</w:t>
        </w:r>
      </w:hyperlink>
      <w:r>
        <w:t xml:space="preserve">)</w:t>
      </w:r>
      <w:r>
        <w:t xml:space="preserve">, with a mean annual temperature of 3.0°C, annual precipitation of 539 mm (~27% as snow) environmentandclimatechangecanada2026, and snowmelt-dominated runoff, with about 80% occurring in May and June</w:t>
      </w:r>
      <w:r>
        <w:t xml:space="preserve"> </w:t>
      </w:r>
      <w:r>
        <w:t xml:space="preserve">(</w:t>
      </w:r>
      <w:hyperlink w:anchor="ref-mackay1970">
        <w:r>
          <w:rPr>
            <w:rStyle w:val="InternetLink"/>
          </w:rPr>
          <w:t xml:space="preserve">MacKay, 1970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location_map"/>
          <w:p>
            <w:pPr>
              <w:pStyle w:val="Compact"/>
              <w:jc w:val="center"/>
            </w:pPr>
            <w:r>
              <w:drawing>
                <wp:inline>
                  <wp:extent cx="5943600" cy="4245428"/>
                  <wp:effectExtent b="0" l="0" r="0" t="0"/>
                  <wp:docPr descr="" title="" id="23" name="Picture"/>
                  <a:graphic>
                    <a:graphicData uri="http://schemas.openxmlformats.org/drawingml/2006/picture">
                      <pic:pic>
                        <pic:nvPicPr>
                          <pic:cNvPr descr="index_files/figure-docx/notebooks-location_map-fig-location_map-output-2.png" id="24" name="Picture"/>
                          <pic:cNvPicPr>
                            <a:picLocks noChangeArrowheads="1" noChangeAspect="1"/>
                          </pic:cNvPicPr>
                        </pic:nvPicPr>
                        <pic:blipFill>
                          <a:blip r:embed="rId2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25"/>
        </w:tc>
      </w:tr>
    </w:tbl>
    <w:p>
      <w:pPr>
        <w:pStyle w:val="TextBody"/>
      </w:pPr>
      <w:r>
        <w:rPr>
          <w:vertAlign w:val="subscript"/>
        </w:rPr>
        <w:t xml:space="preserve">Source:</w:t>
      </w:r>
      <w:r>
        <w:rPr>
          <w:vertAlign w:val="subscript"/>
        </w:rPr>
        <w:t xml:space="preserve"> </w:t>
      </w:r>
      <w:hyperlink r:id="rId26">
        <w:r>
          <w:rPr>
            <w:rStyle w:val="InternetLink"/>
            <w:vertAlign w:val="subscript"/>
          </w:rPr>
          <w:t xml:space="preserve">Research Site Locations</w:t>
        </w:r>
      </w:hyperlink>
    </w:p>
    <w:bookmarkEnd w:id="27"/>
    <w:bookmarkStart w:id="28"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w:t>
      </w:r>
      <w:hyperlink w:anchor="ref-boudreault2018">
        <w:r>
          <w:rPr>
            <w:rStyle w:val="InternetLink"/>
          </w:rPr>
          <w:t xml:space="preserve">Boudreault et al., 2018</w:t>
        </w:r>
      </w:hyperlink>
      <w:r>
        <w:t xml:space="preserve">;</w:t>
      </w:r>
      <w:r>
        <w:t xml:space="preserve"> </w:t>
      </w:r>
      <w:hyperlink w:anchor="ref-koiter2021">
        <w:r>
          <w:rPr>
            <w:rStyle w:val="InternetLink"/>
          </w:rPr>
          <w:t xml:space="preserve">Koiter, 2021</w:t>
        </w:r>
      </w:hyperlink>
      <w:r>
        <w:t xml:space="preserve">)</w:t>
      </w:r>
      <w:r>
        <w:t xml:space="preserve">.</w:t>
      </w:r>
      <w:r>
        <w:t xml:space="preserve"> </w:t>
      </w:r>
      <w:r>
        <w:t xml:space="preserve">Based on the results of Luna Miño</w:t>
      </w:r>
      <w:r>
        <w:t xml:space="preserve"> </w:t>
      </w:r>
      <w:r>
        <w:t xml:space="preserve">(</w:t>
      </w:r>
      <w:hyperlink w:anchor="ref-lunamiño2024">
        <w:r>
          <w:rPr>
            <w:rStyle w:val="InternetLink"/>
          </w:rPr>
          <w:t xml:space="preserve">2024</w:t>
        </w:r>
      </w:hyperlink>
      <w:r>
        <w:t xml:space="preserve">)</w:t>
      </w:r>
      <w:r>
        <w:t xml:space="preserve">,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28"/>
    <w:bookmarkStart w:id="29" w:name="geospatial-and-terrain-analysis"/>
    <w:p>
      <w:pPr>
        <w:pStyle w:val="Heading3"/>
      </w:pPr>
      <w:r>
        <w:t xml:space="preserve">2.3 Geospatial and terrain analysis</w:t>
      </w:r>
    </w:p>
    <w:p>
      <w:pPr>
        <w:pStyle w:val="FirstParagraph"/>
      </w:pPr>
      <w:r>
        <w:t xml:space="preserve">All geostatistics were performed with ArcGIS Pro</w:t>
      </w:r>
      <w:r>
        <w:t xml:space="preserve"> </w:t>
      </w:r>
      <w:r>
        <w:t xml:space="preserve">(v 3.3.0</w:t>
      </w:r>
      <w:r>
        <w:t xml:space="preserve"> </w:t>
      </w:r>
      <w:hyperlink w:anchor="ref-esri2024">
        <w:r>
          <w:rPr>
            <w:rStyle w:val="InternetLink"/>
          </w:rPr>
          <w:t xml:space="preserve">Esri, 2024</w:t>
        </w:r>
      </w:hyperlink>
      <w:r>
        <w:t xml:space="preserve">)</w:t>
      </w:r>
      <w:r>
        <w:t xml:space="preserve">.</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ensure the automated fits were reasonable.</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w:t>
      </w:r>
      <w:r>
        <w:t xml:space="preserve"> </w:t>
      </w:r>
      <w:r>
        <w:t xml:space="preserve">(</w:t>
      </w:r>
      <w:hyperlink w:anchor="ref-naturalresourcescanada2024">
        <w:r>
          <w:rPr>
            <w:rStyle w:val="InternetLink"/>
          </w:rPr>
          <w:t xml:space="preserve">Canada, 2024</w:t>
        </w:r>
      </w:hyperlink>
      <w:r>
        <w:t xml:space="preserve">)</w:t>
      </w:r>
      <w:r>
        <w:t xml:space="preserve">, while the agricultural DEM was generated using UAV photogrammetry processed in Agisoft Metashape</w:t>
      </w:r>
      <w:r>
        <w:t xml:space="preserve"> </w:t>
      </w:r>
      <w:r>
        <w:t xml:space="preserve">(v1.8.2</w:t>
      </w:r>
      <w:r>
        <w:t xml:space="preserve"> </w:t>
      </w:r>
      <w:hyperlink w:anchor="ref-agisoft2021">
        <w:r>
          <w:rPr>
            <w:rStyle w:val="InternetLink"/>
          </w:rPr>
          <w:t xml:space="preserve">Agisoft, 2021</w:t>
        </w:r>
      </w:hyperlink>
      <w:r>
        <w:t xml:space="preserve">)</w:t>
      </w:r>
      <w:r>
        <w:t xml:space="preserve"> </w:t>
      </w:r>
      <w:r>
        <w:t xml:space="preserve">with ground control points.</w:t>
      </w:r>
      <w:r>
        <w:t xml:space="preserve"> </w:t>
      </w:r>
      <w:r>
        <w:t xml:space="preserve">Both DEMs were interpolated 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w:t>
      </w:r>
      <w:r>
        <w:t xml:space="preserve"> </w:t>
      </w:r>
      <w:r>
        <w:t xml:space="preserve">(v2.1.4</w:t>
      </w:r>
      <w:r>
        <w:t xml:space="preserve"> </w:t>
      </w:r>
      <w:hyperlink w:anchor="ref-conrad2015">
        <w:r>
          <w:rPr>
            <w:rStyle w:val="InternetLink"/>
          </w:rPr>
          <w:t xml:space="preserve">Conrad et al., 2015</w:t>
        </w:r>
      </w:hyperlink>
      <w:r>
        <w:t xml:space="preserve">)</w:t>
      </w:r>
      <w:r>
        <w:t xml:space="preserve"> </w:t>
      </w:r>
      <w:r>
        <w:t xml:space="preserve">(</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All rasters were resampled to 10 m resolution</w:t>
      </w:r>
      <w:r>
        <w:t xml:space="preserve"> </w:t>
      </w:r>
      <w:r>
        <w:t xml:space="preserve">(</w:t>
      </w:r>
      <w:r>
        <w:rPr>
          <w:rStyle w:val="VerbatimChar"/>
        </w:rPr>
        <w:t xml:space="preserve">terra</w:t>
      </w:r>
      <w:r>
        <w:t xml:space="preserve"> </w:t>
      </w:r>
      <w:r>
        <w:t xml:space="preserve">v</w:t>
      </w:r>
      <w:r>
        <w:rPr>
          <w:rStyle w:val="VerbatimChar"/>
        </w:rPr>
        <w:t xml:space="preserve">r packageVersion("terra")</w:t>
      </w:r>
      <w:r>
        <w:t xml:space="preserve"> </w:t>
      </w:r>
      <w:hyperlink w:anchor="ref-hijmans2024">
        <w:r>
          <w:rPr>
            <w:rStyle w:val="InternetLink"/>
          </w:rPr>
          <w:t xml:space="preserve">Hijmans, 2024</w:t>
        </w:r>
      </w:hyperlink>
      <w:r>
        <w:t xml:space="preserve">)</w:t>
      </w:r>
      <w:r>
        <w:t xml:space="preserve"> </w:t>
      </w:r>
      <w:r>
        <w:t xml:space="preserve">prior to statistical analysis to harmonize spatial support.</w:t>
      </w:r>
    </w:p>
    <w:bookmarkEnd w:id="29"/>
    <w:bookmarkStart w:id="30" w:name="data-analysis"/>
    <w:p>
      <w:pPr>
        <w:pStyle w:val="Heading3"/>
      </w:pPr>
      <w:r>
        <w:t xml:space="preserve">2.4 Data analysis</w:t>
      </w:r>
    </w:p>
    <w:p>
      <w:pPr>
        <w:pStyle w:val="FirstParagraph"/>
      </w:pPr>
      <w:r>
        <w:t xml:space="preserve">All subsequent statistical analysis was undertaken using R statistical Software v4.5.3</w:t>
      </w:r>
      <w:r>
        <w:t xml:space="preserve"> </w:t>
      </w:r>
      <w:r>
        <w:t xml:space="preserve">(</w:t>
      </w:r>
      <w:hyperlink w:anchor="ref-rcoreteam2026">
        <w:r>
          <w:rPr>
            <w:rStyle w:val="InternetLink"/>
          </w:rPr>
          <w:t xml:space="preserve">Team, 2026</w:t>
        </w:r>
      </w:hyperlink>
      <w:r>
        <w:t xml:space="preserve">)</w:t>
      </w:r>
      <w:r>
        <w:t xml:space="preserve"> </w:t>
      </w:r>
      <w:r>
        <w:t xml:space="preserve">through RStudio Integrated Development Environment v2026.04.0</w:t>
      </w:r>
      <w:r>
        <w:t xml:space="preserve"> </w:t>
      </w:r>
      <w:r>
        <w:t xml:space="preserve">(</w:t>
      </w:r>
      <w:hyperlink w:anchor="ref-rstudio2026">
        <w:r>
          <w:rPr>
            <w:rStyle w:val="InternetLink"/>
          </w:rPr>
          <w:t xml:space="preserve">RStudio, 2026</w:t>
        </w:r>
      </w:hyperlink>
      <w:r>
        <w:t xml:space="preserve">)</w:t>
      </w:r>
      <w:r>
        <w:t xml:space="preserve">).</w:t>
      </w:r>
      <w:r>
        <w:t xml:space="preserve"> </w:t>
      </w:r>
      <w:r>
        <w:t xml:space="preserve">Plots and maps were created using the R package</w:t>
      </w:r>
      <w:r>
        <w:t xml:space="preserve"> </w:t>
      </w:r>
      <w:r>
        <w:rPr>
          <w:rStyle w:val="VerbatimChar"/>
        </w:rPr>
        <w:t xml:space="preserve">ggplot2</w:t>
      </w:r>
      <w:r>
        <w:t xml:space="preserve"> </w:t>
      </w:r>
      <w:r>
        <w:t xml:space="preserve">v3.5.2</w:t>
      </w:r>
      <w:r>
        <w:t xml:space="preserve"> </w:t>
      </w:r>
      <w:r>
        <w:t xml:space="preserve">(</w:t>
      </w:r>
      <w:hyperlink w:anchor="ref-wickham2016">
        <w:r>
          <w:rPr>
            <w:rStyle w:val="InternetLink"/>
          </w:rPr>
          <w:t xml:space="preserve">Wickham, 2016</w:t>
        </w:r>
      </w:hyperlink>
      <w:r>
        <w:t xml:space="preserve">)</w:t>
      </w:r>
      <w:r>
        <w:t xml:space="preserve">.</w:t>
      </w:r>
      <w:r>
        <w:t xml:space="preserve"> </w:t>
      </w:r>
      <w:r>
        <w:t xml:space="preserve">Univariate summaries included CV classes (low &lt;15%, moderate 15–35%, high 35–75%, very high &gt;75%) and skewness categories (symmetric: −0.5 to 0.5; moderate: −1.0 to −0.5 or 0.5 to 1.0; high: &lt;−1.0 or &gt;1.0).</w:t>
      </w:r>
    </w:p>
    <w:p>
      <w:pPr>
        <w:pStyle w:val="TextBody"/>
      </w:pPr>
      <w:r>
        <w:t xml:space="preserve">Random forest regression (RF)</w:t>
      </w:r>
      <w:r>
        <w:t xml:space="preserve"> </w:t>
      </w:r>
      <w:r>
        <w:t xml:space="preserve">(</w:t>
      </w:r>
      <w:r>
        <w:rPr>
          <w:rStyle w:val="VerbatimChar"/>
        </w:rPr>
        <w:t xml:space="preserve">randomForest</w:t>
      </w:r>
      <w:r>
        <w:t xml:space="preserve"> </w:t>
      </w:r>
      <w:r>
        <w:t xml:space="preserve">v4.7.1.2</w:t>
      </w:r>
      <w:r>
        <w:t xml:space="preserve"> </w:t>
      </w:r>
      <w:hyperlink w:anchor="ref-liaw2002">
        <w:r>
          <w:rPr>
            <w:rStyle w:val="InternetLink"/>
          </w:rPr>
          <w:t xml:space="preserve">Liaw and Wiener, 2002</w:t>
        </w:r>
      </w:hyperlink>
      <w:r>
        <w:t xml:space="preserve">)</w:t>
      </w:r>
      <w:r>
        <w:t xml:space="preserve"> </w:t>
      </w:r>
      <w:r>
        <w:t xml:space="preserve">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w:t>
      </w:r>
      <w:r>
        <w:t xml:space="preserve"> </w:t>
      </w:r>
      <w:r>
        <w:t xml:space="preserve">(</w:t>
      </w:r>
      <w:r>
        <w:rPr>
          <w:rStyle w:val="VerbatimChar"/>
        </w:rPr>
        <w:t xml:space="preserve">usdm</w:t>
      </w:r>
      <w:r>
        <w:t xml:space="preserve"> </w:t>
      </w:r>
      <w:r>
        <w:t xml:space="preserve">v2.1.7</w:t>
      </w:r>
      <w:r>
        <w:t xml:space="preserve"> </w:t>
      </w:r>
      <w:hyperlink w:anchor="ref-Naimi2014">
        <w:r>
          <w:rPr>
            <w:rStyle w:val="InternetLink"/>
          </w:rPr>
          <w:t xml:space="preserve">Naimi et al., 2014</w:t>
        </w:r>
      </w:hyperlink>
      <w:r>
        <w:t xml:space="preserve">)</w:t>
      </w:r>
      <w:r>
        <w:t xml:space="preserve">.</w:t>
      </w:r>
      <w:r>
        <w:t xml:space="preserve"> </w:t>
      </w:r>
      <w:r>
        <w:t xml:space="preserve">The number of variables randomly sampled as candidates (mtry) at each split within the RF model was tuned using the training data set</w:t>
      </w:r>
      <w:r>
        <w:t xml:space="preserve"> </w:t>
      </w:r>
      <w:r>
        <w:t xml:space="preserve">(</w:t>
      </w:r>
      <w:r>
        <w:rPr>
          <w:rStyle w:val="VerbatimChar"/>
        </w:rPr>
        <w:t xml:space="preserve">caret</w:t>
      </w:r>
      <w:r>
        <w:t xml:space="preserve"> </w:t>
      </w:r>
      <w:r>
        <w:t xml:space="preserve">v7.0.1</w:t>
      </w:r>
      <w:r>
        <w:t xml:space="preserve"> </w:t>
      </w:r>
      <w:hyperlink w:anchor="ref-kuhn2008">
        <w:r>
          <w:rPr>
            <w:rStyle w:val="InternetLink"/>
          </w:rPr>
          <w:t xml:space="preserve">Kuhn and Max, 2008</w:t>
        </w:r>
      </w:hyperlink>
      <w:r>
        <w:t xml:space="preserve">)</w:t>
      </w:r>
      <w:r>
        <w:t xml:space="preserve">.</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To test the model, measured and predicted values were plotted and the r</w:t>
      </w:r>
      <w:r>
        <w:rPr>
          <w:vertAlign w:val="superscript"/>
        </w:rPr>
        <w:t xml:space="preserve">2</w:t>
      </w:r>
      <w:r>
        <w:t xml:space="preserve"> </w:t>
      </w:r>
      <w:r>
        <w:t xml:space="preserve">and MSE were calculated using the testing data set.</w:t>
      </w:r>
      <w:r>
        <w:t xml:space="preserve"> </w:t>
      </w:r>
      <w:r>
        <w:t xml:space="preserve">Variable importance is reported as percent increase in MSE.</w:t>
      </w:r>
    </w:p>
    <w:bookmarkEnd w:id="30"/>
    <w:bookmarkEnd w:id="31"/>
    <w:bookmarkStart w:id="59" w:name="results"/>
    <w:p>
      <w:pPr>
        <w:pStyle w:val="Heading2"/>
      </w:pPr>
      <w:r>
        <w:t xml:space="preserve">3 Results</w:t>
      </w:r>
    </w:p>
    <w:bookmarkStart w:id="36"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32" w:name="tbl-univariate-summary"/>
          <w:p>
            <w:pPr>
              <w:jc w:val="center"/>
            </w:pPr>
            <w:pPr>
              <w:jc w:val="start"/>
              <w:spacing w:before="200"/>
              <w:pStyle w:val="ImageCaption"/>
            </w:pPr>
            <w:r>
              <w:t xml:space="preserve">Table 1: Summary univariate statistics of selected geochemical and colour soil properties for each site (n = 49). Geochemical concentrations are reported in ppm, excecpt Ca and Fe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32"/>
          <w:p/>
        </w:tc>
      </w:tr>
    </w:tbl>
    <w:p>
      <w:pPr>
        <w:pStyle w:val="TextBody"/>
      </w:pPr>
      <w:r>
        <w:rPr>
          <w:vertAlign w:val="subscript"/>
        </w:rPr>
        <w:t xml:space="preserve">Source:</w:t>
      </w:r>
      <w:r>
        <w:rPr>
          <w:vertAlign w:val="subscript"/>
        </w:rPr>
        <w:t xml:space="preserve"> </w:t>
      </w:r>
      <w:hyperlink r:id="rId33">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34" w:name="tbl-univariate-summary2"/>
          <w:p>
            <w:pPr>
              <w:jc w:val="center"/>
            </w:pPr>
            <w:pPr>
              <w:jc w:val="star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Terrain Attribute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34"/>
          <w:p/>
        </w:tc>
      </w:tr>
    </w:tbl>
    <w:p>
      <w:pPr>
        <w:pStyle w:val="TextBody"/>
      </w:pPr>
      <w:r>
        <w:rPr>
          <w:vertAlign w:val="subscript"/>
        </w:rPr>
        <w:t xml:space="preserve">Source:</w:t>
      </w:r>
      <w:r>
        <w:rPr>
          <w:vertAlign w:val="subscript"/>
        </w:rPr>
        <w:t xml:space="preserve"> </w:t>
      </w:r>
      <w:hyperlink r:id="rId35">
        <w:r>
          <w:rPr>
            <w:rStyle w:val="InternetLink"/>
            <w:vertAlign w:val="subscript"/>
          </w:rPr>
          <w:t xml:space="preserve">Univariate summary</w:t>
        </w:r>
      </w:hyperlink>
    </w:p>
    <w:bookmarkEnd w:id="36"/>
    <w:bookmarkStart w:id="58"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w:t>
      </w:r>
      <w:r>
        <w:t xml:space="preserve"> </w:t>
      </w:r>
      <w:r>
        <w:rPr>
          <w:i/>
          <w:iCs/>
        </w:rPr>
        <w:t xml:space="preserve">c*</w:t>
      </w:r>
      <w:r>
        <w:t xml:space="preserve">,</w:t>
      </w:r>
      <w:r>
        <w:t xml:space="preserve"> </w:t>
      </w:r>
      <w:r>
        <w:rPr>
          <w:i/>
          <w:iCs/>
        </w:rPr>
        <w:t xml:space="preserve">h*</w:t>
      </w:r>
      <w:r>
        <w:t xml:space="preserve">).</w:t>
      </w:r>
      <w:r>
        <w:t xml:space="preserve"> </w:t>
      </w:r>
      <w:r>
        <w:t xml:space="preserve">Within the forested site nine properties showed spatial dependence (moderate to strong) with ranges 176–298 m; Fe, Rb and colour</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w:t>
      </w:r>
      <w:r>
        <w:t xml:space="preserve">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geocol-semivariogram"/>
          <w:p>
            <w:pPr>
              <w:jc w:val="center"/>
            </w:pPr>
            <w:pPr>
              <w:jc w:val="start"/>
              <w:spacing w:before="200"/>
              <w:pStyle w:val="ImageCaption"/>
            </w:pPr>
            <w:r>
              <w:t xml:space="preserve">Table 3: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rPr>
                      <w:i/>
                      <w:iCs/>
                    </w:rP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37"/>
          <w:p/>
        </w:tc>
      </w:tr>
    </w:tbl>
    <w:p>
      <w:pPr>
        <w:pStyle w:val="TextBody"/>
      </w:pPr>
      <w:r>
        <w:rPr>
          <w:vertAlign w:val="subscript"/>
        </w:rPr>
        <w:t xml:space="preserve">Source:</w:t>
      </w:r>
      <w:r>
        <w:rPr>
          <w:vertAlign w:val="subscript"/>
        </w:rPr>
        <w:t xml:space="preserve"> </w:t>
      </w:r>
      <w:hyperlink r:id="rId38">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42" w:name="fig-ag_map"/>
          <w:p>
            <w:pPr>
              <w:pStyle w:val="Compact"/>
              <w:jc w:val="center"/>
            </w:pPr>
            <w:r>
              <w:drawing>
                <wp:inline>
                  <wp:extent cx="5943600" cy="11887200"/>
                  <wp:effectExtent b="0" l="0" r="0" t="0"/>
                  <wp:docPr descr="" title="" id="40" name="Picture"/>
                  <a:graphic>
                    <a:graphicData uri="http://schemas.openxmlformats.org/drawingml/2006/picture">
                      <pic:pic>
                        <pic:nvPicPr>
                          <pic:cNvPr descr="index_files/figure-docx/notebooks-property_maps-fig-ag_map-output-1.png" id="41" name="Picture"/>
                          <pic:cNvPicPr>
                            <a:picLocks noChangeArrowheads="1" noChangeAspect="1"/>
                          </pic:cNvPicPr>
                        </pic:nvPicPr>
                        <pic:blipFill>
                          <a:blip r:embed="rId39"/>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Kriged maps of select colour and geochemical properties and elevation across the agricultural site.</w:t>
            </w:r>
          </w:p>
          <w:bookmarkEnd w:id="42"/>
        </w:tc>
      </w:tr>
    </w:tbl>
    <w:p>
      <w:pPr>
        <w:pStyle w:val="TextBody"/>
      </w:pPr>
      <w:r>
        <w:rPr>
          <w:vertAlign w:val="subscript"/>
        </w:rPr>
        <w:t xml:space="preserve">Source:</w:t>
      </w:r>
      <w:r>
        <w:rPr>
          <w:vertAlign w:val="subscript"/>
        </w:rPr>
        <w:t xml:space="preserve"> </w:t>
      </w:r>
      <w:hyperlink r:id="rId43">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47" w:name="fig-forest_map"/>
          <w:p>
            <w:pPr>
              <w:pStyle w:val="Compact"/>
              <w:jc w:val="center"/>
            </w:pPr>
            <w:r>
              <w:drawing>
                <wp:inline>
                  <wp:extent cx="5943600" cy="7723584"/>
                  <wp:effectExtent b="0" l="0" r="0" t="0"/>
                  <wp:docPr descr="" title="" id="45" name="Picture"/>
                  <a:graphic>
                    <a:graphicData uri="http://schemas.openxmlformats.org/drawingml/2006/picture">
                      <pic:pic>
                        <pic:nvPicPr>
                          <pic:cNvPr descr="index_files/figure-docx/notebooks-property_maps-fig-forest_map-output-1.png" id="46" name="Picture"/>
                          <pic:cNvPicPr>
                            <a:picLocks noChangeArrowheads="1" noChangeAspect="1"/>
                          </pic:cNvPicPr>
                        </pic:nvPicPr>
                        <pic:blipFill>
                          <a:blip r:embed="rId44"/>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Kriged map of select colour and geochemical properties and elevation across the forested site.</w:t>
            </w:r>
          </w:p>
          <w:bookmarkEnd w:id="47"/>
        </w:tc>
      </w:tr>
    </w:tbl>
    <w:p>
      <w:pPr>
        <w:pStyle w:val="TextBody"/>
      </w:pPr>
      <w:r>
        <w:rPr>
          <w:vertAlign w:val="subscript"/>
        </w:rPr>
        <w:t xml:space="preserve">Source:</w:t>
      </w:r>
      <w:r>
        <w:rPr>
          <w:vertAlign w:val="subscript"/>
        </w:rPr>
        <w:t xml:space="preserve"> </w:t>
      </w:r>
      <w:hyperlink r:id="rId48">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correlation"/>
          <w:p>
            <w:pPr>
              <w:jc w:val="center"/>
            </w:pPr>
            <w:pPr>
              <w:jc w:val="start"/>
              <w:spacing w:before="200"/>
              <w:pStyle w:val="ImageCaption"/>
            </w:pPr>
            <w:r>
              <w:t xml:space="preserve">Table 4: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49"/>
          <w:p/>
        </w:tc>
      </w:tr>
    </w:tbl>
    <w:p>
      <w:pPr>
        <w:pStyle w:val="TextBody"/>
      </w:pPr>
      <w:r>
        <w:rPr>
          <w:vertAlign w:val="subscript"/>
        </w:rPr>
        <w:t xml:space="preserve">Source:</w:t>
      </w:r>
      <w:r>
        <w:rPr>
          <w:vertAlign w:val="subscript"/>
        </w:rPr>
        <w:t xml:space="preserve"> </w:t>
      </w:r>
      <w:hyperlink r:id="rId50">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 variation explained the suggesting that using the average value is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tbl-rf-summary"/>
          <w:p>
            <w:pPr>
              <w:jc w:val="center"/>
            </w:pPr>
            <w:pPr>
              <w:jc w:val="star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Property</w:t>
                  </w:r>
                </w:p>
              </w:tc>
              <w:tc>
                <w:tcPr>
                  <w:gridSpan w:val="2"/>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1</w:t>
                  </w:r>
                </w:p>
              </w:tc>
              <w:tc>
                <w:tcPr/>
                <w:p>
                  <w:pPr>
                    <w:pStyle w:val="Compact"/>
                    <w:jc w:val="left"/>
                    <w:jc w:val="center"/>
                  </w:pPr>
                  <w:r>
                    <w:t xml:space="preserve">MSE</w:t>
                  </w:r>
                  <w:r>
                    <w:rPr>
                      <w:vertAlign w:val="superscript"/>
                    </w:rPr>
                    <w:t xml:space="preserve">2</w:t>
                  </w:r>
                </w:p>
              </w:tc>
              <w:tc>
                <w:tcPr/>
                <w:p>
                  <w:pPr>
                    <w:pStyle w:val="Compact"/>
                    <w:jc w:val="left"/>
                    <w:jc w:val="center"/>
                  </w:pPr>
                  <w:r>
                    <w:t xml:space="preserve">r</w:t>
                  </w:r>
                  <w:r>
                    <w:rPr>
                      <w:vertAlign w:val="superscript"/>
                    </w:rPr>
                    <w:t xml:space="preserve">2</w:t>
                  </w:r>
                </w:p>
              </w:tc>
              <w:tc>
                <w:tcPr/>
                <w:p>
                  <w:pPr>
                    <w:pStyle w:val="Compact"/>
                    <w:jc w:val="left"/>
                    <w:jc w:val="center"/>
                  </w:pPr>
                  <w:r>
                    <w:t xml:space="preserve">MSE</w:t>
                  </w:r>
                  <w:r>
                    <w:rPr>
                      <w:vertAlign w:val="superscript"/>
                    </w:rPr>
                    <w:t xml:space="preserve">2</w:t>
                  </w:r>
                </w:p>
              </w:tc>
            </w:tr>
            <w:tr>
              <w:tc>
                <w:tcPr>
                  <w:gridSpan w:val="5"/>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0.11</w:t>
                  </w:r>
                </w:p>
              </w:tc>
              <w:tc>
                <w:tcPr/>
                <w:p>
                  <w:pPr>
                    <w:pStyle w:val="Compact"/>
                    <w:jc w:val="left"/>
                    <w:jc w:val="center"/>
                  </w:pPr>
                  <w:r>
                    <w:t xml:space="preserve">0.51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0.29</w:t>
                  </w:r>
                </w:p>
              </w:tc>
              <w:tc>
                <w:tcPr/>
                <w:p>
                  <w:pPr>
                    <w:pStyle w:val="Compact"/>
                    <w:jc w:val="left"/>
                    <w:jc w:val="center"/>
                  </w:pPr>
                  <w:r>
                    <w:t xml:space="preserve">0.01</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0.01</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0.43</w:t>
                  </w:r>
                </w:p>
              </w:tc>
              <w:tc>
                <w:tcPr/>
                <w:p>
                  <w:pPr>
                    <w:pStyle w:val="Compact"/>
                    <w:jc w:val="left"/>
                    <w:jc w:val="center"/>
                  </w:pPr>
                  <w:r>
                    <w:t xml:space="preserve">0.84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0.81</w:t>
                  </w:r>
                </w:p>
              </w:tc>
              <w:tc>
                <w:tcPr/>
                <w:p>
                  <w:pPr>
                    <w:pStyle w:val="Compact"/>
                    <w:jc w:val="left"/>
                    <w:jc w:val="center"/>
                  </w:pPr>
                  <w:r>
                    <w:t xml:space="preserve">0.38</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0.70</w:t>
                  </w:r>
                </w:p>
              </w:tc>
              <w:tc>
                <w:tcPr/>
                <w:p>
                  <w:pPr>
                    <w:pStyle w:val="Compact"/>
                    <w:jc w:val="left"/>
                    <w:jc w:val="center"/>
                  </w:pPr>
                  <w:r>
                    <w:t xml:space="preserve">1.46</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0.85</w:t>
                  </w:r>
                </w:p>
              </w:tc>
              <w:tc>
                <w:tcPr/>
                <w:p>
                  <w:pPr>
                    <w:pStyle w:val="Compact"/>
                    <w:jc w:val="left"/>
                    <w:jc w:val="center"/>
                  </w:pPr>
                  <w:r>
                    <w:t xml:space="preserve">2.71</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0.85</w:t>
                  </w:r>
                </w:p>
              </w:tc>
              <w:tc>
                <w:tcPr/>
                <w:p>
                  <w:pPr>
                    <w:pStyle w:val="Compact"/>
                    <w:jc w:val="left"/>
                    <w:jc w:val="center"/>
                  </w:pPr>
                  <w:r>
                    <w:t xml:space="preserve">365.51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0.48</w:t>
                  </w:r>
                </w:p>
              </w:tc>
              <w:tc>
                <w:tcPr/>
                <w:p>
                  <w:pPr>
                    <w:pStyle w:val="Compact"/>
                    <w:jc w:val="left"/>
                    <w:jc w:val="center"/>
                  </w:pPr>
                  <w:r>
                    <w:t xml:space="preserve">0.02</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0.09</w:t>
                  </w:r>
                </w:p>
              </w:tc>
              <w:tc>
                <w:tcPr/>
                <w:p>
                  <w:pPr>
                    <w:pStyle w:val="Compact"/>
                    <w:jc w:val="left"/>
                    <w:jc w:val="center"/>
                  </w:pPr>
                  <w:r>
                    <w:t xml:space="preserve">0.40</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0.10</w:t>
                  </w:r>
                </w:p>
              </w:tc>
              <w:tc>
                <w:tcPr/>
                <w:p>
                  <w:pPr>
                    <w:pStyle w:val="Compact"/>
                    <w:jc w:val="left"/>
                    <w:jc w:val="center"/>
                  </w:pPr>
                  <w:r>
                    <w:t xml:space="preserve">0.49</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0.03</w:t>
                  </w:r>
                </w:p>
              </w:tc>
              <w:tc>
                <w:tcPr/>
                <w:p>
                  <w:pPr>
                    <w:pStyle w:val="Compact"/>
                    <w:jc w:val="left"/>
                    <w:jc w:val="center"/>
                  </w:pPr>
                  <w:r>
                    <w:t xml:space="preserve">0.00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0.31</w:t>
                  </w:r>
                </w:p>
              </w:tc>
              <w:tc>
                <w:tcPr/>
                <w:p>
                  <w:pPr>
                    <w:pStyle w:val="Compact"/>
                    <w:jc w:val="left"/>
                    <w:jc w:val="center"/>
                  </w:pPr>
                  <w:r>
                    <w:t xml:space="preserve">0.00</w:t>
                  </w:r>
                </w:p>
              </w:tc>
            </w:tr>
            <w:tr>
              <w:tc>
                <w:tcPr>
                  <w:gridSpan w:val="5"/>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0.25</w:t>
                  </w:r>
                </w:p>
              </w:tc>
              <w:tc>
                <w:tcPr/>
                <w:p>
                  <w:pPr>
                    <w:pStyle w:val="Compact"/>
                    <w:jc w:val="left"/>
                    <w:jc w:val="center"/>
                  </w:pPr>
                  <w:r>
                    <w:t xml:space="preserve">0.58</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0.01</w:t>
                  </w:r>
                </w:p>
              </w:tc>
              <w:tc>
                <w:tcPr/>
                <w:p>
                  <w:pPr>
                    <w:pStyle w:val="Compact"/>
                    <w:jc w:val="left"/>
                    <w:jc w:val="center"/>
                  </w:pPr>
                  <w:r>
                    <w:t xml:space="preserve">1.03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0.02</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0.05</w:t>
                  </w:r>
                </w:p>
              </w:tc>
              <w:tc>
                <w:tcPr/>
                <w:p>
                  <w:pPr>
                    <w:pStyle w:val="Compact"/>
                    <w:jc w:val="left"/>
                    <w:jc w:val="center"/>
                  </w:pPr>
                  <w:r>
                    <w:t xml:space="preserve">1.33</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0.02</w:t>
                  </w:r>
                </w:p>
              </w:tc>
              <w:tc>
                <w:tcPr/>
                <w:p>
                  <w:pPr>
                    <w:pStyle w:val="Compact"/>
                    <w:jc w:val="left"/>
                    <w:jc w:val="center"/>
                  </w:pPr>
                  <w:r>
                    <w:t xml:space="preserve">3.77</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0.16</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0.02</w:t>
                  </w:r>
                </w:p>
              </w:tc>
              <w:tc>
                <w:tcPr/>
                <w:p>
                  <w:pPr>
                    <w:pStyle w:val="Compact"/>
                    <w:jc w:val="left"/>
                    <w:jc w:val="center"/>
                  </w:pPr>
                  <w:r>
                    <w:t xml:space="preserve">6.98</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0.17</w:t>
                  </w:r>
                </w:p>
              </w:tc>
              <w:tc>
                <w:tcPr/>
                <w:p>
                  <w:pPr>
                    <w:pStyle w:val="Compact"/>
                    <w:jc w:val="left"/>
                    <w:jc w:val="center"/>
                  </w:pPr>
                  <w:r>
                    <w:t xml:space="preserve">58.18</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0.00</w:t>
                  </w:r>
                </w:p>
              </w:tc>
            </w:tr>
            <w:tr>
              <w:tc>
                <w:tcPr>
                  <w:gridSpan w:val="5"/>
                </w:tcPr>
                <w:p>
                  <w:pPr>
                    <w:pStyle w:val="Compact"/>
                    <w:jc w:val="center"/>
                    <w:jc w:val="center"/>
                  </w:pPr>
                  <w:r>
                    <w:rPr>
                      <w:vertAlign w:val="superscript"/>
                    </w:rPr>
                    <w:t xml:space="preserve">1</w:t>
                  </w:r>
                  <w:r>
                    <w:t xml:space="preserve"> </w:t>
                  </w:r>
                  <w:r>
                    <w:t xml:space="preserve">Percent variance explained</w:t>
                  </w:r>
                </w:p>
              </w:tc>
            </w:tr>
            <w:tr>
              <w:tc>
                <w:tcPr>
                  <w:gridSpan w:val="5"/>
                </w:tcPr>
                <w:p>
                  <w:pPr>
                    <w:pStyle w:val="Compact"/>
                    <w:jc w:val="center"/>
                    <w:jc w:val="center"/>
                  </w:pPr>
                  <w:r>
                    <w:rPr>
                      <w:vertAlign w:val="superscript"/>
                    </w:rPr>
                    <w:t xml:space="preserve">2</w:t>
                  </w:r>
                  <w:r>
                    <w:t xml:space="preserve"> </w:t>
                  </w:r>
                  <w:r>
                    <w:t xml:space="preserve">Mean square error</w:t>
                  </w:r>
                </w:p>
              </w:tc>
            </w:tr>
          </w:tbl>
          <w:bookmarkEnd w:id="51"/>
          <w:p/>
        </w:tc>
      </w:tr>
    </w:tbl>
    <w:p>
      <w:pPr>
        <w:pStyle w:val="TextBody"/>
      </w:pPr>
      <w:r>
        <w:rPr>
          <w:vertAlign w:val="subscript"/>
        </w:rPr>
        <w:t xml:space="preserve">Source:</w:t>
      </w:r>
      <w:r>
        <w:rPr>
          <w:vertAlign w:val="subscript"/>
        </w:rPr>
        <w:t xml:space="preserve"> </w:t>
      </w:r>
      <w:hyperlink r:id="rId52">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56" w:name="fig-rf-results"/>
          <w:p>
            <w:pPr>
              <w:pStyle w:val="Compact"/>
              <w:jc w:val="center"/>
            </w:pPr>
            <w:r>
              <w:drawing>
                <wp:inline>
                  <wp:extent cx="5943600" cy="4245428"/>
                  <wp:effectExtent b="0" l="0" r="0" t="0"/>
                  <wp:docPr descr="" title="" id="54" name="Picture"/>
                  <a:graphic>
                    <a:graphicData uri="http://schemas.openxmlformats.org/drawingml/2006/picture">
                      <pic:pic>
                        <pic:nvPicPr>
                          <pic:cNvPr descr="index_files/figure-docx/notebooks-RF_summary-fig-rf-results-output-1.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Heat map of the Random Forest regression results showing the ranking of the importance of terrain attributes (based on % increase in Mean Squared Error) in explaining the spatial variabilty of selected colour and geochemical properties within the agricultural and forested sites. Top panel shows an average ranking for each site and across both sites.</w:t>
            </w:r>
          </w:p>
          <w:bookmarkEnd w:id="56"/>
        </w:tc>
      </w:tr>
    </w:tbl>
    <w:p>
      <w:pPr>
        <w:pStyle w:val="TextBody"/>
      </w:pPr>
      <w:r>
        <w:rPr>
          <w:vertAlign w:val="subscript"/>
        </w:rPr>
        <w:t xml:space="preserve">Source:</w:t>
      </w:r>
      <w:r>
        <w:rPr>
          <w:vertAlign w:val="subscript"/>
        </w:rPr>
        <w:t xml:space="preserve"> </w:t>
      </w:r>
      <w:hyperlink r:id="rId57">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r>
        <w:t xml:space="preserve"> </w:t>
      </w:r>
      <w:r>
        <w:t xml:space="preserve"> </w:t>
      </w:r>
      <w:r>
        <w:t xml:space="preserve"> </w:t>
      </w:r>
    </w:p>
    <w:bookmarkEnd w:id="58"/>
    <w:bookmarkEnd w:id="59"/>
    <w:bookmarkStart w:id="64" w:name="discussion"/>
    <w:p>
      <w:pPr>
        <w:pStyle w:val="Heading2"/>
      </w:pPr>
      <w:r>
        <w:t xml:space="preserve">4 Discussion</w:t>
      </w:r>
    </w:p>
    <w:bookmarkStart w:id="60"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w:t>
      </w:r>
      <w:r>
        <w:t xml:space="preserve"> </w:t>
      </w:r>
      <w:r>
        <w:t xml:space="preserve">(</w:t>
      </w:r>
      <w:hyperlink w:anchor="ref-drew2010">
        <w:r>
          <w:rPr>
            <w:rStyle w:val="InternetLink"/>
          </w:rPr>
          <w:t xml:space="preserve">Drew et al., 2010</w:t>
        </w:r>
      </w:hyperlink>
      <w:r>
        <w:t xml:space="preserve">)</w:t>
      </w:r>
      <w:r>
        <w:t xml:space="preserve">, regional</w:t>
      </w:r>
      <w:r>
        <w:t xml:space="preserve"> </w:t>
      </w:r>
      <w:r>
        <w:t xml:space="preserve">(</w:t>
      </w:r>
      <w:hyperlink w:anchor="ref-rattenbury2018">
        <w:r>
          <w:rPr>
            <w:rStyle w:val="InternetLink"/>
          </w:rPr>
          <w:t xml:space="preserve">Rattenbury et al., 2018</w:t>
        </w:r>
      </w:hyperlink>
      <w:r>
        <w:t xml:space="preserve">)</w:t>
      </w:r>
      <w:r>
        <w:t xml:space="preserve">, watershed</w:t>
      </w:r>
      <w:r>
        <w:t xml:space="preserve"> </w:t>
      </w:r>
      <w:r>
        <w:t xml:space="preserve">(</w:t>
      </w:r>
      <w:hyperlink w:anchor="ref-nanos2012">
        <w:r>
          <w:rPr>
            <w:rStyle w:val="InternetLink"/>
          </w:rPr>
          <w:t xml:space="preserve">Nanos and Rodríguez Martín, 2012</w:t>
        </w:r>
      </w:hyperlink>
      <w:r>
        <w:t xml:space="preserve">)</w:t>
      </w:r>
      <w:r>
        <w:t xml:space="preserve">, hillslope/catena, and farm field</w:t>
      </w:r>
      <w:r>
        <w:t xml:space="preserve"> </w:t>
      </w:r>
      <w:r>
        <w:t xml:space="preserve">(</w:t>
      </w:r>
      <w:hyperlink w:anchor="ref-sun2021a">
        <w:r>
          <w:rPr>
            <w:rStyle w:val="InternetLink"/>
          </w:rPr>
          <w:t xml:space="preserve">Sun et al., 2021b</w:t>
        </w:r>
      </w:hyperlink>
      <w:r>
        <w:t xml:space="preserve">)</w:t>
      </w:r>
      <w:r>
        <w:t xml:space="preserve">.</w:t>
      </w:r>
      <w:r>
        <w:t xml:space="preserve"> </w:t>
      </w:r>
      <w:r>
        <w:t xml:space="preserve">The objectives of these studies included addressing issues of pollution/contamination, providing benchmark/baseline information, investigating pedological and weathering properties and processes, and soil surveying and mapping</w:t>
      </w:r>
      <w:r>
        <w:t xml:space="preserve"> </w:t>
      </w:r>
      <w:r>
        <w:t xml:space="preserve">(</w:t>
      </w:r>
      <w:hyperlink w:anchor="ref-wilson2008">
        <w:r>
          <w:rPr>
            <w:rStyle w:val="InternetLink"/>
          </w:rPr>
          <w:t xml:space="preserve">Wilson et al., 2008</w:t>
        </w:r>
      </w:hyperlink>
      <w:r>
        <w:t xml:space="preserve">)</w:t>
      </w:r>
      <w:r>
        <w:t xml:space="preserve">.</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w:t>
      </w:r>
      <w:r>
        <w:t xml:space="preserve"> </w:t>
      </w:r>
      <w:r>
        <w:t xml:space="preserve">(e.g.,</w:t>
      </w:r>
      <w:r>
        <w:t xml:space="preserve"> </w:t>
      </w:r>
      <w:hyperlink w:anchor="ref-vidon2010">
        <w:r>
          <w:rPr>
            <w:rStyle w:val="InternetLink"/>
          </w:rPr>
          <w:t xml:space="preserve">Vidon et al., 2010</w:t>
        </w:r>
      </w:hyperlink>
      <w:r>
        <w:t xml:space="preserve">)</w:t>
      </w:r>
      <w:r>
        <w:t xml:space="preserve">.</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w:t>
      </w:r>
      <w:r>
        <w:t xml:space="preserve"> </w:t>
      </w:r>
      <w:r>
        <w:t xml:space="preserve">(</w:t>
      </w:r>
      <w:hyperlink w:anchor="ref-pennock2008">
        <w:r>
          <w:rPr>
            <w:rStyle w:val="InternetLink"/>
          </w:rPr>
          <w:t xml:space="preserve">Pennock et al., 2008</w:t>
        </w:r>
      </w:hyperlink>
      <w:r>
        <w:t xml:space="preserve">)</w:t>
      </w:r>
      <w:r>
        <w:t xml:space="preserve">.</w:t>
      </w:r>
      <w:r>
        <w:t xml:space="preserve"> </w:t>
      </w:r>
      <w:r>
        <w:t xml:space="preserve">These data distribution properties are ideal for statistical and environmental modeling as it typically meets the model assumptions with out requiring transformations.</w:t>
      </w:r>
      <w:r>
        <w:t xml:space="preserve"> </w:t>
      </w:r>
      <w:r>
        <w:t xml:space="preserve">Soil colour coefficients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h*</w:t>
      </w:r>
      <w:r>
        <w:t xml:space="preserve">,</w:t>
      </w:r>
      <w:r>
        <w:t xml:space="preserve"> </w:t>
      </w:r>
      <w:r>
        <w:rPr>
          <w:i/>
          <w:iCs/>
        </w:rPr>
        <w:t xml:space="preserve">x</w:t>
      </w:r>
      <w:r>
        <w:t xml:space="preserve">) showed near-normal distributions and low CVs (</w:t>
      </w:r>
      <w:hyperlink w:anchor="tbl-univariate-summary">
        <w:r>
          <w:rPr>
            <w:rStyle w:val="InternetLink"/>
          </w:rPr>
          <w:t xml:space="preserve">Table 1</w:t>
        </w:r>
      </w:hyperlink>
      <w:r>
        <w:t xml:space="preserve">),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Removing sand-sized material reduced grain-size effects, likely resulting in lower variability than in bulk soil studies (&lt;2 mm).</w:t>
      </w:r>
      <w:r>
        <w:t xml:space="preserve"> </w:t>
      </w:r>
      <w:r>
        <w:t xml:space="preserve">In particular, the forest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w:t>
      </w:r>
      <w:r>
        <w:t xml:space="preserve"> </w:t>
      </w:r>
      <w:r>
        <w:t xml:space="preserve">(</w:t>
      </w:r>
      <w:hyperlink w:anchor="ref-nicolas2011">
        <w:r>
          <w:rPr>
            <w:rStyle w:val="InternetLink"/>
          </w:rPr>
          <w:t xml:space="preserve">Nicolas and Bamburak, 2011</w:t>
        </w:r>
      </w:hyperlink>
      <w:r>
        <w:t xml:space="preserve">)</w:t>
      </w:r>
      <w:r>
        <w:t xml:space="preserve">.</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8.5 %, CV = 51.9 %) as compared to the agricultural site (x̄ = 11.6 %, CV = 16.1 %), which similarly to the grain size distribution, can influence the concentration of many major and trace elements</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These results provide evidence that land use and landscape complexity play a role in driving soil property variability that can be considered when developing a strategic sampling design.</w:t>
      </w:r>
    </w:p>
    <w:bookmarkEnd w:id="60"/>
    <w:bookmarkStart w:id="61"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w:t>
      </w:r>
      <w:r>
        <w:t xml:space="preserve"> </w:t>
      </w:r>
      <w:r>
        <w:t xml:space="preserve">(</w:t>
      </w:r>
      <w:hyperlink w:anchor="ref-lark2018">
        <w:r>
          <w:rPr>
            <w:rStyle w:val="InternetLink"/>
          </w:rPr>
          <w:t xml:space="preserve">Lark and Marchant, 2018</w:t>
        </w:r>
      </w:hyperlink>
      <w:r>
        <w:t xml:space="preserve">)</w:t>
      </w:r>
      <w:r>
        <w:t xml:space="preserve">.</w:t>
      </w:r>
      <w:r>
        <w:t xml:space="preserve"> </w:t>
      </w:r>
      <w:r>
        <w:t xml:space="preserve">Properties lacking spatial autocorrelation at the forest site (Fe, Rb,</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w:t>
      </w:r>
      <w:r>
        <w:t xml:space="preserve"> </w:t>
      </w:r>
      <w:r>
        <w:t xml:space="preserve">(</w:t>
      </w:r>
      <w:hyperlink w:anchor="ref-koiter2013">
        <w:r>
          <w:rPr>
            <w:rStyle w:val="InternetLink"/>
          </w:rPr>
          <w:t xml:space="preserve">2013</w:t>
        </w:r>
      </w:hyperlink>
      <w:r>
        <w:t xml:space="preserve">)</w:t>
      </w:r>
      <w:r>
        <w:t xml:space="preserve"> </w:t>
      </w:r>
      <w:r>
        <w:t xml:space="preserve">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w:t>
      </w:r>
      <w:r>
        <w:t xml:space="preserve"> </w:t>
      </w:r>
      <w:r>
        <w:t xml:space="preserve">(e.g.,</w:t>
      </w:r>
      <w:r>
        <w:t xml:space="preserve"> </w:t>
      </w:r>
      <w:hyperlink w:anchor="ref-mzuku2005">
        <w:r>
          <w:rPr>
            <w:rStyle w:val="InternetLink"/>
          </w:rPr>
          <w:t xml:space="preserve">Mzuku et al., 2005</w:t>
        </w:r>
      </w:hyperlink>
      <w:r>
        <w:t xml:space="preserve">)</w:t>
      </w:r>
      <w:r>
        <w:t xml:space="preserve"> </w:t>
      </w:r>
      <w:r>
        <w:t xml:space="preserve">or is used for soil classification</w:t>
      </w:r>
      <w:r>
        <w:t xml:space="preserve"> </w:t>
      </w:r>
      <w:r>
        <w:t xml:space="preserve">(e.g.,</w:t>
      </w:r>
      <w:r>
        <w:t xml:space="preserve"> </w:t>
      </w:r>
      <w:hyperlink w:anchor="ref-soilclassificationworkinggroup1998">
        <w:r>
          <w:rPr>
            <w:rStyle w:val="InternetLink"/>
          </w:rPr>
          <w:t xml:space="preserve">Group, 1998</w:t>
        </w:r>
      </w:hyperlink>
      <w:r>
        <w:t xml:space="preserve">)</w:t>
      </w:r>
      <w:r>
        <w:t xml:space="preserve">.</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w:t>
      </w:r>
    </w:p>
    <w:bookmarkEnd w:id="61"/>
    <w:bookmarkStart w:id="62"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r>
        <w:t xml:space="preserve"> </w:t>
      </w:r>
      <w:r>
        <w:t xml:space="preserve">The results of this study are consistent with the findings of Mashalaba et al.</w:t>
      </w:r>
      <w:r>
        <w:t xml:space="preserve"> </w:t>
      </w:r>
      <w:r>
        <w:t xml:space="preserve">(</w:t>
      </w:r>
      <w:hyperlink w:anchor="ref-mashalaba2020">
        <w:r>
          <w:rPr>
            <w:rStyle w:val="InternetLink"/>
          </w:rPr>
          <w:t xml:space="preserve">2020</w:t>
        </w:r>
      </w:hyperlink>
      <w:r>
        <w:t xml:space="preserve">)</w:t>
      </w:r>
      <w:r>
        <w:t xml:space="preserve"> </w:t>
      </w:r>
      <w:r>
        <w:t xml:space="preserve">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 and conditions</w:t>
      </w:r>
      <w:r>
        <w:t xml:space="preserve"> </w:t>
      </w:r>
      <w:r>
        <w:t xml:space="preserve">(</w:t>
      </w:r>
      <w:hyperlink w:anchor="ref-libohova2024">
        <w:r>
          <w:rPr>
            <w:rStyle w:val="InternetLink"/>
          </w:rPr>
          <w:t xml:space="preserve">Libohova et al., 2024</w:t>
        </w:r>
      </w:hyperlink>
      <w:r>
        <w:t xml:space="preserve">;</w:t>
      </w:r>
      <w:r>
        <w:t xml:space="preserve"> </w:t>
      </w:r>
      <w:hyperlink w:anchor="ref-mello2022">
        <w:r>
          <w:rPr>
            <w:rStyle w:val="InternetLink"/>
          </w:rPr>
          <w:t xml:space="preserve">Mello et al., 2022</w:t>
        </w:r>
      </w:hyperlink>
      <w:r>
        <w:t xml:space="preserve">)</w:t>
      </w:r>
      <w:r>
        <w:t xml:space="preserve">.</w:t>
      </w:r>
      <w:r>
        <w:t xml:space="preserve"> </w:t>
      </w:r>
      <w:r>
        <w:t xml:space="preserve">For example, in eroded landscapes in the Prairie region of Canada, Ca concentrations have been found to be higher in upper slope positions from erosion and subsequent exposure of high-carbonate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r>
        <w:t xml:space="preserve"> </w:t>
      </w:r>
      <w:r>
        <w:t xml:space="preserve">Landscape position can also have a strong influence on pedogenic process; for example, the translocation of Fe and clay down the soil profile is a diagnostic criteria used in classifying soils</w:t>
      </w:r>
      <w:r>
        <w:t xml:space="preserve"> </w:t>
      </w:r>
      <w:r>
        <w:t xml:space="preserve">(</w:t>
      </w:r>
      <w:hyperlink w:anchor="ref-stonehouse1971">
        <w:r>
          <w:rPr>
            <w:rStyle w:val="InternetLink"/>
          </w:rPr>
          <w:t xml:space="preserve">Stonehouse and St. Arnaud, 1971</w:t>
        </w:r>
      </w:hyperlink>
      <w:r>
        <w:t xml:space="preserve">)</w:t>
      </w:r>
      <w:r>
        <w:t xml:space="preserve">.</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Moisture availability is also greater in the lower slope and depressional areas resulting in increased organic matter production resulting in darker organic-rich topsoil as compared to the upper slope positions.</w:t>
      </w:r>
      <w:r>
        <w:t xml:space="preserve"> </w:t>
      </w:r>
      <w:r>
        <w:t xml:space="preserve">There is also evidence that suggests that soil texture varies with elevation and slope position, with coarser material on upper slopes and finer material accumulating in lower positions</w:t>
      </w:r>
      <w:r>
        <w:t xml:space="preserve"> </w:t>
      </w:r>
      <w:r>
        <w:t xml:space="preserve">(</w:t>
      </w:r>
      <w:hyperlink w:anchor="ref-cox2003">
        <w:r>
          <w:rPr>
            <w:rStyle w:val="InternetLink"/>
          </w:rPr>
          <w:t xml:space="preserve">Cox et al., 2003</w:t>
        </w:r>
      </w:hyperlink>
      <w:r>
        <w:t xml:space="preserve">;</w:t>
      </w:r>
      <w:r>
        <w:t xml:space="preserve"> </w:t>
      </w:r>
      <w:hyperlink w:anchor="ref-kokulan2018">
        <w:r>
          <w:rPr>
            <w:rStyle w:val="InternetLink"/>
          </w:rPr>
          <w:t xml:space="preserve">Kokulan et al., 2018</w:t>
        </w:r>
      </w:hyperlink>
      <w:r>
        <w:t xml:space="preserve">)</w:t>
      </w:r>
      <w:r>
        <w:t xml:space="preserve">.</w:t>
      </w:r>
      <w:r>
        <w:t xml:space="preserve"> </w:t>
      </w:r>
      <w:r>
        <w:t xml:space="preserve">Given the strong correlation of organic matter and texture with soil geochemistry</w:t>
      </w:r>
      <w:r>
        <w:t xml:space="preserve"> </w:t>
      </w:r>
      <w:r>
        <w:t xml:space="preserve">(</w:t>
      </w:r>
      <w:hyperlink w:anchor="ref-horowitz1991">
        <w:r>
          <w:rPr>
            <w:rStyle w:val="InternetLink"/>
          </w:rPr>
          <w:t xml:space="preserve">Horowitz, 1991</w:t>
        </w:r>
      </w:hyperlink>
      <w:r>
        <w:t xml:space="preserve">)</w:t>
      </w:r>
      <w:r>
        <w:t xml:space="preserve"> </w:t>
      </w:r>
      <w:r>
        <w:t xml:space="preserve">and colour</w:t>
      </w:r>
      <w:r>
        <w:t xml:space="preserve"> </w:t>
      </w:r>
      <w:r>
        <w:t xml:space="preserve">(</w:t>
      </w:r>
      <w:hyperlink w:anchor="ref-viscarrarossel2009">
        <w:r>
          <w:rPr>
            <w:rStyle w:val="InternetLink"/>
          </w:rPr>
          <w:t xml:space="preserve">Viscarra Rossel et al., 2009</w:t>
        </w:r>
      </w:hyperlink>
      <w:r>
        <w:t xml:space="preserve">)</w:t>
      </w:r>
      <w:r>
        <w:t xml:space="preserve">, these properties may also help explain the observed spatial patterns .</w:t>
      </w:r>
      <w:r>
        <w:t xml:space="preserve"> </w:t>
      </w:r>
      <w:r>
        <w:t xml:space="preserve">Compared to the forest site, the RF regression model showed greater explanatory power and predictive performance for the agricultural site, likely due to its simpler topography.</w:t>
      </w:r>
      <w:r>
        <w:t xml:space="preserve"> </w:t>
      </w:r>
      <w:r>
        <w:t xml:space="preserve">In these settings, terrain attributes can serve as an initial step in developing efficient and effective sampling designs</w:t>
      </w:r>
      <w:r>
        <w:t xml:space="preserve"> </w:t>
      </w:r>
      <w:r>
        <w:t xml:space="preserve">(</w:t>
      </w:r>
      <w:hyperlink w:anchor="ref-pham2025">
        <w:r>
          <w:rPr>
            <w:rStyle w:val="InternetLink"/>
          </w:rPr>
          <w:t xml:space="preserve">Pham et al., 2025</w:t>
        </w:r>
      </w:hyperlink>
      <w:r>
        <w:t xml:space="preserve">)</w:t>
      </w:r>
      <w:r>
        <w:t xml:space="preserve">.</w:t>
      </w:r>
      <w:r>
        <w:t xml:space="preserve"> </w:t>
      </w:r>
      <w:r>
        <w:t xml:space="preserve">As high-quality LiDAR data and digital elevation models (DEMs) become increasingly available in many regions, researchers have the opportunity to integrate terrain attributes into their sampling frameworks.</w:t>
      </w:r>
      <w:r>
        <w:t xml:space="preserve"> </w:t>
      </w:r>
      <w:r>
        <w:t xml:space="preserve">This integration ensures adequate representation of key geomorphic and topographic features.</w:t>
      </w:r>
      <w:r>
        <w:t xml:space="preserve"> </w:t>
      </w:r>
      <w:r>
        <w:t xml:space="preserve">However, at the forested site, the RF model showed poor fit, and terrain variables were largely uninformative; this likely reflects the increased geomorphic complexity of the site and the limitations of sparse sampling.</w:t>
      </w:r>
      <w:r>
        <w:t xml:space="preserve"> </w:t>
      </w:r>
      <w:r>
        <w:t xml:space="preserve">Additional work is needed to fully assess the utility of terrain mapping in predicting and mapping fingerprint properties, particularly in complex terrains.</w:t>
      </w:r>
    </w:p>
    <w:bookmarkEnd w:id="62"/>
    <w:bookmarkStart w:id="63" w:name="limitations-and-future-work"/>
    <w:p>
      <w:pPr>
        <w:pStyle w:val="Heading3"/>
      </w:pPr>
      <w:r>
        <w:t xml:space="preserve">4.4 Limitations and Future Work</w:t>
      </w:r>
    </w:p>
    <w:p>
      <w:pPr>
        <w:pStyle w:val="FirstParagraph"/>
      </w:pPr>
      <w:r>
        <w:t xml:space="preserve">The impact of sampling design the characterization of fingerprints can be substantial</w:t>
      </w:r>
      <w:r>
        <w:t xml:space="preserve"> </w:t>
      </w:r>
      <w:r>
        <w:t xml:space="preserve">(</w:t>
      </w:r>
      <w:hyperlink w:anchor="ref-lunamiño2024">
        <w:r>
          <w:rPr>
            <w:rStyle w:val="InternetLink"/>
          </w:rPr>
          <w:t xml:space="preserve">Luna Miño et al., 2024</w:t>
        </w:r>
      </w:hyperlink>
      <w:r>
        <w:t xml:space="preserve">)</w:t>
      </w:r>
      <w:r>
        <w:t xml:space="preserve">,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w:t>
      </w:r>
      <w:r>
        <w:t xml:space="preserve"> </w:t>
      </w:r>
      <w:r>
        <w:t xml:space="preserve">(</w:t>
      </w:r>
      <w:hyperlink w:anchor="ref-evrard2022">
        <w:r>
          <w:rPr>
            <w:rStyle w:val="InternetLink"/>
          </w:rPr>
          <w:t xml:space="preserve">Evrard et al., 2022</w:t>
        </w:r>
      </w:hyperlink>
      <w:r>
        <w:t xml:space="preserve">)</w:t>
      </w:r>
      <w:r>
        <w:t xml:space="preserve">.</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w:t>
      </w:r>
      <w:r>
        <w:t xml:space="preserve"> </w:t>
      </w:r>
      <w:r>
        <w:t xml:space="preserve">(</w:t>
      </w:r>
      <w:hyperlink w:anchor="ref-rizzo2016">
        <w:r>
          <w:rPr>
            <w:rStyle w:val="InternetLink"/>
          </w:rPr>
          <w:t xml:space="preserve">Rizzo et al., 2016</w:t>
        </w:r>
      </w:hyperlink>
      <w:r>
        <w:t xml:space="preserve">)</w:t>
      </w:r>
      <w:r>
        <w:t xml:space="preserve">.</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misses fine-scale heterogeneity limiting the semivariogram models ability to capture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w:t>
      </w:r>
      <w:r>
        <w:t xml:space="preserve"> </w:t>
      </w:r>
      <w:r>
        <w:t xml:space="preserve">(</w:t>
      </w:r>
      <w:hyperlink w:anchor="ref-evrard2022">
        <w:r>
          <w:rPr>
            <w:rStyle w:val="InternetLink"/>
          </w:rPr>
          <w:t xml:space="preserve">Evrard et al., 2022</w:t>
        </w:r>
      </w:hyperlink>
      <w:r>
        <w:t xml:space="preserve">)</w:t>
      </w:r>
      <w:r>
        <w:t xml:space="preserve">.</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w:t>
      </w:r>
    </w:p>
    <w:bookmarkEnd w:id="63"/>
    <w:bookmarkEnd w:id="64"/>
    <w:bookmarkStart w:id="65"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Random forest regression demonstrated that many fingerprint-relevant properties exhibit usable spatial dependence at the field scale and are structured by terrain attributes.</w:t>
      </w:r>
      <w:r>
        <w:t xml:space="preserve"> </w:t>
      </w:r>
      <w:r>
        <w:t xml:space="preserve">Elevation, wetness, and slope position explained a substantial portion of the observed variability, ssupporting the use of DEM-guided sampling strategies.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65"/>
    <w:bookmarkStart w:id="66"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66"/>
    <w:bookmarkStart w:id="72" w:name="statements-and-declarations"/>
    <w:p>
      <w:pPr>
        <w:pStyle w:val="Heading2"/>
      </w:pPr>
      <w:r>
        <w:t xml:space="preserve">Statements and declarations</w:t>
      </w:r>
    </w:p>
    <w:bookmarkStart w:id="67"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67"/>
    <w:bookmarkStart w:id="68"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68"/>
    <w:bookmarkStart w:id="70"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69">
        <w:r>
          <w:rPr>
            <w:rStyle w:val="InternetLink"/>
          </w:rPr>
          <w:t xml:space="preserve">https://github.com/alex-koiter/sampling-design-manuscript</w:t>
        </w:r>
      </w:hyperlink>
    </w:p>
    <w:bookmarkEnd w:id="70"/>
    <w:bookmarkStart w:id="71"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71"/>
    <w:bookmarkEnd w:id="72"/>
    <w:bookmarkStart w:id="183" w:name="references"/>
    <w:p>
      <w:pPr>
        <w:pStyle w:val="Heading2"/>
      </w:pPr>
      <w:r>
        <w:t xml:space="preserve">References</w:t>
      </w:r>
    </w:p>
    <w:bookmarkStart w:id="182" w:name="refs"/>
    <w:bookmarkStart w:id="74" w:name="ref-agisoft2021"/>
    <w:p>
      <w:pPr>
        <w:pStyle w:val="Bibliography"/>
      </w:pPr>
      <w:r>
        <w:t xml:space="preserve">Agisoft, 2021.</w:t>
      </w:r>
      <w:r>
        <w:t xml:space="preserve"> </w:t>
      </w:r>
      <w:hyperlink r:id="rId73">
        <w:r>
          <w:rPr>
            <w:rStyle w:val="InternetLink"/>
          </w:rPr>
          <w:t xml:space="preserve">Agisoft metashape: installer</w:t>
        </w:r>
      </w:hyperlink>
      <w:r>
        <w:t xml:space="preserve">.</w:t>
      </w:r>
    </w:p>
    <w:bookmarkEnd w:id="74"/>
    <w:bookmarkStart w:id="76" w:name="ref-beaudette2013"/>
    <w:p>
      <w:pPr>
        <w:pStyle w:val="Bibliography"/>
      </w:pPr>
      <w:r>
        <w:t xml:space="preserve">Beaudette, D.E., Dahlgren, R.A., O’Geen, A.T., 2013. Terrain-Shape Indices for Modeling Soil Moisture Dynamics. Soil Science Society of America Journal 77, 1696–1710.</w:t>
      </w:r>
      <w:r>
        <w:t xml:space="preserve"> </w:t>
      </w:r>
      <w:hyperlink r:id="rId75">
        <w:r>
          <w:rPr>
            <w:rStyle w:val="InternetLink"/>
          </w:rPr>
          <w:t xml:space="preserve">https://doi.org/10.2136/sssaj2013.02.0048</w:t>
        </w:r>
      </w:hyperlink>
    </w:p>
    <w:bookmarkEnd w:id="76"/>
    <w:bookmarkStart w:id="78" w:name="ref-beck2018"/>
    <w:p>
      <w:pPr>
        <w:pStyle w:val="Bibliography"/>
      </w:pPr>
      <w:r>
        <w:t xml:space="preserve">Beck, H.E., Zimmermann, N.E., McVicar, T.R., Vergopolan, N., Berg, A., Wood, E.F., 2018. Present and future Köppen-Geiger climate classification maps at 1-km resolution. Scientific Data 5, 180214.</w:t>
      </w:r>
      <w:r>
        <w:t xml:space="preserve"> </w:t>
      </w:r>
      <w:hyperlink r:id="rId77">
        <w:r>
          <w:rPr>
            <w:rStyle w:val="InternetLink"/>
          </w:rPr>
          <w:t xml:space="preserve">https://doi.org/10.1038/sdata.2018.214</w:t>
        </w:r>
      </w:hyperlink>
    </w:p>
    <w:bookmarkEnd w:id="78"/>
    <w:bookmarkStart w:id="80" w:name="ref-boudreault2018"/>
    <w:p>
      <w:pPr>
        <w:pStyle w:val="Bibliography"/>
      </w:pPr>
      <w:r>
        <w:t xml:space="preserve">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79">
        <w:r>
          <w:rPr>
            <w:rStyle w:val="InternetLink"/>
          </w:rPr>
          <w:t xml:space="preserve">https://doi.org/10.1080/07011784.2018.1451781</w:t>
        </w:r>
      </w:hyperlink>
    </w:p>
    <w:bookmarkEnd w:id="80"/>
    <w:bookmarkStart w:id="82" w:name="ref-brown2004"/>
    <w:p>
      <w:pPr>
        <w:pStyle w:val="Bibliography"/>
      </w:pPr>
      <w:r>
        <w:t xml:space="preserve">Brown, D.J., Clayton, M.K., McSweeney, K., 2004. Potential terrain controls on soil color, texture contrast and grain-size deposition for the original catena landscape in uganda. Geoderma 122, 51–72.</w:t>
      </w:r>
      <w:r>
        <w:t xml:space="preserve"> </w:t>
      </w:r>
      <w:hyperlink r:id="rId81">
        <w:r>
          <w:rPr>
            <w:rStyle w:val="InternetLink"/>
          </w:rPr>
          <w:t xml:space="preserve">https://doi.org/10.1016/j.geoderma.2003.12.004</w:t>
        </w:r>
      </w:hyperlink>
    </w:p>
    <w:bookmarkEnd w:id="82"/>
    <w:bookmarkStart w:id="84" w:name="ref-naturalresourcescanada2024"/>
    <w:p>
      <w:pPr>
        <w:pStyle w:val="Bibliography"/>
      </w:pPr>
      <w:r>
        <w:t xml:space="preserve">Canada, N.R., 2024.</w:t>
      </w:r>
      <w:r>
        <w:t xml:space="preserve"> </w:t>
      </w:r>
      <w:hyperlink r:id="rId83">
        <w:r>
          <w:rPr>
            <w:rStyle w:val="InternetLink"/>
          </w:rPr>
          <w:t xml:space="preserve">High Resolution Digital Elevation Model Mosaic (HRDEM Mosaic) - CanElevation Series</w:t>
        </w:r>
      </w:hyperlink>
      <w:r>
        <w:t xml:space="preserve">.</w:t>
      </w:r>
    </w:p>
    <w:bookmarkEnd w:id="84"/>
    <w:bookmarkStart w:id="86" w:name="ref-collins2020"/>
    <w:p>
      <w:pPr>
        <w:pStyle w:val="Bibliography"/>
      </w:pPr>
      <w: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w:t>
      </w:r>
      <w:r>
        <w:t xml:space="preserve"> </w:t>
      </w:r>
      <w:hyperlink r:id="rId85">
        <w:r>
          <w:rPr>
            <w:rStyle w:val="InternetLink"/>
          </w:rPr>
          <w:t xml:space="preserve">https://doi.org/10.1007/s11368-020-02755-4</w:t>
        </w:r>
      </w:hyperlink>
    </w:p>
    <w:bookmarkEnd w:id="86"/>
    <w:bookmarkStart w:id="88" w:name="ref-collins2019"/>
    <w:p>
      <w:pPr>
        <w:pStyle w:val="Bibliography"/>
      </w:pPr>
      <w:r>
        <w:t xml:space="preserve">Collins, A.L., Burak, E., Harris, P., Pulley, S., Cardenas, L., Tang, Q., 2019. Field scale temporal and spatial variability of δ13C, δ15N, TC and TN soil properties: Implications for sediment source tracing. Geoderma 333, 108–122.</w:t>
      </w:r>
      <w:r>
        <w:t xml:space="preserve"> </w:t>
      </w:r>
      <w:hyperlink r:id="rId87">
        <w:r>
          <w:rPr>
            <w:rStyle w:val="InternetLink"/>
          </w:rPr>
          <w:t xml:space="preserve">https://doi.org/10.1016/j.geoderma.2018.07.019</w:t>
        </w:r>
      </w:hyperlink>
    </w:p>
    <w:bookmarkEnd w:id="88"/>
    <w:bookmarkStart w:id="90" w:name="ref-collins1997"/>
    <w:p>
      <w:pPr>
        <w:pStyle w:val="Bibliography"/>
      </w:pPr>
      <w:r>
        <w:t xml:space="preserve">Collins, A.L., Walling, D.E., Leeks, G.J.L., 1997. Source type ascription for fluvial suspended sediment based on a quantitative composite fingerprinting technique. Catena 29, 1–27. https://doi.org/</w:t>
      </w:r>
      <w:hyperlink r:id="rId89">
        <w:r>
          <w:rPr>
            <w:rStyle w:val="InternetLink"/>
          </w:rPr>
          <w:t xml:space="preserve">https://doi.org/10.1016/S0341-8162(96)00064-1</w:t>
        </w:r>
      </w:hyperlink>
    </w:p>
    <w:bookmarkEnd w:id="90"/>
    <w:bookmarkStart w:id="92" w:name="ref-conrad2015"/>
    <w:p>
      <w:pPr>
        <w:pStyle w:val="Bibliography"/>
      </w:pPr>
      <w:r>
        <w:t xml:space="preserve">Conrad, O., Bechtel, B., Bock, M., Dietrich, H., Fischer, E., Gerlitz, L., Wehberg, J., Wichmann, V., Böhner, J., 2015. System for automated geoscientific analyses (SAGA) v. 2.1.4. Geoscientific Model Development 8, 1991–2007.</w:t>
      </w:r>
      <w:r>
        <w:t xml:space="preserve"> </w:t>
      </w:r>
      <w:hyperlink r:id="rId91">
        <w:r>
          <w:rPr>
            <w:rStyle w:val="InternetLink"/>
          </w:rPr>
          <w:t xml:space="preserve">https://doi.org/10.5194/gmd-8-1991-2015</w:t>
        </w:r>
      </w:hyperlink>
    </w:p>
    <w:bookmarkEnd w:id="92"/>
    <w:bookmarkStart w:id="94" w:name="ref-cox2003"/>
    <w:p>
      <w:pPr>
        <w:pStyle w:val="Bibliography"/>
      </w:pPr>
      <w:r>
        <w:t xml:space="preserve">Cox, M.S., Gerard, P.D., Wardlaw, M.C., Abshire, M.J., 2003. Variability of Selected Soil Properties and Their Relationships with Soybean Yield. Soil Science Society of America Journal 67, 1296–1302.</w:t>
      </w:r>
      <w:r>
        <w:t xml:space="preserve"> </w:t>
      </w:r>
      <w:hyperlink r:id="rId93">
        <w:r>
          <w:rPr>
            <w:rStyle w:val="InternetLink"/>
          </w:rPr>
          <w:t xml:space="preserve">https://doi.org/10.2136/sssaj2003.1296</w:t>
        </w:r>
      </w:hyperlink>
    </w:p>
    <w:bookmarkEnd w:id="94"/>
    <w:bookmarkStart w:id="96" w:name="ref-drew2010"/>
    <w:p>
      <w:pPr>
        <w:pStyle w:val="Bibliography"/>
      </w:pPr>
      <w:r>
        <w:t xml:space="preserve">Drew, L.J., Grunsky, E.C., Sutphin, D.M., Woodruff, L.G., 2010. Multivariate analysis of the geochemistry and mineralogy of soils along two continental-scale transects in north america. Science of The Total Environment 409, 218–227.</w:t>
      </w:r>
      <w:r>
        <w:t xml:space="preserve"> </w:t>
      </w:r>
      <w:hyperlink r:id="rId95">
        <w:r>
          <w:rPr>
            <w:rStyle w:val="InternetLink"/>
          </w:rPr>
          <w:t xml:space="preserve">https://doi.org/10.1016/j.scitotenv.2010.08.004</w:t>
        </w:r>
      </w:hyperlink>
    </w:p>
    <w:bookmarkEnd w:id="96"/>
    <w:bookmarkStart w:id="98" w:name="ref-du2017"/>
    <w:p>
      <w:pPr>
        <w:pStyle w:val="Bibliography"/>
      </w:pPr>
      <w:r>
        <w:t xml:space="preserve">Du, P., Walling, D.E., 2017. Fingerprinting surficial sediment sources: Exploring some potential problems associated with the spatial variability of source material properties. Journal of Environmental Management 194, 4–15. https://doi.org/</w:t>
      </w:r>
      <w:hyperlink r:id="rId97">
        <w:r>
          <w:rPr>
            <w:rStyle w:val="InternetLink"/>
          </w:rPr>
          <w:t xml:space="preserve">https://doi.org/10.1016/j.jenvman.2016.05.066</w:t>
        </w:r>
      </w:hyperlink>
    </w:p>
    <w:bookmarkEnd w:id="98"/>
    <w:bookmarkStart w:id="99" w:name="ref-ehrlich1958"/>
    <w:p>
      <w:pPr>
        <w:pStyle w:val="Bibliography"/>
      </w:pPr>
      <w:r>
        <w:t xml:space="preserve">Ehrlich, W.A., Pratt, L.E., Leclaire, F.P., 1958. Reconnaissance soil survey of west-lake map sheet area.</w:t>
      </w:r>
    </w:p>
    <w:bookmarkEnd w:id="99"/>
    <w:bookmarkStart w:id="101" w:name="ref-esri2024"/>
    <w:p>
      <w:pPr>
        <w:pStyle w:val="Bibliography"/>
      </w:pPr>
      <w:r>
        <w:t xml:space="preserve">Esri, 2024.</w:t>
      </w:r>
      <w:r>
        <w:t xml:space="preserve"> </w:t>
      </w:r>
      <w:hyperlink r:id="rId100">
        <w:r>
          <w:rPr>
            <w:rStyle w:val="InternetLink"/>
          </w:rPr>
          <w:t xml:space="preserve">ArcGIS pro</w:t>
        </w:r>
      </w:hyperlink>
      <w:r>
        <w:t xml:space="preserve">. Esri.</w:t>
      </w:r>
    </w:p>
    <w:bookmarkEnd w:id="101"/>
    <w:bookmarkStart w:id="103" w:name="ref-evrard2022"/>
    <w:p>
      <w:pPr>
        <w:pStyle w:val="Bibliography"/>
      </w:pPr>
      <w: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w:t>
      </w:r>
      <w:r>
        <w:t xml:space="preserve"> </w:t>
      </w:r>
      <w:hyperlink r:id="rId102">
        <w:r>
          <w:rPr>
            <w:rStyle w:val="InternetLink"/>
          </w:rPr>
          <w:t xml:space="preserve">https://doi.org/10.1007/s11368-022-03203-1</w:t>
        </w:r>
      </w:hyperlink>
    </w:p>
    <w:bookmarkEnd w:id="103"/>
    <w:bookmarkStart w:id="105" w:name="ref-soilclassificationworkinggroup1998"/>
    <w:p>
      <w:pPr>
        <w:pStyle w:val="Bibliography"/>
      </w:pPr>
      <w:r>
        <w:t xml:space="preserve">Group, S.C.W., 1998.</w:t>
      </w:r>
      <w:r>
        <w:t xml:space="preserve"> </w:t>
      </w:r>
      <w:hyperlink r:id="rId104">
        <w:r>
          <w:rPr>
            <w:rStyle w:val="InternetLink"/>
          </w:rPr>
          <w:t xml:space="preserve">The Canadian System of Soil Classification</w:t>
        </w:r>
      </w:hyperlink>
      <w:r>
        <w:t xml:space="preserve">, 3rd ed. NRC Research Press, Ottawa, ON, Canada.</w:t>
      </w:r>
    </w:p>
    <w:bookmarkEnd w:id="105"/>
    <w:bookmarkStart w:id="107" w:name="ref-haddadchi2019"/>
    <w:p>
      <w:pPr>
        <w:pStyle w:val="Bibliography"/>
      </w:pPr>
      <w:r>
        <w:t xml:space="preserve">Haddadchi, A., Hicks, M., Olley, J.M., Singh, S., Srinivasan, M.s., 2019. Grid-based sediment tracing approach to determine sediment sources. Land Degradation and Development 30, 2088–2106.</w:t>
      </w:r>
      <w:r>
        <w:t xml:space="preserve"> </w:t>
      </w:r>
      <w:hyperlink r:id="rId106">
        <w:r>
          <w:rPr>
            <w:rStyle w:val="InternetLink"/>
          </w:rPr>
          <w:t xml:space="preserve">https://doi.org/10.1002/ldr.3407</w:t>
        </w:r>
      </w:hyperlink>
    </w:p>
    <w:bookmarkEnd w:id="107"/>
    <w:bookmarkStart w:id="109" w:name="ref-hijmans2024"/>
    <w:p>
      <w:pPr>
        <w:pStyle w:val="Bibliography"/>
      </w:pPr>
      <w:r>
        <w:t xml:space="preserve">Hijmans, R.J., 2024.</w:t>
      </w:r>
      <w:r>
        <w:t xml:space="preserve"> </w:t>
      </w:r>
      <w:hyperlink r:id="rId108">
        <w:r>
          <w:rPr>
            <w:rStyle w:val="InternetLink"/>
          </w:rPr>
          <w:t xml:space="preserve">Terra: Spatial data analysis</w:t>
        </w:r>
      </w:hyperlink>
      <w:r>
        <w:t xml:space="preserve">.</w:t>
      </w:r>
    </w:p>
    <w:bookmarkEnd w:id="109"/>
    <w:bookmarkStart w:id="110" w:name="ref-horowitz1991"/>
    <w:p>
      <w:pPr>
        <w:pStyle w:val="Bibliography"/>
      </w:pPr>
      <w:r>
        <w:t xml:space="preserve">Horowitz, A.J., 1991. A primer on sediment-trace element chemistry, 2nd ed. ed. Lewis Publishers, Chelsea, Michigan, USA.</w:t>
      </w:r>
    </w:p>
    <w:bookmarkEnd w:id="110"/>
    <w:bookmarkStart w:id="112" w:name="ref-kariuki2009"/>
    <w:p>
      <w:pPr>
        <w:pStyle w:val="Bibliography"/>
      </w:pPr>
      <w:r>
        <w:t xml:space="preserve">Kariuki, S.K., Zhang, H., Schroder, J.L., Hanks, T., Payton, M., Morris, T., 2009.</w:t>
      </w:r>
      <w:r>
        <w:t xml:space="preserve"> </w:t>
      </w:r>
      <w:hyperlink r:id="rId111">
        <w:r>
          <w:rPr>
            <w:rStyle w:val="InternetLink"/>
          </w:rPr>
          <w:t xml:space="preserve">Spatial variability and soil sampling in a grazed pasture</w:t>
        </w:r>
      </w:hyperlink>
      <w:r>
        <w:t xml:space="preserve">. Communications in Soil Science and Plant Analysis 40, 16741687.</w:t>
      </w:r>
    </w:p>
    <w:bookmarkEnd w:id="112"/>
    <w:bookmarkStart w:id="114" w:name="ref-koiter2021"/>
    <w:p>
      <w:pPr>
        <w:pStyle w:val="Bibliography"/>
      </w:pPr>
      <w:r>
        <w:t xml:space="preserve">Koiter, A., 2021. Colour analysis r scripts.</w:t>
      </w:r>
      <w:r>
        <w:t xml:space="preserve"> </w:t>
      </w:r>
      <w:hyperlink r:id="rId113">
        <w:r>
          <w:rPr>
            <w:rStyle w:val="InternetLink"/>
          </w:rPr>
          <w:t xml:space="preserve">https://doi.org/10.5281/zenodo.5123327</w:t>
        </w:r>
      </w:hyperlink>
    </w:p>
    <w:bookmarkEnd w:id="114"/>
    <w:bookmarkStart w:id="116" w:name="ref-koiter2013"/>
    <w:p>
      <w:pPr>
        <w:pStyle w:val="Bibliography"/>
      </w:pPr>
      <w:r>
        <w:t xml:space="preserve">Koiter, A.J., Owens, P.N., Petticrew, E.L., Lobb, D.A., 2013. The behavioural characteristics of sediment properties and their implications for sediment fingerprinting as an approach for identifying sediment sources in river basins. Earth-Science Reviews 125, 24–42. https://doi.org/</w:t>
      </w:r>
      <w:hyperlink r:id="rId115">
        <w:r>
          <w:rPr>
            <w:rStyle w:val="InternetLink"/>
          </w:rPr>
          <w:t xml:space="preserve">https://doi.org/10.1016/j.earscirev.2013.05.009</w:t>
        </w:r>
      </w:hyperlink>
    </w:p>
    <w:bookmarkEnd w:id="116"/>
    <w:bookmarkStart w:id="118" w:name="ref-kokulan2018"/>
    <w:p>
      <w:pPr>
        <w:pStyle w:val="Bibliography"/>
      </w:pPr>
      <w:r>
        <w:t xml:space="preserve">Kokulan, V., Akinremi, O., Moulin, A.P., Kumaragamage, D., 2018. Importance of terrain attributes in relation to the spatial distribution of soil properties at the micro scale: A case study. Canadian Journal of Soil Science 98, 292–305.</w:t>
      </w:r>
      <w:r>
        <w:t xml:space="preserve"> </w:t>
      </w:r>
      <w:hyperlink r:id="rId117">
        <w:r>
          <w:rPr>
            <w:rStyle w:val="InternetLink"/>
          </w:rPr>
          <w:t xml:space="preserve">https://doi.org/10.1139/cjss-2017-0128</w:t>
        </w:r>
      </w:hyperlink>
    </w:p>
    <w:bookmarkEnd w:id="118"/>
    <w:bookmarkStart w:id="120" w:name="ref-kuhn2008"/>
    <w:p>
      <w:pPr>
        <w:pStyle w:val="Bibliography"/>
      </w:pPr>
      <w:r>
        <w:t xml:space="preserve">Kuhn, Max, 2008. Building predictive models in r using the caret package. Journal of Statistical Software 28, 1–26.</w:t>
      </w:r>
      <w:r>
        <w:t xml:space="preserve"> </w:t>
      </w:r>
      <w:hyperlink r:id="rId119">
        <w:r>
          <w:rPr>
            <w:rStyle w:val="InternetLink"/>
          </w:rPr>
          <w:t xml:space="preserve">https://doi.org/10.18637/jss.v028.i05</w:t>
        </w:r>
      </w:hyperlink>
    </w:p>
    <w:bookmarkEnd w:id="120"/>
    <w:bookmarkStart w:id="122" w:name="ref-lark2018"/>
    <w:p>
      <w:pPr>
        <w:pStyle w:val="Bibliography"/>
      </w:pPr>
      <w:r>
        <w:t xml:space="preserve">Lark, R.M., Marchant, B.P., 2018. How should a spatial-coverage sample design for a geostatistical soil survey be supplemented to support estimation of spatial covariance parameters? Geoderma 319, 89–99.</w:t>
      </w:r>
      <w:r>
        <w:t xml:space="preserve"> </w:t>
      </w:r>
      <w:hyperlink r:id="rId121">
        <w:r>
          <w:rPr>
            <w:rStyle w:val="InternetLink"/>
          </w:rPr>
          <w:t xml:space="preserve">https://doi.org/10.1016/j.geoderma.2017.12.022</w:t>
        </w:r>
      </w:hyperlink>
    </w:p>
    <w:bookmarkEnd w:id="122"/>
    <w:bookmarkStart w:id="124" w:name="ref-liaw2002"/>
    <w:p>
      <w:pPr>
        <w:pStyle w:val="Bibliography"/>
      </w:pPr>
      <w:r>
        <w:t xml:space="preserve">Liaw, A., Wiener, M., 2002.</w:t>
      </w:r>
      <w:r>
        <w:t xml:space="preserve"> </w:t>
      </w:r>
      <w:hyperlink r:id="rId123">
        <w:r>
          <w:rPr>
            <w:rStyle w:val="InternetLink"/>
          </w:rPr>
          <w:t xml:space="preserve">Classification and regression by randomForest</w:t>
        </w:r>
      </w:hyperlink>
      <w:r>
        <w:t xml:space="preserve">. R News 2, 18–22.</w:t>
      </w:r>
    </w:p>
    <w:bookmarkEnd w:id="124"/>
    <w:bookmarkStart w:id="126" w:name="ref-libohova2024"/>
    <w:p>
      <w:pPr>
        <w:pStyle w:val="Bibliography"/>
      </w:pPr>
      <w: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w:t>
      </w:r>
      <w:r>
        <w:t xml:space="preserve"> </w:t>
      </w:r>
      <w:hyperlink r:id="rId125">
        <w:r>
          <w:rPr>
            <w:rStyle w:val="InternetLink"/>
          </w:rPr>
          <w:t xml:space="preserve">https://doi.org/10.1016/j.geodrs.2024.e00863</w:t>
        </w:r>
      </w:hyperlink>
    </w:p>
    <w:bookmarkEnd w:id="126"/>
    <w:bookmarkStart w:id="128" w:name="ref-lima2023"/>
    <w:p>
      <w:pPr>
        <w:pStyle w:val="Bibliography"/>
      </w:pPr>
      <w: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w:t>
      </w:r>
      <w:r>
        <w:t xml:space="preserve"> </w:t>
      </w:r>
      <w:hyperlink r:id="rId127">
        <w:r>
          <w:rPr>
            <w:rStyle w:val="InternetLink"/>
          </w:rPr>
          <w:t xml:space="preserve">https://doi.org/10.1016/j.jsames.2023.104510</w:t>
        </w:r>
      </w:hyperlink>
    </w:p>
    <w:bookmarkEnd w:id="128"/>
    <w:bookmarkStart w:id="130" w:name="ref-lunamiño2024"/>
    <w:p>
      <w:pPr>
        <w:pStyle w:val="Bibliography"/>
      </w:pPr>
      <w:r>
        <w:t xml:space="preserve">Luna Miño, M.A., Koiter, A.J., Lobb, D.A., 2024. Effect of sampling design on characterizing surface soil fingerprinting properties. Journal of Soils and Sediments 24, 2180–2198.</w:t>
      </w:r>
      <w:r>
        <w:t xml:space="preserve"> </w:t>
      </w:r>
      <w:hyperlink r:id="rId129">
        <w:r>
          <w:rPr>
            <w:rStyle w:val="InternetLink"/>
          </w:rPr>
          <w:t xml:space="preserve">https://doi.org/10.1007/s11368-024-03805-x</w:t>
        </w:r>
      </w:hyperlink>
    </w:p>
    <w:bookmarkEnd w:id="130"/>
    <w:bookmarkStart w:id="131" w:name="ref-mackay1970"/>
    <w:p>
      <w:pPr>
        <w:pStyle w:val="Bibliography"/>
      </w:pPr>
      <w:r>
        <w:t xml:space="preserve">MacKay, G.H., 1970. A quantitative study of geomorphology of the wilson creek watershed, manitoba (MSC thesis). University of Manitoba, Winnipeg, MB.</w:t>
      </w:r>
    </w:p>
    <w:bookmarkEnd w:id="131"/>
    <w:bookmarkStart w:id="133" w:name="ref-mashalaba2020"/>
    <w:p>
      <w:pPr>
        <w:pStyle w:val="Bibliography"/>
      </w:pPr>
      <w:r>
        <w:t xml:space="preserve">Mashalaba, L., Galleguillos, M., Seguel, O., Poblete-Olivares, J., 2020. Predicting spatial variability of selected soil properties using digital soil mapping in a rainfed vineyard of central chile. Geoderma Regional 22, e00289.</w:t>
      </w:r>
      <w:r>
        <w:t xml:space="preserve"> </w:t>
      </w:r>
      <w:hyperlink r:id="rId132">
        <w:r>
          <w:rPr>
            <w:rStyle w:val="InternetLink"/>
          </w:rPr>
          <w:t xml:space="preserve">https://doi.org/10.1016/j.geodrs.2020.e00289</w:t>
        </w:r>
      </w:hyperlink>
    </w:p>
    <w:bookmarkEnd w:id="133"/>
    <w:bookmarkStart w:id="135" w:name="ref-mello2022"/>
    <w:p>
      <w:pPr>
        <w:pStyle w:val="Bibliography"/>
      </w:pPr>
      <w:r>
        <w:t xml:space="preserve">Mello, F.A.O., Demattê, J.A.M., Rizzo, R., Mello, D.C. de, Poppiel, R.R., Silvero, N.E.Q., Safanelli, J.L., Bellinaso, H., Bonfatti, B.R., Gomez, A.M.R., Sousa, G.P.B., 2022. Complex hydrological knowledge to support digital soil mapping. Geoderma 409, 115638.</w:t>
      </w:r>
      <w:r>
        <w:t xml:space="preserve"> </w:t>
      </w:r>
      <w:hyperlink r:id="rId134">
        <w:r>
          <w:rPr>
            <w:rStyle w:val="InternetLink"/>
          </w:rPr>
          <w:t xml:space="preserve">https://doi.org/10.1016/j.geoderma.2021.115638</w:t>
        </w:r>
      </w:hyperlink>
    </w:p>
    <w:bookmarkEnd w:id="135"/>
    <w:bookmarkStart w:id="137" w:name="ref-mzuku2005"/>
    <w:p>
      <w:pPr>
        <w:pStyle w:val="Bibliography"/>
      </w:pPr>
      <w:r>
        <w:t xml:space="preserve">Mzuku, M., Khosla, R., Reich, R., Inman, D., Smith, F., MacDonald, L., 2005. Spatial variability of measured soil properties across site-specific management zones. Soil Science Society of America Journal 69, 1572–1579.</w:t>
      </w:r>
      <w:r>
        <w:t xml:space="preserve"> </w:t>
      </w:r>
      <w:hyperlink r:id="rId136">
        <w:r>
          <w:rPr>
            <w:rStyle w:val="InternetLink"/>
          </w:rPr>
          <w:t xml:space="preserve">https://doi.org/10.2136/sssaj2005.0062</w:t>
        </w:r>
      </w:hyperlink>
    </w:p>
    <w:bookmarkEnd w:id="137"/>
    <w:bookmarkStart w:id="139" w:name="ref-Naimi2014"/>
    <w:p>
      <w:pPr>
        <w:pStyle w:val="Bibliography"/>
      </w:pPr>
      <w:r>
        <w:t xml:space="preserve">Naimi, B., Hamm, N. a.s., Groen, T.A., Skidmore, A.K., Toxopeus, A.G., 2014. Where is positional uncertainty a problem for species distribution modelling. Ecography 37, 191–203.</w:t>
      </w:r>
      <w:r>
        <w:t xml:space="preserve"> </w:t>
      </w:r>
      <w:hyperlink r:id="rId138">
        <w:r>
          <w:rPr>
            <w:rStyle w:val="InternetLink"/>
          </w:rPr>
          <w:t xml:space="preserve">https://doi.org/10.1111/j.1600-0587.2013.00205.x</w:t>
        </w:r>
      </w:hyperlink>
    </w:p>
    <w:bookmarkEnd w:id="139"/>
    <w:bookmarkStart w:id="141" w:name="ref-nanos2012"/>
    <w:p>
      <w:pPr>
        <w:pStyle w:val="Bibliography"/>
      </w:pPr>
      <w:r>
        <w:t xml:space="preserve">Nanos, N., Rodríguez Martín, J.A., 2012. Multiscale analysis of heavy metal contents in soils: Spatial variability in the duero river basin (spain). Geoderma 189-190, 554–562.</w:t>
      </w:r>
      <w:r>
        <w:t xml:space="preserve"> </w:t>
      </w:r>
      <w:hyperlink r:id="rId140">
        <w:r>
          <w:rPr>
            <w:rStyle w:val="InternetLink"/>
          </w:rPr>
          <w:t xml:space="preserve">https://doi.org/10.1016/j.geoderma.2012.06.006</w:t>
        </w:r>
      </w:hyperlink>
    </w:p>
    <w:bookmarkEnd w:id="141"/>
    <w:bookmarkStart w:id="142" w:name="ref-nicolas2011"/>
    <w:p>
      <w:pPr>
        <w:pStyle w:val="Bibliography"/>
      </w:pPr>
      <w:r>
        <w:t xml:space="preserve">Nicolas, M.P.B., Bamburak, J.D., 2011. Geochemistry and mineralogy of cretaceous shale, southwestern manitoba (parts of NTS 62F, g, j, k, n, 63C): Phase 2 results. Manitoba Innovation, Energy; Mines, Manitoba Geological Survey.</w:t>
      </w:r>
    </w:p>
    <w:bookmarkEnd w:id="142"/>
    <w:bookmarkStart w:id="143" w:name="ref-papiernik2005"/>
    <w:p>
      <w:pPr>
        <w:pStyle w:val="Bibliography"/>
      </w:pPr>
      <w:r>
        <w:t xml:space="preserve">Papiernik, S.K., Lindstrom, M.J., Schumacher, J.A., Farenhorst, A., Stephens, K.D., Schumacher, T.E., Lobb, D.A., 2005. Variation in soil properties and crop yield across an eroded prairie landscape. Journal of Soil and Water Conservation 60, 8.</w:t>
      </w:r>
    </w:p>
    <w:bookmarkEnd w:id="143"/>
    <w:bookmarkStart w:id="144" w:name="ref-pennock2008"/>
    <w:p>
      <w:pPr>
        <w:pStyle w:val="Bibliography"/>
      </w:pPr>
      <w:r>
        <w:t xml:space="preserve">Pennock, D., Yates, T., Braidek, J., 2008. Soil sampling designs, in: Carter, M.R., Gregorich, E.G. (Eds.),. CRC Press, Boca Raton, FL, USA, pp. 1–14.</w:t>
      </w:r>
    </w:p>
    <w:bookmarkEnd w:id="144"/>
    <w:bookmarkStart w:id="146" w:name="ref-pham2025"/>
    <w:p>
      <w:pPr>
        <w:pStyle w:val="Bibliography"/>
      </w:pPr>
      <w:r>
        <w:t xml:space="preserve">Pham, T.-H., Osterloh, K., Nguyen, K.-D., 2025. Mapping of soil sampling sites using terrain and hydrological attributes. Artificial Intelligence in Agriculture 15, 470–481.</w:t>
      </w:r>
      <w:r>
        <w:t xml:space="preserve"> </w:t>
      </w:r>
      <w:hyperlink r:id="rId145">
        <w:r>
          <w:rPr>
            <w:rStyle w:val="InternetLink"/>
          </w:rPr>
          <w:t xml:space="preserve">https://doi.org/10.1016/j.aiia.2025.04.007</w:t>
        </w:r>
      </w:hyperlink>
    </w:p>
    <w:bookmarkEnd w:id="146"/>
    <w:bookmarkStart w:id="148" w:name="ref-pulley2018"/>
    <w:p>
      <w:pPr>
        <w:pStyle w:val="Bibliography"/>
      </w:pPr>
      <w:r>
        <w:t xml:space="preserve">Pulley, S., Collins, A.L., Van der Waal, B., 2018. Variability in the mineral magnetic properties of soils and sediments within a single field in the cape fold mountains, south africa: Implications for sediment source tracing. CATENA 163, 172–183.</w:t>
      </w:r>
      <w:r>
        <w:t xml:space="preserve"> </w:t>
      </w:r>
      <w:hyperlink r:id="rId147">
        <w:r>
          <w:rPr>
            <w:rStyle w:val="InternetLink"/>
          </w:rPr>
          <w:t xml:space="preserve">https://doi.org/10.1016/j.catena.2017.12.019</w:t>
        </w:r>
      </w:hyperlink>
    </w:p>
    <w:bookmarkEnd w:id="148"/>
    <w:bookmarkStart w:id="150" w:name="ref-rattenbury2018"/>
    <w:p>
      <w:pPr>
        <w:pStyle w:val="Bibliography"/>
      </w:pPr>
      <w:r>
        <w:t xml:space="preserve">Rattenbury, M., Martin ,Adam, Baisden ,Troy, Turnbull ,Rose, Rogers, K., 2018. Geochemical baseline soil surveys for understanding element and isotope variation across new zealand. New Zealand Journal of Agricultural Research 61, 347–357.</w:t>
      </w:r>
      <w:r>
        <w:t xml:space="preserve"> </w:t>
      </w:r>
      <w:hyperlink r:id="rId149">
        <w:r>
          <w:rPr>
            <w:rStyle w:val="InternetLink"/>
          </w:rPr>
          <w:t xml:space="preserve">https://doi.org/10.1080/00288233.2018.1426616</w:t>
        </w:r>
      </w:hyperlink>
    </w:p>
    <w:bookmarkEnd w:id="150"/>
    <w:bookmarkStart w:id="152" w:name="ref-ritchie1970"/>
    <w:p>
      <w:pPr>
        <w:pStyle w:val="Bibliography"/>
      </w:pPr>
      <w:r>
        <w:t xml:space="preserve">Ritchie, J.C., Clebsch, E.E.C., Rudolph, W.K., 1970.</w:t>
      </w:r>
      <w:r>
        <w:t xml:space="preserve"> </w:t>
      </w:r>
      <w:hyperlink r:id="rId151">
        <w:r>
          <w:rPr>
            <w:rStyle w:val="InternetLink"/>
          </w:rPr>
          <w:t xml:space="preserve">Distribution of fallout and natural gamma radionuclides in litter, humus and surface mineral soil layers under natural vegetation in the great smoky mountains, north carolina-tennessee</w:t>
        </w:r>
      </w:hyperlink>
      <w:r>
        <w:t xml:space="preserve">. Health Physics 18, 479.</w:t>
      </w:r>
    </w:p>
    <w:bookmarkEnd w:id="152"/>
    <w:bookmarkStart w:id="154" w:name="ref-rizzo2016"/>
    <w:p>
      <w:pPr>
        <w:pStyle w:val="Bibliography"/>
      </w:pPr>
      <w:r>
        <w:t xml:space="preserve">Rizzo, R., Demattê, J.A.M., Lepsch, I.F., Gallo, B.C., Fongaro, C.T., 2016. Digital soil mapping at local scale using a multi-depth Vis</w:t>
      </w:r>
      <w:r>
        <w:t xml:space="preserve">NIR spectral library and terrain attributes. Geoderma 274, 18–27.</w:t>
      </w:r>
      <w:r>
        <w:t xml:space="preserve"> </w:t>
      </w:r>
      <w:hyperlink r:id="rId153">
        <w:r>
          <w:rPr>
            <w:rStyle w:val="InternetLink"/>
          </w:rPr>
          <w:t xml:space="preserve">https://doi.org/10.1016/j.geoderma.2016.03.019</w:t>
        </w:r>
      </w:hyperlink>
    </w:p>
    <w:bookmarkEnd w:id="154"/>
    <w:bookmarkStart w:id="156" w:name="ref-rstudio2026"/>
    <w:p>
      <w:pPr>
        <w:pStyle w:val="Bibliography"/>
      </w:pPr>
      <w:r>
        <w:t xml:space="preserve">RStudio, 2026.</w:t>
      </w:r>
      <w:r>
        <w:t xml:space="preserve"> </w:t>
      </w:r>
      <w:hyperlink r:id="rId155">
        <w:r>
          <w:rPr>
            <w:rStyle w:val="InternetLink"/>
          </w:rPr>
          <w:t xml:space="preserve">RStudio: Integrated development environment for r</w:t>
        </w:r>
      </w:hyperlink>
      <w:r>
        <w:t xml:space="preserve">.</w:t>
      </w:r>
    </w:p>
    <w:bookmarkEnd w:id="156"/>
    <w:bookmarkStart w:id="158" w:name="ref-starr1995"/>
    <w:p>
      <w:pPr>
        <w:pStyle w:val="Bibliography"/>
      </w:pPr>
      <w:r>
        <w:t xml:space="preserve">Starr, J.L., Meisinger, J.J., Parkin, T.B., 1995. Influence of sample size on chemical and physical soil measurements. Soil Science Society of America Journal 59, 713–719.</w:t>
      </w:r>
      <w:r>
        <w:t xml:space="preserve"> </w:t>
      </w:r>
      <w:hyperlink r:id="rId157">
        <w:r>
          <w:rPr>
            <w:rStyle w:val="InternetLink"/>
          </w:rPr>
          <w:t xml:space="preserve">https://doi.org/10.2136/sssaj1995.03615995005900030012x</w:t>
        </w:r>
      </w:hyperlink>
    </w:p>
    <w:bookmarkEnd w:id="158"/>
    <w:bookmarkStart w:id="160" w:name="ref-stonehouse1971"/>
    <w:p>
      <w:pPr>
        <w:pStyle w:val="Bibliography"/>
      </w:pPr>
      <w:r>
        <w:t xml:space="preserve">Stonehouse, H.B., St. Arnaud, R.J., 1971. Distribution of iron, clay and extractable iron and aluminum in some saskatchewan soils. Canadian Journal of Soil Science 51, 283–292.</w:t>
      </w:r>
      <w:r>
        <w:t xml:space="preserve"> </w:t>
      </w:r>
      <w:hyperlink r:id="rId159">
        <w:r>
          <w:rPr>
            <w:rStyle w:val="InternetLink"/>
          </w:rPr>
          <w:t xml:space="preserve">https://doi.org/10.4141/cjss71-036</w:t>
        </w:r>
      </w:hyperlink>
    </w:p>
    <w:bookmarkEnd w:id="160"/>
    <w:bookmarkStart w:id="162" w:name="ref-sun2021"/>
    <w:p>
      <w:pPr>
        <w:pStyle w:val="Bibliography"/>
      </w:pPr>
      <w:r>
        <w:t xml:space="preserve">Sun, Y., Guo, W., Weindorf, D.C., Sun, F., Deb, S., Cao, G., Neupane, J., Lin, Z., Raihan, A., 2021a. Field-scale spatial variability of soil calcium in a semi-arid region: Implications for soil erosion and site-specific management. PEDOSPHERE 31, 705–714.</w:t>
      </w:r>
      <w:r>
        <w:t xml:space="preserve"> </w:t>
      </w:r>
      <w:hyperlink r:id="rId161">
        <w:r>
          <w:rPr>
            <w:rStyle w:val="InternetLink"/>
          </w:rPr>
          <w:t xml:space="preserve">https://doi.org/10.1016/S1002-0160(21)60019-X</w:t>
        </w:r>
      </w:hyperlink>
    </w:p>
    <w:bookmarkEnd w:id="162"/>
    <w:bookmarkStart w:id="163" w:name="ref-sun2021a"/>
    <w:p>
      <w:pPr>
        <w:pStyle w:val="Bibliography"/>
      </w:pPr>
      <w:r>
        <w:t xml:space="preserve">Sun, Y., Guo, W., Weindorf, D.C., Sun, F., Deb, S., Cao, G., Neupane, J., Lin, Z., Raihan, A., 2021b. Field-scale spatial variability of soil calcium in a semi-arid region: Implications for soil erosion and site-specific management. PEDOSPHERE 31, 705–714.</w:t>
      </w:r>
      <w:r>
        <w:t xml:space="preserve"> </w:t>
      </w:r>
      <w:hyperlink r:id="rId161">
        <w:r>
          <w:rPr>
            <w:rStyle w:val="InternetLink"/>
          </w:rPr>
          <w:t xml:space="preserve">https://doi.org/10.1016/S1002-0160(21)60019-X</w:t>
        </w:r>
      </w:hyperlink>
    </w:p>
    <w:bookmarkEnd w:id="163"/>
    <w:bookmarkStart w:id="165" w:name="ref-rcoreteam2026"/>
    <w:p>
      <w:pPr>
        <w:pStyle w:val="Bibliography"/>
      </w:pPr>
      <w:r>
        <w:t xml:space="preserve">Team, R.C., 2026.</w:t>
      </w:r>
      <w:r>
        <w:t xml:space="preserve"> </w:t>
      </w:r>
      <w:hyperlink r:id="rId164">
        <w:r>
          <w:rPr>
            <w:rStyle w:val="InternetLink"/>
          </w:rPr>
          <w:t xml:space="preserve">R: A language and environment for statistical computing</w:t>
        </w:r>
      </w:hyperlink>
      <w:r>
        <w:t xml:space="preserve">.</w:t>
      </w:r>
    </w:p>
    <w:bookmarkEnd w:id="165"/>
    <w:bookmarkStart w:id="167" w:name="ref-umali2012"/>
    <w:p>
      <w:pPr>
        <w:pStyle w:val="Bibliography"/>
      </w:pPr>
      <w:r>
        <w:t xml:space="preserve">Umali, B.P., Oliver, D.P., Forrester, S., Chittleborough, D.J., Hutson, J.L., Kookana, R.S., Ostendorf, B., 2012. The effect of terrain and management on the spatial variability of soil properties in an apple orchard. CATENA 93, 38–48.</w:t>
      </w:r>
      <w:r>
        <w:t xml:space="preserve"> </w:t>
      </w:r>
      <w:hyperlink r:id="rId166">
        <w:r>
          <w:rPr>
            <w:rStyle w:val="InternetLink"/>
          </w:rPr>
          <w:t xml:space="preserve">https://doi.org/10.1016/j.catena.2012.01.010</w:t>
        </w:r>
      </w:hyperlink>
    </w:p>
    <w:bookmarkEnd w:id="167"/>
    <w:bookmarkStart w:id="169" w:name="ref-vasu2017"/>
    <w:p>
      <w:pPr>
        <w:pStyle w:val="Bibliography"/>
      </w:pPr>
      <w:r>
        <w:t xml:space="preserve">Vasu, D., Singh, S.K., Sahu, N., Tiwary, P., Chandran, P., Duraisami, V.P., Ramamurthy, V., Lalitha, M., Kalaiselvi, B., 2017. Assessment of spatial variability of soil properties using geospatial techniques for farm level nutrient management. Soil and Tillage Research 169, 25–34.</w:t>
      </w:r>
      <w:r>
        <w:t xml:space="preserve"> </w:t>
      </w:r>
      <w:hyperlink r:id="rId168">
        <w:r>
          <w:rPr>
            <w:rStyle w:val="InternetLink"/>
          </w:rPr>
          <w:t xml:space="preserve">https://doi.org/10.1016/j.still.2017.01.006</w:t>
        </w:r>
      </w:hyperlink>
    </w:p>
    <w:bookmarkEnd w:id="169"/>
    <w:bookmarkStart w:id="171" w:name="ref-vidon2010"/>
    <w:p>
      <w:pPr>
        <w:pStyle w:val="Bibliography"/>
      </w:pPr>
      <w:r>
        <w:t xml:space="preserve">Vidon, P., Allan, C., Burns, D., Duval, T.P., Gurwick, N., Inamdar, S., Lowrance, R., Okay, J., Scott, D., Sebestyen, S., 2010. Hot spots and hot moments in riparian zones: Potential for improved water quality management. Journal of the American Water Resources Association 46, 278–298.</w:t>
      </w:r>
      <w:r>
        <w:t xml:space="preserve"> </w:t>
      </w:r>
      <w:hyperlink r:id="rId170">
        <w:r>
          <w:rPr>
            <w:rStyle w:val="InternetLink"/>
          </w:rPr>
          <w:t xml:space="preserve">https://doi.org/10.1111/j.1752-1688.2010.00420.x</w:t>
        </w:r>
      </w:hyperlink>
    </w:p>
    <w:bookmarkEnd w:id="171"/>
    <w:bookmarkStart w:id="173" w:name="ref-viscarrarossel2009"/>
    <w:p>
      <w:pPr>
        <w:pStyle w:val="Bibliography"/>
      </w:pPr>
      <w:r>
        <w:t xml:space="preserve">Viscarra Rossel, R.A., Cattle, S.R., Ortega, A., Fouad, Y., 2009. In situ measurements of soil colour, mineral composition and clay content by vis</w:t>
      </w:r>
      <w:r>
        <w:t xml:space="preserve">NIR spectroscopy. Geoderma 150, 253–266.</w:t>
      </w:r>
      <w:r>
        <w:t xml:space="preserve"> </w:t>
      </w:r>
      <w:hyperlink r:id="rId172">
        <w:r>
          <w:rPr>
            <w:rStyle w:val="InternetLink"/>
          </w:rPr>
          <w:t xml:space="preserve">https://doi.org/10.1016/j.geoderma.2009.01.025</w:t>
        </w:r>
      </w:hyperlink>
    </w:p>
    <w:bookmarkEnd w:id="173"/>
    <w:bookmarkStart w:id="174" w:name="ref-viscarrarossel2006"/>
    <w:p>
      <w:pPr>
        <w:pStyle w:val="Bibliography"/>
      </w:pPr>
      <w:r>
        <w:t xml:space="preserve">Viscarra Rossel, R.A., Minasny, B., Roudier, P., McBratney, A.B., 2006. Colour space models for soil science. Geoderma 133, 320337.</w:t>
      </w:r>
    </w:p>
    <w:bookmarkEnd w:id="174"/>
    <w:bookmarkStart w:id="175" w:name="ref-wickham2016"/>
    <w:p>
      <w:pPr>
        <w:pStyle w:val="Bibliography"/>
      </w:pPr>
      <w:r>
        <w:t xml:space="preserve">Wickham, H., 2016. ggplot2: Elegant graphics for data analysis. Springer-Verlag, New York NY U.S.A.</w:t>
      </w:r>
    </w:p>
    <w:bookmarkEnd w:id="175"/>
    <w:bookmarkStart w:id="177" w:name="ref-wilkinson2015"/>
    <w:p>
      <w:pPr>
        <w:pStyle w:val="Bibliography"/>
      </w:pPr>
      <w:r>
        <w:t xml:space="preserve">Wilkinson, S.N., Olley, J.M., Furuichi, T., Burton, J., Kinsey-Henderson, A.E., 2015. Sediment source tracing with stratified sampling and weightings based on spatial gradients in soil erosion. Journal of Soils and Sediments 15, 2038–2051.</w:t>
      </w:r>
      <w:r>
        <w:t xml:space="preserve"> </w:t>
      </w:r>
      <w:hyperlink r:id="rId176">
        <w:r>
          <w:rPr>
            <w:rStyle w:val="InternetLink"/>
          </w:rPr>
          <w:t xml:space="preserve">https://doi.org/10.1007/s11368-015-1134-2</w:t>
        </w:r>
      </w:hyperlink>
    </w:p>
    <w:bookmarkEnd w:id="177"/>
    <w:bookmarkStart w:id="179" w:name="ref-wilson2008"/>
    <w:p>
      <w:pPr>
        <w:pStyle w:val="Bibliography"/>
      </w:pPr>
      <w:r>
        <w:t xml:space="preserve">Wilson, M.A., Burt, R., Indorante, S.J., Jenkins, A.B., Chiaretti, J.V., Ulmer, M.G., Scheyer, J.M., 2008. Geochemistry in the modern soil survey program. Environmental Monitoring and Assessment 139, 151–171.</w:t>
      </w:r>
      <w:r>
        <w:t xml:space="preserve"> </w:t>
      </w:r>
      <w:hyperlink r:id="rId178">
        <w:r>
          <w:rPr>
            <w:rStyle w:val="InternetLink"/>
          </w:rPr>
          <w:t xml:space="preserve">https://doi.org/10.1007/s10661-007-9822-z</w:t>
        </w:r>
      </w:hyperlink>
    </w:p>
    <w:bookmarkEnd w:id="179"/>
    <w:bookmarkStart w:id="181" w:name="ref-zhang2012"/>
    <w:p>
      <w:pPr>
        <w:pStyle w:val="Bibliography"/>
      </w:pPr>
      <w:r>
        <w:t xml:space="preserve">Zhang, S., Huang, Y., Shen, C., Ye, H., Du, Y., 2012. Spatial prediction of soil organic matter using terrain indices and categorical variables as auxiliary information. Geoderma, Entering the digital era: Special issue of pedometrics 2009, beijing 171-172, 35–43.</w:t>
      </w:r>
      <w:r>
        <w:t xml:space="preserve"> </w:t>
      </w:r>
      <w:hyperlink r:id="rId180">
        <w:r>
          <w:rPr>
            <w:rStyle w:val="InternetLink"/>
          </w:rPr>
          <w:t xml:space="preserve">https://doi.org/10.1016/j.geoderma.2011.07.012</w:t>
        </w:r>
      </w:hyperlink>
    </w:p>
    <w:bookmarkEnd w:id="181"/>
    <w:bookmarkEnd w:id="182"/>
    <w:bookmarkEnd w:id="183"/>
    <w:bookmarkStart w:id="191" w:name="supplemental-figures"/>
    <w:p>
      <w:pPr>
        <w:pStyle w:val="Heading2"/>
      </w:pPr>
      <w:r>
        <w:t xml:space="preserve">6 Supplemental figures</w:t>
      </w:r>
    </w:p>
    <w:tbl>
      <w:tblPr>
        <w:tblStyle w:val="Table"/>
        <w:tblW w:type="pct" w:w="5000"/>
        <w:tblLayout w:type="fixed"/>
        <w:tblLook w:firstRow="0" w:lastRow="0" w:firstColumn="0" w:lastColumn="0" w:noHBand="0" w:noVBand="0" w:val="0000"/>
      </w:tblPr>
      <w:tblGrid>
        <w:gridCol w:w="7920"/>
      </w:tblGrid>
      <w:tr>
        <w:tc>
          <w:tcPr/>
          <w:bookmarkStart w:id="187" w:name="suppfig-ag_RF_summary"/>
          <w:p>
            <w:pPr>
              <w:pStyle w:val="Compact"/>
              <w:jc w:val="center"/>
            </w:pPr>
            <w:r>
              <w:drawing>
                <wp:inline>
                  <wp:extent cx="5943600" cy="5943600"/>
                  <wp:effectExtent b="0" l="0" r="0" t="0"/>
                  <wp:docPr descr="" title="" id="185" name="Picture"/>
                  <a:graphic>
                    <a:graphicData uri="http://schemas.openxmlformats.org/drawingml/2006/picture">
                      <pic:pic>
                        <pic:nvPicPr>
                          <pic:cNvPr descr="images/Ag_RF_summary.png" id="186" name="Picture"/>
                          <pic:cNvPicPr>
                            <a:picLocks noChangeArrowheads="1" noChangeAspect="1"/>
                          </pic:cNvPicPr>
                        </pic:nvPicPr>
                        <pic:blipFill>
                          <a:blip r:embed="rId18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187"/>
        </w:tc>
      </w:tr>
    </w:tbl>
    <w:p>
      <w:pPr>
        <w:pStyle w:val="TextBody"/>
      </w:pPr>
      <w:r>
        <w:drawing>
          <wp:inline>
            <wp:extent cx="5943600" cy="2971800"/>
            <wp:effectExtent b="0" l="0" r="0" t="0"/>
            <wp:docPr descr="" title="" id="189" name="Picture"/>
            <a:graphic>
              <a:graphicData uri="http://schemas.openxmlformats.org/drawingml/2006/picture">
                <pic:pic>
                  <pic:nvPicPr>
                    <pic:cNvPr descr="images/Forest_RF_summary.png" id="190" name="Picture"/>
                    <pic:cNvPicPr>
                      <a:picLocks noChangeArrowheads="1" noChangeAspect="1"/>
                    </pic:cNvPicPr>
                  </pic:nvPicPr>
                  <pic:blipFill>
                    <a:blip r:embed="rId188"/>
                    <a:stretch>
                      <a:fillRect/>
                    </a:stretch>
                  </pic:blipFill>
                  <pic:spPr bwMode="auto">
                    <a:xfrm>
                      <a:off x="0" y="0"/>
                      <a:ext cx="5943600" cy="2971800"/>
                    </a:xfrm>
                    <a:prstGeom prst="rect">
                      <a:avLst/>
                    </a:prstGeom>
                    <a:noFill/>
                    <a:ln w="9525">
                      <a:noFill/>
                      <a:headEnd/>
                      <a:tailEnd/>
                    </a:ln>
                  </pic:spPr>
                </pic:pic>
              </a:graphicData>
            </a:graphic>
          </wp:inline>
        </w:drawing>
      </w:r>
    </w:p>
    <w:p>
      <w:pPr>
        <w:pStyle w:val="TextBody"/>
      </w:pPr>
      <w:r>
        <w:t xml:space="preserve">Variable importance, expressed as the percentage increase in Mean Squared Error, for soil colour and geochemical fingerprint properties derived from random forest models using terrain attributes as predictorsat the forest site.</w:t>
      </w:r>
    </w:p>
    <w:bookmarkEnd w:id="191"/>
    <w:bookmarkStart w:id="194"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192" w:name="supptab-abbrev"/>
          <w:p>
            <w:pPr>
              <w:jc w:val="center"/>
            </w:pPr>
            <w:pPr>
              <w:jc w:val="start"/>
              <w:spacing w:before="200"/>
              <w:pStyle w:val="ImageCaption"/>
            </w:pPr>
            <w:r>
              <w:t xml:space="preserve">Table S1: Description of spectral reflectance colour coefficients used as fingerprints. Reproduced from Boudreault et al. (2018)</w:t>
            </w:r>
          </w:p>
          <w:tbl>
            <w:tblPr>
              <w:tblStyle w:val="Table"/>
              <w:tblW w:type="pct" w:w="4947"/>
              <w:tblLayout w:type="fixed"/>
              <w:tblLook w:firstRow="1" w:lastRow="0" w:firstColumn="0" w:lastColumn="0" w:noHBand="0" w:noVBand="0" w:val="0020"/>
            </w:tblPr>
            <w:tblGrid>
              <w:gridCol w:w="2106"/>
              <w:gridCol w:w="4381"/>
              <w:gridCol w:w="1348"/>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192"/>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93" w:name="supptab-terrain"/>
          <w:p>
            <w:pPr>
              <w:jc w:val="center"/>
            </w:pPr>
            <w:pPr>
              <w:jc w:val="star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193"/>
          <w:p/>
        </w:tc>
      </w:tr>
    </w:tbl>
    <w:bookmarkEnd w:id="194"/>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hyperlink" Id="rId164" Target="http://www.R-project.org" TargetMode="External" /><Relationship Type="http://schemas.openxmlformats.org/officeDocument/2006/relationships/hyperlink" Id="rId155" Target="http://www.rstudio.org/" TargetMode="External" /><Relationship Type="http://schemas.openxmlformats.org/officeDocument/2006/relationships/hyperlink" Id="rId111" Target="http://www.tandfonline.com/doi/abs/10.1080/00103620902832089" TargetMode="External" /><Relationship Type="http://schemas.openxmlformats.org/officeDocument/2006/relationships/hyperlink" Id="rId123" Target="https://CRAN.R-project.org/doc/Rnews/" TargetMode="External" /><Relationship Type="http://schemas.openxmlformats.org/officeDocument/2006/relationships/hyperlink" Id="rId108" Target="https://CRAN.R-project.org/package=terra" TargetMode="External" /><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106" Target="https://doi.org/10.1002/ldr.3407" TargetMode="External" /><Relationship Type="http://schemas.openxmlformats.org/officeDocument/2006/relationships/hyperlink" Id="rId178" Target="https://doi.org/10.1007/s10661-007-9822-z" TargetMode="External" /><Relationship Type="http://schemas.openxmlformats.org/officeDocument/2006/relationships/hyperlink" Id="rId176" Target="https://doi.org/10.1007/s11368-015-1134-2" TargetMode="External" /><Relationship Type="http://schemas.openxmlformats.org/officeDocument/2006/relationships/hyperlink" Id="rId85" Target="https://doi.org/10.1007/s11368-020-02755-4" TargetMode="External" /><Relationship Type="http://schemas.openxmlformats.org/officeDocument/2006/relationships/hyperlink" Id="rId102" Target="https://doi.org/10.1007/s11368-022-03203-1" TargetMode="External" /><Relationship Type="http://schemas.openxmlformats.org/officeDocument/2006/relationships/hyperlink" Id="rId129" Target="https://doi.org/10.1007/s11368-024-03805-x" TargetMode="External" /><Relationship Type="http://schemas.openxmlformats.org/officeDocument/2006/relationships/hyperlink" Id="rId89" Target="https://doi.org/10.1016/S0341-8162(96)00064-1" TargetMode="External" /><Relationship Type="http://schemas.openxmlformats.org/officeDocument/2006/relationships/hyperlink" Id="rId161" Target="https://doi.org/10.1016/S1002-0160(21)60019-X" TargetMode="External" /><Relationship Type="http://schemas.openxmlformats.org/officeDocument/2006/relationships/hyperlink" Id="rId145" Target="https://doi.org/10.1016/j.aiia.2025.04.007" TargetMode="External" /><Relationship Type="http://schemas.openxmlformats.org/officeDocument/2006/relationships/hyperlink" Id="rId166" Target="https://doi.org/10.1016/j.catena.2012.01.010" TargetMode="External" /><Relationship Type="http://schemas.openxmlformats.org/officeDocument/2006/relationships/hyperlink" Id="rId147" Target="https://doi.org/10.1016/j.catena.2017.12.019" TargetMode="External" /><Relationship Type="http://schemas.openxmlformats.org/officeDocument/2006/relationships/hyperlink" Id="rId115" Target="https://doi.org/10.1016/j.earscirev.2013.05.009" TargetMode="External" /><Relationship Type="http://schemas.openxmlformats.org/officeDocument/2006/relationships/hyperlink" Id="rId81" Target="https://doi.org/10.1016/j.geoderma.2003.12.004" TargetMode="External" /><Relationship Type="http://schemas.openxmlformats.org/officeDocument/2006/relationships/hyperlink" Id="rId172" Target="https://doi.org/10.1016/j.geoderma.2009.01.025" TargetMode="External" /><Relationship Type="http://schemas.openxmlformats.org/officeDocument/2006/relationships/hyperlink" Id="rId180" Target="https://doi.org/10.1016/j.geoderma.2011.07.012" TargetMode="External" /><Relationship Type="http://schemas.openxmlformats.org/officeDocument/2006/relationships/hyperlink" Id="rId140" Target="https://doi.org/10.1016/j.geoderma.2012.06.006" TargetMode="External" /><Relationship Type="http://schemas.openxmlformats.org/officeDocument/2006/relationships/hyperlink" Id="rId153" Target="https://doi.org/10.1016/j.geoderma.2016.03.019" TargetMode="External" /><Relationship Type="http://schemas.openxmlformats.org/officeDocument/2006/relationships/hyperlink" Id="rId121" Target="https://doi.org/10.1016/j.geoderma.2017.12.022" TargetMode="External" /><Relationship Type="http://schemas.openxmlformats.org/officeDocument/2006/relationships/hyperlink" Id="rId87" Target="https://doi.org/10.1016/j.geoderma.2018.07.019" TargetMode="External" /><Relationship Type="http://schemas.openxmlformats.org/officeDocument/2006/relationships/hyperlink" Id="rId134" Target="https://doi.org/10.1016/j.geoderma.2021.115638" TargetMode="External" /><Relationship Type="http://schemas.openxmlformats.org/officeDocument/2006/relationships/hyperlink" Id="rId132" Target="https://doi.org/10.1016/j.geodrs.2020.e00289" TargetMode="External" /><Relationship Type="http://schemas.openxmlformats.org/officeDocument/2006/relationships/hyperlink" Id="rId125" Target="https://doi.org/10.1016/j.geodrs.2024.e00863" TargetMode="External" /><Relationship Type="http://schemas.openxmlformats.org/officeDocument/2006/relationships/hyperlink" Id="rId97" Target="https://doi.org/10.1016/j.jenvman.2016.05.066" TargetMode="External" /><Relationship Type="http://schemas.openxmlformats.org/officeDocument/2006/relationships/hyperlink" Id="rId127" Target="https://doi.org/10.1016/j.jsames.2023.104510" TargetMode="External" /><Relationship Type="http://schemas.openxmlformats.org/officeDocument/2006/relationships/hyperlink" Id="rId95" Target="https://doi.org/10.1016/j.scitotenv.2010.08.004" TargetMode="External" /><Relationship Type="http://schemas.openxmlformats.org/officeDocument/2006/relationships/hyperlink" Id="rId168" Target="https://doi.org/10.1016/j.still.2017.01.006" TargetMode="External" /><Relationship Type="http://schemas.openxmlformats.org/officeDocument/2006/relationships/hyperlink" Id="rId77" Target="https://doi.org/10.1038/sdata.2018.214" TargetMode="External" /><Relationship Type="http://schemas.openxmlformats.org/officeDocument/2006/relationships/hyperlink" Id="rId149" Target="https://doi.org/10.1080/00288233.2018.1426616" TargetMode="External" /><Relationship Type="http://schemas.openxmlformats.org/officeDocument/2006/relationships/hyperlink" Id="rId79" Target="https://doi.org/10.1080/07011784.2018.1451781" TargetMode="External" /><Relationship Type="http://schemas.openxmlformats.org/officeDocument/2006/relationships/hyperlink" Id="rId138" Target="https://doi.org/10.1111/j.1600-0587.2013.00205.x" TargetMode="External" /><Relationship Type="http://schemas.openxmlformats.org/officeDocument/2006/relationships/hyperlink" Id="rId170" Target="https://doi.org/10.1111/j.1752-1688.2010.00420.x" TargetMode="External" /><Relationship Type="http://schemas.openxmlformats.org/officeDocument/2006/relationships/hyperlink" Id="rId117" Target="https://doi.org/10.1139/cjss-2017-0128" TargetMode="External" /><Relationship Type="http://schemas.openxmlformats.org/officeDocument/2006/relationships/hyperlink" Id="rId119" Target="https://doi.org/10.18637/jss.v028.i05" TargetMode="External" /><Relationship Type="http://schemas.openxmlformats.org/officeDocument/2006/relationships/hyperlink" Id="rId157" Target="https://doi.org/10.2136/sssaj1995.03615995005900030012x" TargetMode="External" /><Relationship Type="http://schemas.openxmlformats.org/officeDocument/2006/relationships/hyperlink" Id="rId93" Target="https://doi.org/10.2136/sssaj2003.1296" TargetMode="External" /><Relationship Type="http://schemas.openxmlformats.org/officeDocument/2006/relationships/hyperlink" Id="rId136" Target="https://doi.org/10.2136/sssaj2005.0062" TargetMode="External" /><Relationship Type="http://schemas.openxmlformats.org/officeDocument/2006/relationships/hyperlink" Id="rId75" Target="https://doi.org/10.2136/sssaj2013.02.0048" TargetMode="External" /><Relationship Type="http://schemas.openxmlformats.org/officeDocument/2006/relationships/hyperlink" Id="rId159" Target="https://doi.org/10.4141/cjss71-036" TargetMode="External" /><Relationship Type="http://schemas.openxmlformats.org/officeDocument/2006/relationships/hyperlink" Id="rId91" Target="https://doi.org/10.5194/gmd-8-1991-2015" TargetMode="External" /><Relationship Type="http://schemas.openxmlformats.org/officeDocument/2006/relationships/hyperlink" Id="rId113" Target="https://doi.org/10.5281/zenodo.5123327" TargetMode="External" /><Relationship Type="http://schemas.openxmlformats.org/officeDocument/2006/relationships/hyperlink" Id="rId69" Target="https://github.com/alex-koiter/sampling-design-manuscript" TargetMode="External" /><Relationship Type="http://schemas.openxmlformats.org/officeDocument/2006/relationships/hyperlink" Id="rId151" Target="https://journals.lww.com/health-physics/Abstract/1970/05000/Distribution_of_Fallout_and_Natural_Gamma.3.aspx" TargetMode="External" /><Relationship Type="http://schemas.openxmlformats.org/officeDocument/2006/relationships/hyperlink" Id="rId83" Target="https://open.canada.ca/data/en/dataset/0fe65119-e96e-4a57-8bfe-9d9245fba06b" TargetMode="External" /><Relationship Type="http://schemas.openxmlformats.org/officeDocument/2006/relationships/hyperlink" Id="rId104" Target="https://sis.agr.gc.ca/cansis/taxa/cssc3/index.html" TargetMode="External" /><Relationship Type="http://schemas.openxmlformats.org/officeDocument/2006/relationships/hyperlink" Id="rId73" Target="https://www.agisoft.com/downloads/installer/" TargetMode="External" /><Relationship Type="http://schemas.openxmlformats.org/officeDocument/2006/relationships/hyperlink" Id="rId100" Target="https://www.esri.ca/" TargetMode="External" /></Relationships>
</file>

<file path=word/_rels/footnotes.xml.rels><?xml version="1.0" encoding="UTF-8"?><Relationships xmlns="http://schemas.openxmlformats.org/package/2006/relationships"><Relationship Type="http://schemas.openxmlformats.org/officeDocument/2006/relationships/hyperlink" Id="rId164" Target="http://www.R-project.org" TargetMode="External" /><Relationship Type="http://schemas.openxmlformats.org/officeDocument/2006/relationships/hyperlink" Id="rId155" Target="http://www.rstudio.org/" TargetMode="External" /><Relationship Type="http://schemas.openxmlformats.org/officeDocument/2006/relationships/hyperlink" Id="rId111" Target="http://www.tandfonline.com/doi/abs/10.1080/00103620902832089" TargetMode="External" /><Relationship Type="http://schemas.openxmlformats.org/officeDocument/2006/relationships/hyperlink" Id="rId123" Target="https://CRAN.R-project.org/doc/Rnews/" TargetMode="External" /><Relationship Type="http://schemas.openxmlformats.org/officeDocument/2006/relationships/hyperlink" Id="rId108" Target="https://CRAN.R-project.org/package=terra" TargetMode="External" /><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106" Target="https://doi.org/10.1002/ldr.3407" TargetMode="External" /><Relationship Type="http://schemas.openxmlformats.org/officeDocument/2006/relationships/hyperlink" Id="rId178" Target="https://doi.org/10.1007/s10661-007-9822-z" TargetMode="External" /><Relationship Type="http://schemas.openxmlformats.org/officeDocument/2006/relationships/hyperlink" Id="rId176" Target="https://doi.org/10.1007/s11368-015-1134-2" TargetMode="External" /><Relationship Type="http://schemas.openxmlformats.org/officeDocument/2006/relationships/hyperlink" Id="rId85" Target="https://doi.org/10.1007/s11368-020-02755-4" TargetMode="External" /><Relationship Type="http://schemas.openxmlformats.org/officeDocument/2006/relationships/hyperlink" Id="rId102" Target="https://doi.org/10.1007/s11368-022-03203-1" TargetMode="External" /><Relationship Type="http://schemas.openxmlformats.org/officeDocument/2006/relationships/hyperlink" Id="rId129" Target="https://doi.org/10.1007/s11368-024-03805-x" TargetMode="External" /><Relationship Type="http://schemas.openxmlformats.org/officeDocument/2006/relationships/hyperlink" Id="rId89" Target="https://doi.org/10.1016/S0341-8162(96)00064-1" TargetMode="External" /><Relationship Type="http://schemas.openxmlformats.org/officeDocument/2006/relationships/hyperlink" Id="rId161" Target="https://doi.org/10.1016/S1002-0160(21)60019-X" TargetMode="External" /><Relationship Type="http://schemas.openxmlformats.org/officeDocument/2006/relationships/hyperlink" Id="rId145" Target="https://doi.org/10.1016/j.aiia.2025.04.007" TargetMode="External" /><Relationship Type="http://schemas.openxmlformats.org/officeDocument/2006/relationships/hyperlink" Id="rId166" Target="https://doi.org/10.1016/j.catena.2012.01.010" TargetMode="External" /><Relationship Type="http://schemas.openxmlformats.org/officeDocument/2006/relationships/hyperlink" Id="rId147" Target="https://doi.org/10.1016/j.catena.2017.12.019" TargetMode="External" /><Relationship Type="http://schemas.openxmlformats.org/officeDocument/2006/relationships/hyperlink" Id="rId115" Target="https://doi.org/10.1016/j.earscirev.2013.05.009" TargetMode="External" /><Relationship Type="http://schemas.openxmlformats.org/officeDocument/2006/relationships/hyperlink" Id="rId81" Target="https://doi.org/10.1016/j.geoderma.2003.12.004" TargetMode="External" /><Relationship Type="http://schemas.openxmlformats.org/officeDocument/2006/relationships/hyperlink" Id="rId172" Target="https://doi.org/10.1016/j.geoderma.2009.01.025" TargetMode="External" /><Relationship Type="http://schemas.openxmlformats.org/officeDocument/2006/relationships/hyperlink" Id="rId180" Target="https://doi.org/10.1016/j.geoderma.2011.07.012" TargetMode="External" /><Relationship Type="http://schemas.openxmlformats.org/officeDocument/2006/relationships/hyperlink" Id="rId140" Target="https://doi.org/10.1016/j.geoderma.2012.06.006" TargetMode="External" /><Relationship Type="http://schemas.openxmlformats.org/officeDocument/2006/relationships/hyperlink" Id="rId153" Target="https://doi.org/10.1016/j.geoderma.2016.03.019" TargetMode="External" /><Relationship Type="http://schemas.openxmlformats.org/officeDocument/2006/relationships/hyperlink" Id="rId121" Target="https://doi.org/10.1016/j.geoderma.2017.12.022" TargetMode="External" /><Relationship Type="http://schemas.openxmlformats.org/officeDocument/2006/relationships/hyperlink" Id="rId87" Target="https://doi.org/10.1016/j.geoderma.2018.07.019" TargetMode="External" /><Relationship Type="http://schemas.openxmlformats.org/officeDocument/2006/relationships/hyperlink" Id="rId134" Target="https://doi.org/10.1016/j.geoderma.2021.115638" TargetMode="External" /><Relationship Type="http://schemas.openxmlformats.org/officeDocument/2006/relationships/hyperlink" Id="rId132" Target="https://doi.org/10.1016/j.geodrs.2020.e00289" TargetMode="External" /><Relationship Type="http://schemas.openxmlformats.org/officeDocument/2006/relationships/hyperlink" Id="rId125" Target="https://doi.org/10.1016/j.geodrs.2024.e00863" TargetMode="External" /><Relationship Type="http://schemas.openxmlformats.org/officeDocument/2006/relationships/hyperlink" Id="rId97" Target="https://doi.org/10.1016/j.jenvman.2016.05.066" TargetMode="External" /><Relationship Type="http://schemas.openxmlformats.org/officeDocument/2006/relationships/hyperlink" Id="rId127" Target="https://doi.org/10.1016/j.jsames.2023.104510" TargetMode="External" /><Relationship Type="http://schemas.openxmlformats.org/officeDocument/2006/relationships/hyperlink" Id="rId95" Target="https://doi.org/10.1016/j.scitotenv.2010.08.004" TargetMode="External" /><Relationship Type="http://schemas.openxmlformats.org/officeDocument/2006/relationships/hyperlink" Id="rId168" Target="https://doi.org/10.1016/j.still.2017.01.006" TargetMode="External" /><Relationship Type="http://schemas.openxmlformats.org/officeDocument/2006/relationships/hyperlink" Id="rId77" Target="https://doi.org/10.1038/sdata.2018.214" TargetMode="External" /><Relationship Type="http://schemas.openxmlformats.org/officeDocument/2006/relationships/hyperlink" Id="rId149" Target="https://doi.org/10.1080/00288233.2018.1426616" TargetMode="External" /><Relationship Type="http://schemas.openxmlformats.org/officeDocument/2006/relationships/hyperlink" Id="rId79" Target="https://doi.org/10.1080/07011784.2018.1451781" TargetMode="External" /><Relationship Type="http://schemas.openxmlformats.org/officeDocument/2006/relationships/hyperlink" Id="rId138" Target="https://doi.org/10.1111/j.1600-0587.2013.00205.x" TargetMode="External" /><Relationship Type="http://schemas.openxmlformats.org/officeDocument/2006/relationships/hyperlink" Id="rId170" Target="https://doi.org/10.1111/j.1752-1688.2010.00420.x" TargetMode="External" /><Relationship Type="http://schemas.openxmlformats.org/officeDocument/2006/relationships/hyperlink" Id="rId117" Target="https://doi.org/10.1139/cjss-2017-0128" TargetMode="External" /><Relationship Type="http://schemas.openxmlformats.org/officeDocument/2006/relationships/hyperlink" Id="rId119" Target="https://doi.org/10.18637/jss.v028.i05" TargetMode="External" /><Relationship Type="http://schemas.openxmlformats.org/officeDocument/2006/relationships/hyperlink" Id="rId157" Target="https://doi.org/10.2136/sssaj1995.03615995005900030012x" TargetMode="External" /><Relationship Type="http://schemas.openxmlformats.org/officeDocument/2006/relationships/hyperlink" Id="rId93" Target="https://doi.org/10.2136/sssaj2003.1296" TargetMode="External" /><Relationship Type="http://schemas.openxmlformats.org/officeDocument/2006/relationships/hyperlink" Id="rId136" Target="https://doi.org/10.2136/sssaj2005.0062" TargetMode="External" /><Relationship Type="http://schemas.openxmlformats.org/officeDocument/2006/relationships/hyperlink" Id="rId75" Target="https://doi.org/10.2136/sssaj2013.02.0048" TargetMode="External" /><Relationship Type="http://schemas.openxmlformats.org/officeDocument/2006/relationships/hyperlink" Id="rId159" Target="https://doi.org/10.4141/cjss71-036" TargetMode="External" /><Relationship Type="http://schemas.openxmlformats.org/officeDocument/2006/relationships/hyperlink" Id="rId91" Target="https://doi.org/10.5194/gmd-8-1991-2015" TargetMode="External" /><Relationship Type="http://schemas.openxmlformats.org/officeDocument/2006/relationships/hyperlink" Id="rId113" Target="https://doi.org/10.5281/zenodo.5123327" TargetMode="External" /><Relationship Type="http://schemas.openxmlformats.org/officeDocument/2006/relationships/hyperlink" Id="rId69" Target="https://github.com/alex-koiter/sampling-design-manuscript" TargetMode="External" /><Relationship Type="http://schemas.openxmlformats.org/officeDocument/2006/relationships/hyperlink" Id="rId151" Target="https://journals.lww.com/health-physics/Abstract/1970/05000/Distribution_of_Fallout_and_Natural_Gamma.3.aspx" TargetMode="External" /><Relationship Type="http://schemas.openxmlformats.org/officeDocument/2006/relationships/hyperlink" Id="rId83" Target="https://open.canada.ca/data/en/dataset/0fe65119-e96e-4a57-8bfe-9d9245fba06b" TargetMode="External" /><Relationship Type="http://schemas.openxmlformats.org/officeDocument/2006/relationships/hyperlink" Id="rId104" Target="https://sis.agr.gc.ca/cansis/taxa/cssc3/index.html" TargetMode="External" /><Relationship Type="http://schemas.openxmlformats.org/officeDocument/2006/relationships/hyperlink" Id="rId73" Target="https://www.agisoft.com/downloads/installer/" TargetMode="External" /><Relationship Type="http://schemas.openxmlformats.org/officeDocument/2006/relationships/hyperlink" Id="rId100" Target="https://www.es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cp:keywords>
  <dcterms:created xsi:type="dcterms:W3CDTF">2026-05-05T14:18:31Z</dcterms:created>
  <dcterms:modified xsi:type="dcterms:W3CDTF">2026-05-05T14:18:31Z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2026-05-04</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link-bibliography">
    <vt:lpwstr>True</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plain-language-summary">
    <vt:lpwstr>Spatial analysis is tricky buisness</vt:lpwstr>
  </property>
  <property fmtid="{D5CDD505-2E9C-101B-9397-08002B2CF9AE}" pid="26" name="quarto-internal">
    <vt:lpwstr/>
  </property>
  <property fmtid="{D5CDD505-2E9C-101B-9397-08002B2CF9AE}" pid="27" name="remove-hidden">
    <vt:lpwstr>all</vt:lpwstr>
  </property>
  <property fmtid="{D5CDD505-2E9C-101B-9397-08002B2CF9AE}" pid="28" name="suppplot-cap-location">
    <vt:lpwstr>bottom</vt:lpwstr>
  </property>
  <property fmtid="{D5CDD505-2E9C-101B-9397-08002B2CF9AE}" pid="29" name="supptab-cap-location">
    <vt:lpwstr>top</vt:lpwstr>
  </property>
  <property fmtid="{D5CDD505-2E9C-101B-9397-08002B2CF9AE}" pid="30" name="template-partials">
    <vt:lpwstr/>
  </property>
  <property fmtid="{D5CDD505-2E9C-101B-9397-08002B2CF9AE}" pid="31" name="theme">
    <vt:lpwstr>cosmo</vt:lpwstr>
  </property>
  <property fmtid="{D5CDD505-2E9C-101B-9397-08002B2CF9AE}" pid="32" name="title-block-style">
    <vt:lpwstr>manuscript</vt:lpwstr>
  </property>
  <property fmtid="{D5CDD505-2E9C-101B-9397-08002B2CF9AE}" pid="33" name="toc-title">
    <vt:lpwstr>Table of contents</vt:lpwstr>
  </property>
  <property fmtid="{D5CDD505-2E9C-101B-9397-08002B2CF9AE}" pid="34" name="unroll-markdown-cells">
    <vt:lpwstr>True</vt:lpwstr>
  </property>
</Properties>
</file>