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KPIs to look out for: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Mission Impacts: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Food waste reduction per user – Percent/monetary amount of food used before the expiry date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Cost savings per user – metric or user surveys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How much close to expiry food is used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Engagement and Retention: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Daily active users (DAU) + Monthly active users (MAU) to calculate stickiness ratio = DAU/MAU. This is an indication of what percentage of monthly users are active of a daily basis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User retention stats – how many people return to the app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How long the app is open for – session frequency and length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Churn Rate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Generated recipe ratings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Number of food items logged per user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and Growth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Customer Acquisition Cost (CAC) – for marketing budget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Viral Coefficient Factor (K-factor) – users that an existing user generates with sharing features – greater than 1 = exponential growth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App store ratings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App store downloads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Performance Metrics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Object detection accuracy – food items correctly identified by the camera scan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API response time – speed of performance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busy uni student, I want to scan my groceries with my phone so that all my food items are logged automatically without me having to type them in.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eco-conscious user, I want to get recipe suggestions based on ingredients that are about to expire so that I can use up my food before it goes to waste.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 trying to save money, I want to see a dashboard showing how much I’ve spent this month and how much food I’ve saved from being wasted so I know if I’m saving money and am motivated to do so.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