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Lecciones Aprendidas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Calibri" w:cs="Calibri" w:eastAsia="Calibri" w:hAnsi="Calibri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Proyecto “PepsiCo”</w:t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Fecha:[30/11/2025]</w:t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Calibri" w:cs="Calibri" w:eastAsia="Calibri" w:hAnsi="Calibri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b w:val="1"/>
          <w:bCs w:val="1"/>
          <w:color w:val="365f91"/>
        </w:rPr>
      </w:pPr>
      <w:bookmarkStart w:colFirst="0" w:colLast="0" w:name="_pexi7q32kvuh" w:id="0"/>
      <w:bookmarkEnd w:id="0"/>
      <w:r w:rsidDel="00000000" w:rsidR="00000000" w:rsidRPr="00000000">
        <w:rPr>
          <w:b w:val="1"/>
          <w:bCs w:val="1"/>
          <w:color w:val="365f91"/>
          <w:rtl w:val="0"/>
        </w:rPr>
        <w:t xml:space="preserve">Índice</w:t>
      </w:r>
    </w:p>
    <w:sdt>
      <w:sdtPr>
        <w:id w:val="-3005393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exi7q32kvu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</w:r>
          </w:hyperlink>
          <w:r w:rsidDel="00000000" w:rsidR="00000000" w:rsidRPr="00000000">
            <w:fldChar w:fldCharType="begin"/>
            <w:instrText xml:space="preserve"> PAGEREF _pexi7q32kvuh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uhr2k7xbts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Historial de versiones</w:t>
              <w:tab/>
            </w:r>
          </w:hyperlink>
          <w:r w:rsidDel="00000000" w:rsidR="00000000" w:rsidRPr="00000000">
            <w:fldChar w:fldCharType="begin"/>
            <w:instrText xml:space="preserve"> PAGEREF _vuhr2k7xbts6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zylleii10j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Información del proyecto</w:t>
              <w:tab/>
            </w:r>
          </w:hyperlink>
          <w:r w:rsidDel="00000000" w:rsidR="00000000" w:rsidRPr="00000000">
            <w:fldChar w:fldCharType="begin"/>
            <w:instrText xml:space="preserve"> PAGEREF _2zylleii10jd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n1h2cick4a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Aprobaciones</w:t>
              <w:tab/>
            </w:r>
          </w:hyperlink>
          <w:r w:rsidDel="00000000" w:rsidR="00000000" w:rsidRPr="00000000">
            <w:fldChar w:fldCharType="begin"/>
            <w:instrText xml:space="preserve"> PAGEREF _in1h2cick4ak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048ehsgovf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_4048ehsgovf1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0twbvr9jzt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Gestión del Alcance y Requisitos</w:t>
              <w:tab/>
            </w:r>
          </w:hyperlink>
          <w:r w:rsidDel="00000000" w:rsidR="00000000" w:rsidRPr="00000000">
            <w:fldChar w:fldCharType="begin"/>
            <w:instrText xml:space="preserve"> PAGEREF _u0twbvr9jzt2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n6p4k6jp9l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Planificación y Herramientas</w:t>
              <w:tab/>
            </w:r>
          </w:hyperlink>
          <w:r w:rsidDel="00000000" w:rsidR="00000000" w:rsidRPr="00000000">
            <w:fldChar w:fldCharType="begin"/>
            <w:instrText xml:space="preserve"> PAGEREF _hn6p4k6jp9l6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eghv8pexau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Diseño y Arquitectura</w:t>
              <w:tab/>
            </w:r>
          </w:hyperlink>
          <w:r w:rsidDel="00000000" w:rsidR="00000000" w:rsidRPr="00000000">
            <w:fldChar w:fldCharType="begin"/>
            <w:instrText xml:space="preserve"> PAGEREF _geghv8pexauc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ir6b8h86ew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Ejecución de Pruebas y Calidad</w:t>
              <w:tab/>
            </w:r>
          </w:hyperlink>
          <w:r w:rsidDel="00000000" w:rsidR="00000000" w:rsidRPr="00000000">
            <w:fldChar w:fldCharType="begin"/>
            <w:instrText xml:space="preserve"> PAGEREF _yir6b8h86ewh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fnwpjw2msf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Recomendaciones para Próximos Proyectos</w:t>
              <w:tab/>
            </w:r>
          </w:hyperlink>
          <w:r w:rsidDel="00000000" w:rsidR="00000000" w:rsidRPr="00000000">
            <w:fldChar w:fldCharType="begin"/>
            <w:instrText xml:space="preserve"> PAGEREF _1fnwpjw2msfs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2"/>
        <w:rPr>
          <w:b w:val="1"/>
          <w:bCs w:val="1"/>
          <w:color w:val="365f91"/>
        </w:rPr>
      </w:pPr>
      <w:bookmarkStart w:colFirst="0" w:colLast="0" w:name="_vuhr2k7xbts6" w:id="1"/>
      <w:bookmarkEnd w:id="1"/>
      <w:r w:rsidDel="00000000" w:rsidR="00000000" w:rsidRPr="00000000">
        <w:rPr>
          <w:b w:val="1"/>
          <w:bCs w:val="1"/>
          <w:color w:val="365f91"/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960"/>
        <w:gridCol w:w="3660"/>
        <w:gridCol w:w="3225"/>
        <w:tblGridChange w:id="0">
          <w:tblGrid>
            <w:gridCol w:w="1080"/>
            <w:gridCol w:w="960"/>
            <w:gridCol w:w="3660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11-11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Briceño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>
          <w:b w:val="1"/>
          <w:bCs w:val="1"/>
          <w:color w:val="365f91"/>
        </w:rPr>
      </w:pPr>
      <w:bookmarkStart w:colFirst="0" w:colLast="0" w:name="_2zylleii10jd" w:id="2"/>
      <w:bookmarkEnd w:id="2"/>
      <w:r w:rsidDel="00000000" w:rsidR="00000000" w:rsidRPr="00000000">
        <w:rPr>
          <w:b w:val="1"/>
          <w:bCs w:val="1"/>
          <w:color w:val="365f91"/>
          <w:rtl w:val="0"/>
        </w:rPr>
        <w:t xml:space="preserve">Información del proyecto</w:t>
      </w:r>
    </w:p>
    <w:tbl>
      <w:tblPr>
        <w:tblStyle w:val="Table2"/>
        <w:tblW w:w="88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0"/>
        <w:gridCol w:w="4005"/>
        <w:tblGridChange w:id="0">
          <w:tblGrid>
            <w:gridCol w:w="4860"/>
            <w:gridCol w:w="400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 “PepsiCo”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29-09-25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PepsiCo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PepsiCo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/ Líder de Proyecto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Briceño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/ Líder de Pruebas de Software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Briceño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>
          <w:b w:val="1"/>
          <w:bCs w:val="1"/>
          <w:color w:val="365f91"/>
        </w:rPr>
      </w:pPr>
      <w:bookmarkStart w:colFirst="0" w:colLast="0" w:name="_in1h2cick4ak" w:id="3"/>
      <w:bookmarkEnd w:id="3"/>
      <w:r w:rsidDel="00000000" w:rsidR="00000000" w:rsidRPr="00000000">
        <w:rPr>
          <w:b w:val="1"/>
          <w:bCs w:val="1"/>
          <w:color w:val="365f91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.960937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Briceño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 de Proyecto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Duocuc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30-11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276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b w:val="1"/>
          <w:bCs w:val="1"/>
          <w:color w:val="365f91"/>
        </w:rPr>
      </w:pPr>
      <w:bookmarkStart w:colFirst="0" w:colLast="0" w:name="_4048ehsgovf1" w:id="4"/>
      <w:bookmarkEnd w:id="4"/>
      <w:r w:rsidDel="00000000" w:rsidR="00000000" w:rsidRPr="00000000">
        <w:rPr>
          <w:b w:val="1"/>
          <w:bCs w:val="1"/>
          <w:color w:val="365f91"/>
          <w:rtl w:val="0"/>
        </w:rPr>
        <w:t xml:space="preserve">Resumen ejecutivo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consistió en desarrollar un MVP web para gestionar el ingreso de camiones al taller (PepsiCo) con base de datos local y datos sintéticos. Se planificó a 15 semanas; sin embargo, el equipo sufrió retrasos significativos (lesión del desarrollador backend), lo que llevó a un sprint final de recuperación. A pesar de ello, se logró un login funcional, CRUD completo, y se consolidó la documentación principal (plan de pruebas, ERD, manuales de uso, arquitecturas, entre otros.). Las decisiones técnicas clave incluyeron Docker Compose, PostgreSQL, MinIO, Redis/BullM, y NestJS (API) en frontend. </w:t>
      </w:r>
    </w:p>
    <w:p w:rsidR="00000000" w:rsidDel="00000000" w:rsidP="00000000" w:rsidRDefault="00000000" w:rsidRPr="00000000" w14:paraId="0000007B">
      <w:pPr>
        <w:pStyle w:val="Heading2"/>
        <w:rPr>
          <w:b w:val="1"/>
          <w:bCs w:val="1"/>
          <w:color w:val="365f91"/>
        </w:rPr>
      </w:pPr>
      <w:bookmarkStart w:colFirst="0" w:colLast="0" w:name="_pyhdh3w2sna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b w:val="1"/>
          <w:bCs w:val="1"/>
          <w:color w:val="365f91"/>
        </w:rPr>
      </w:pPr>
      <w:bookmarkStart w:colFirst="0" w:colLast="0" w:name="_u0twbvr9jzt2" w:id="6"/>
      <w:bookmarkEnd w:id="6"/>
      <w:r w:rsidDel="00000000" w:rsidR="00000000" w:rsidRPr="00000000">
        <w:rPr>
          <w:b w:val="1"/>
          <w:bCs w:val="1"/>
          <w:color w:val="365f91"/>
          <w:rtl w:val="0"/>
        </w:rPr>
        <w:t xml:space="preserve">Gestión del Alcance y Requisitos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funcionó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Definir claramente un MVP (flujo mínimo: login → agenda → ingreso → OT → cierre) ayudó a priorizar cuando faltó tiempo.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Reunión inicial (Semana 0); eso permitió descartar extras razonablemente.</w:t>
        <w:br w:type="textWrapping"/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falló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Scope creep temprano: varias funcionalidades planificadas quedaron en descope y se implementaron en tiempo record.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acuerdos firmes con cliente sobre prioridades y tiempos de respuesta para UAT.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Lección aprendida / Recomendaciones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Formalizar el backlog priorizado y firmar un alcance mínimo aprobatorio antes de comenzar (idealmente acta firmada por cliente).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proyectos académicos con plazos cortos, bloquear alcance crítico y definir explícitamente qué queda para “mejoras futuras”.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Establecer una lista de criterios de aceptación por historia (no solo “hacer CRUD”), y usarla como control de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b w:val="1"/>
          <w:bCs w:val="1"/>
          <w:color w:val="365f91"/>
        </w:rPr>
      </w:pPr>
      <w:bookmarkStart w:colFirst="0" w:colLast="0" w:name="_hn6p4k6jp9l6" w:id="7"/>
      <w:bookmarkEnd w:id="7"/>
      <w:r w:rsidDel="00000000" w:rsidR="00000000" w:rsidRPr="00000000">
        <w:rPr>
          <w:b w:val="1"/>
          <w:bCs w:val="1"/>
          <w:color w:val="365f91"/>
          <w:rtl w:val="0"/>
        </w:rPr>
        <w:t xml:space="preserve">Planificación y Herramientas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funcionó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Sprints semanales, dieron visibilidad y un punto de sincronía regular.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Compose permitió reproducir el entorno local y facilitó la demo.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falló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aprovechó suficiente CI/CD temprano: PRs sin verificación, integración tardía Front–Back.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uso consistente de Postman/collections hasta la etapa final — eso retrasó pruebas independientes del frontend.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Lección aprendida / Recomendaciones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CI básica (lint + tests unitarios) desde la semana 1; no es complejo y evita regresiones.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y compartir la Postman Collection inicial con los endpoints críticos (login, CRUD, agenda) desde la integración inicial.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un burn-down visible y un tablero de impedimentos accesible (issue tracker) actualizado diariamente.</w:t>
      </w:r>
    </w:p>
    <w:p w:rsidR="00000000" w:rsidDel="00000000" w:rsidP="00000000" w:rsidRDefault="00000000" w:rsidRPr="00000000" w14:paraId="00000092">
      <w:pPr>
        <w:pStyle w:val="Heading2"/>
        <w:rPr>
          <w:b w:val="1"/>
          <w:bCs w:val="1"/>
          <w:color w:val="365f91"/>
        </w:rPr>
      </w:pPr>
      <w:bookmarkStart w:colFirst="0" w:colLast="0" w:name="_geghv8pexauc" w:id="8"/>
      <w:bookmarkEnd w:id="8"/>
      <w:r w:rsidDel="00000000" w:rsidR="00000000" w:rsidRPr="00000000">
        <w:rPr>
          <w:b w:val="1"/>
          <w:bCs w:val="1"/>
          <w:color w:val="365f91"/>
          <w:rtl w:val="0"/>
        </w:rPr>
        <w:t xml:space="preserve">Diseño y Arquitectura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funcionó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Elección de stack modular (NestJS, Workers, Redis, MinIO, Postgres) coherente con requisitos de escalabilidad y pruebas.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NGINX + Docker Compose simplificó rutas y despliegue local reproducible. 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falló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Complejidad técnica (microservicios, worker, MinIO) elevó la carga de integración para un MVP con equipo pequeño.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siempre se documentaron las decisiones arquitectónicas (ADR) en el momento, lo que generó dudas de diseño en integración. 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Lección aprendida / Recomendaciones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equipos pequeños/tiempos cortos: preferir una arquitectura más simple (monolito modular) y planear migración a microservicios sólo si hay tiempo/beneficio claro.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un ADR mínimo: decisión, alternativa considerada, motivo, impacto. 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Registrar en el repo.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Documentar endpoints críticos con OpenAPI desde la primera versión estable del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b w:val="1"/>
          <w:bCs w:val="1"/>
          <w:color w:val="365f91"/>
        </w:rPr>
      </w:pPr>
      <w:bookmarkStart w:colFirst="0" w:colLast="0" w:name="_yir6b8h86ewh" w:id="9"/>
      <w:bookmarkEnd w:id="9"/>
      <w:r w:rsidDel="00000000" w:rsidR="00000000" w:rsidRPr="00000000">
        <w:rPr>
          <w:b w:val="1"/>
          <w:bCs w:val="1"/>
          <w:color w:val="365f91"/>
          <w:rtl w:val="0"/>
        </w:rPr>
        <w:t xml:space="preserve">Ejecución de Pruebas y Calidad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funcionó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definió un plan de pruebas robusto (casos CP-01…CP-30), incluidas pruebas OWASP básicas y criterios de aceptación claros.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priorizó la ejecución manual de E2E y creación de evidencias (capturas).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Qué falló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falta de automatización temprana (Postman o Playwright) impidió regresiones rápidas.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Lección aprendida / Recomendaciones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smoke tests en CI: login, endpoints CRUD, agenda. Newman + Postman collection es rápido de montar.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pruebas OWASP básicas de forma rutinaria: XSS/SQLi manuales al menos y, si es posible, un escaneo automatizado ligero.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b w:val="1"/>
          <w:bCs w:val="1"/>
          <w:color w:val="365f91"/>
        </w:rPr>
      </w:pPr>
      <w:bookmarkStart w:colFirst="0" w:colLast="0" w:name="_1fnwpjw2msfs" w:id="10"/>
      <w:bookmarkEnd w:id="10"/>
      <w:r w:rsidDel="00000000" w:rsidR="00000000" w:rsidRPr="00000000">
        <w:rPr>
          <w:b w:val="1"/>
          <w:bCs w:val="1"/>
          <w:color w:val="365f91"/>
          <w:rtl w:val="0"/>
        </w:rPr>
        <w:t xml:space="preserve">Recomendaciones para Próximos Proyectos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Operativas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Asignación/Roles claros</w:t>
      </w:r>
      <w:r w:rsidDel="00000000" w:rsidR="00000000" w:rsidRPr="00000000">
        <w:rPr>
          <w:sz w:val="24"/>
          <w:szCs w:val="24"/>
          <w:rtl w:val="0"/>
        </w:rPr>
        <w:t xml:space="preserve">: definir responsable de QA/documentación (Benjamín) y responsables técnicos (Alexis Backend, Joaquín Frontend) con compromisos de tiempo.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Standup diario breve (5–10 min)</w:t>
      </w:r>
      <w:r w:rsidDel="00000000" w:rsidR="00000000" w:rsidRPr="00000000">
        <w:rPr>
          <w:sz w:val="24"/>
          <w:szCs w:val="24"/>
          <w:rtl w:val="0"/>
        </w:rPr>
        <w:t xml:space="preserve">, aunque sea asincrónico, para identificar bloqueos temprano. 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Técnicas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 mínimo</w:t>
      </w:r>
      <w:r w:rsidDel="00000000" w:rsidR="00000000" w:rsidRPr="00000000">
        <w:rPr>
          <w:sz w:val="24"/>
          <w:szCs w:val="24"/>
          <w:rtl w:val="0"/>
        </w:rPr>
        <w:t xml:space="preserve"> desde inicio: lint + build + tests. Si no hay tests, al menos build + lint.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Postman Collection</w:t>
      </w:r>
      <w:r w:rsidDel="00000000" w:rsidR="00000000" w:rsidRPr="00000000">
        <w:rPr>
          <w:sz w:val="24"/>
          <w:szCs w:val="24"/>
          <w:rtl w:val="0"/>
        </w:rPr>
        <w:t xml:space="preserve">: colección con envs y variables (baseUrl, tokens) para ejecutar pruebas automáticas locales y en CI.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Backups locales</w:t>
      </w:r>
      <w:r w:rsidDel="00000000" w:rsidR="00000000" w:rsidRPr="00000000">
        <w:rPr>
          <w:sz w:val="24"/>
          <w:szCs w:val="24"/>
          <w:rtl w:val="0"/>
        </w:rPr>
        <w:t xml:space="preserve">: snapshots de la base antes de UAT/entrega.</w:t>
        <w:br w:type="textWrapping"/>
        <w:t xml:space="preserve"> Seguridad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gestión de riesgo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de contingencia</w:t>
      </w:r>
      <w:r w:rsidDel="00000000" w:rsidR="00000000" w:rsidRPr="00000000">
        <w:rPr>
          <w:sz w:val="24"/>
          <w:szCs w:val="24"/>
          <w:rtl w:val="0"/>
        </w:rPr>
        <w:t xml:space="preserve"> (si un miembro clave queda fuera): identificar “backups” y entrenamiento cruzado (pair-programming) desde mitad del proyecto. 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Documentación y 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Actas y DECISION LOG</w:t>
      </w:r>
      <w:r w:rsidDel="00000000" w:rsidR="00000000" w:rsidRPr="00000000">
        <w:rPr>
          <w:sz w:val="24"/>
          <w:szCs w:val="24"/>
          <w:rtl w:val="0"/>
        </w:rPr>
        <w:t xml:space="preserve">: cada cambio de alcance debe registrarse con fecha y responsable.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Commits y PRs</w:t>
      </w:r>
      <w:r w:rsidDel="00000000" w:rsidR="00000000" w:rsidRPr="00000000">
        <w:rPr>
          <w:sz w:val="24"/>
          <w:szCs w:val="24"/>
          <w:rtl w:val="0"/>
        </w:rPr>
        <w:t xml:space="preserve">: exigir mensajes claros y relacionar con issue ID; usar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GitHub Insights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git shortlog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para evidencia de contribución.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y defensa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Priorizar demo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completo mínimo</w:t>
      </w:r>
      <w:r w:rsidDel="00000000" w:rsidR="00000000" w:rsidRPr="00000000">
        <w:rPr>
          <w:sz w:val="24"/>
          <w:szCs w:val="24"/>
          <w:rtl w:val="0"/>
        </w:rPr>
        <w:t xml:space="preserve"> y la evidencia que lo respalde (video + capturas + Postman collection). Explicar claramente lo que quedó pendiente y plan de corrección.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Formación y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Breves sesiones internas (30–45 min) sobre Docker Compose, Postman y ejecución de la Postman Collection — indispensables antes de UAT.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