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td08pfwpl5c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570" w:tblpY="0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360"/>
        <w:gridCol w:w="6285"/>
        <w:tblGridChange w:id="0">
          <w:tblGrid>
            <w:gridCol w:w="3360"/>
            <w:gridCol w:w="62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 completado la definición del Documento de Especificación de Requerimientos (ERS) del proyecto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“CRM Flota PepsiCo – Registro Vehicular”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que incluye: propósito, alcance, funcionalidades (F-01 a F-11), clases de usuario, requerimientos funcionales y no funcionales, reglas de negocio, casos de uso, máquina de estados y glosario. En el ERS también se establecen criterios de calidad (checklist OWASP básico, pruebas unitarias/integración/E2E, revisiones de código) y objetivos de rendimiento (p95 CRUD críticos &lt; 1 s, p95 reportes &lt; 5 s). Horizonte temporal establecido: versión funcional en 12 semanas.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Consolidar el levantamiento de requerimientos funcionales del sistema CRM.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Definir la arquitectura tecnológica y los diagramas base.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Establecer una planificación formal (Plan de Proyecto y Gantt).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Implementar las primeras funcionalidades del sistema (login y registro de vehículos).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mantiene la metodología tradicional (en cascada), con fases secuenciales: análisis, diseño, desarrollo, pruebas y cierre.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incorporó una práctica complementaria de seguimiento iterativo semanal para detección temprana de desviaciones, sin modificar el enfoque lineal.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Diagrama de Estados + ER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C4 (Contexto y Contenedores)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Diagrama de Despliegue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Justificación Técnica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Árbol de Utilidad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Matriz de Riesgos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Plan de pruebas IniciaL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ERS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Plan de Proyecto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Modelo To Be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color w:val="595959"/>
          <w:sz w:val="24"/>
          <w:szCs w:val="24"/>
        </w:rPr>
      </w:pPr>
      <w:r w:rsidDel="00000000" w:rsidR="00000000" w:rsidRPr="00000000">
        <w:rPr>
          <w:i w:val="1"/>
          <w:color w:val="548dd4"/>
          <w:sz w:val="20"/>
          <w:szCs w:val="20"/>
        </w:rPr>
        <w:drawing>
          <wp:inline distB="114300" distT="114300" distL="114300" distR="114300">
            <wp:extent cx="5399730" cy="1981200"/>
            <wp:effectExtent b="0" l="0" r="0" t="0"/>
            <wp:docPr id="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47270" l="2195" r="3457" t="3746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id w:val="26999199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-645" w:tblpY="0"/>
            <w:tblW w:w="9165.0" w:type="dxa"/>
            <w:jc w:val="left"/>
            <w:tblInd w:w="-572.0" w:type="dxa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9165"/>
            <w:tblGridChange w:id="0">
              <w:tblGrid>
                <w:gridCol w:w="91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rPr>
                    <w:b w:val="1"/>
                    <w:color w:val="1f3864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28"/>
                    <w:szCs w:val="28"/>
                    <w:rtl w:val="0"/>
                  </w:rPr>
                  <w:t xml:space="preserve">2. Monitoreo del Plan de Trabajo 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shd w:fill="d9e2f3" w:val="clear"/>
                <w:vAlign w:val="center"/>
              </w:tcPr>
              <w:p w:rsidR="00000000" w:rsidDel="00000000" w:rsidP="00000000" w:rsidRDefault="00000000" w:rsidRPr="00000000" w14:paraId="00000027">
                <w:pPr>
                  <w:jc w:val="both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Examina cuidadosamente tu plan de trabajo, enfocándote especialmente en la columna de estado de avance y ajustes.</w:t>
                </w:r>
              </w:p>
            </w:tc>
          </w:tr>
        </w:tbl>
      </w:sdtContent>
    </w:sdt>
    <w:p w:rsidR="00000000" w:rsidDel="00000000" w:rsidP="00000000" w:rsidRDefault="00000000" w:rsidRPr="00000000" w14:paraId="0000002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1080"/>
        <w:gridCol w:w="1275"/>
        <w:gridCol w:w="1275"/>
        <w:gridCol w:w="1275"/>
        <w:gridCol w:w="1275"/>
        <w:gridCol w:w="1425"/>
        <w:gridCol w:w="855"/>
        <w:tblGridChange w:id="0">
          <w:tblGrid>
            <w:gridCol w:w="2025"/>
            <w:gridCol w:w="1080"/>
            <w:gridCol w:w="1275"/>
            <w:gridCol w:w="1275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Análisis de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Levantamiento y validación de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Reuniones con patrocinador, documento 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Benjamín Briceño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Validación completada con PepsiCo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Diseño del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Modelado de datos, arquitectura, mockups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Herramientas Figma, Draw.io, PostgreSQL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Alexis Martínez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Diseño validado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Desarrollo Front-End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Módulos login, registro,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VSCode, React, control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Joaquín Parada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Avance del 60%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Ajuste menor en cronograma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Desarrollo Back-End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API, base de datos, endpoints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Node.js, Express, PostgreSQL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Benjamín Briceño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Coordinado con Front-End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Reorganización tareas paralelas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Pruebas unitarias e integración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Plan de pruebas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Jest, Postman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Alexis Martínez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En preparación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Reprogramado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Documentación técnica y manuales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Elaboración de manuales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Word, Markdown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Pendiente de cierre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6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Factores que han facilitado el desarrollo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Definición clara del alcance desde el acta y plan de proyecto.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Comunicación efectiva entre los integrantes mediante reuniones semanales.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Asignación precisa de roles y responsabilidades (RACI).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Factores que han dificultado el desarrollo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Disponibilidad limitada de tiempo por práctica laboral/profesional.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Retrasos leves en integración de Front–Back por coordinación de entornos locales.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Ajuste temporal en “Pruebas de integración” para posterior a la finalización completa del desarrollo de back-end.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Se eliminó la “integración con SAP” en esta versión, dado que fue clasificada como fuera del alcance v1 según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Desarrollo: retrasado por confirmación y verificación de diseño y chequeo de factibilidad de arquitectura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Pruebas de integración y documentación final: retrasadas por dependencias del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4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BUNJGuR3w3lwYpg1+KdImK/OA==">CgMxLjAaHwoBMBIaChgICVIUChJ0YWJsZS5rcDl3bmZudHpqOW0yDmgudGQwOHBmd3BsNWN4OAByITFQVmtCUzQ1ZHVfeFN3UlFtaUViSDlaOUJuMV9BUEh6eQ==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