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Plan de Calidad y Costes</w:t>
      </w:r>
    </w:p>
    <w:p w:rsidR="00000000" w:rsidDel="00000000" w:rsidP="00000000" w:rsidRDefault="00000000" w:rsidRPr="00000000" w14:paraId="0000000B">
      <w:pPr>
        <w:spacing w:line="240" w:lineRule="auto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Proyecto PepsiCo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[29/09/2025]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line="240" w:lineRule="auto"/>
        <w:rPr>
          <w:rFonts w:ascii="Calibri" w:cs="Calibri" w:eastAsia="Calibri" w:hAnsi="Calibri"/>
          <w:b w:val="1"/>
          <w:color w:val="0b539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b5394"/>
          <w:rtl w:val="0"/>
        </w:rPr>
        <w:t xml:space="preserve">Tabla de contenido</w:t>
      </w:r>
    </w:p>
    <w:sdt>
      <w:sdtPr>
        <w:id w:val="-91521027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contenido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sqf7qlvteh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y7wijkebub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dhn4n61qji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Aprobaciones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5bgydf4q0i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dcsv3yuqhs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Estándares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wo8w9oyij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Métricas y umbrales (definición, medición, control)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doci5v16cu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Plan de pruebas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n4s0ymr8h8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Configuración y cambios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mamt9texmj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E. Entregables de calidad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tjui2iy8l0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de Costos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2q7s060dpc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Supuestos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uukzmlaabc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Horas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uuwpog6hgu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Riesgos de costo/calidad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tl2x3xj83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Costos por categoría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jlt3623bvu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Cierre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tabs>
          <w:tab w:val="left" w:leader="none" w:pos="5880"/>
        </w:tabs>
        <w:spacing w:after="280" w:before="280" w:line="240" w:lineRule="auto"/>
        <w:rPr/>
      </w:pPr>
      <w:bookmarkStart w:colFirst="0" w:colLast="0" w:name="_xsqf7qlvteh3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365f91"/>
          <w:rtl w:val="0"/>
        </w:rPr>
        <w:t xml:space="preserve">Historial de Versiones</w:t>
      </w:r>
      <w:r w:rsidDel="00000000" w:rsidR="00000000" w:rsidRPr="00000000">
        <w:rPr>
          <w:rtl w:val="0"/>
        </w:rPr>
        <w:tab/>
      </w:r>
    </w:p>
    <w:tbl>
      <w:tblPr>
        <w:tblStyle w:val="Table1"/>
        <w:tblW w:w="88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0"/>
        <w:gridCol w:w="1185"/>
        <w:gridCol w:w="3330"/>
        <w:gridCol w:w="3255"/>
        <w:tblGridChange w:id="0">
          <w:tblGrid>
            <w:gridCol w:w="1080"/>
            <w:gridCol w:w="1185"/>
            <w:gridCol w:w="3330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29-09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Benjamin Briceño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DuocUC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2"/>
        <w:spacing w:after="280" w:before="280" w:line="240" w:lineRule="auto"/>
        <w:rPr>
          <w:rFonts w:ascii="Calibri" w:cs="Calibri" w:eastAsia="Calibri" w:hAnsi="Calibri"/>
          <w:b w:val="1"/>
          <w:color w:val="365f91"/>
        </w:rPr>
      </w:pPr>
      <w:bookmarkStart w:colFirst="0" w:colLast="0" w:name="_ly7wijkebub5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365f91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DuocUC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Vehicular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de preparación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29-09-25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PepsiCo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PepsiCo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Gerente / Líder de Proyecto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Benjamin Briceño</w:t>
            </w:r>
          </w:p>
        </w:tc>
      </w:tr>
    </w:tbl>
    <w:p w:rsidR="00000000" w:rsidDel="00000000" w:rsidP="00000000" w:rsidRDefault="00000000" w:rsidRPr="00000000" w14:paraId="00000060">
      <w:pPr>
        <w:pStyle w:val="Heading2"/>
        <w:spacing w:after="280" w:before="280" w:line="240" w:lineRule="auto"/>
        <w:rPr>
          <w:rFonts w:ascii="Calibri" w:cs="Calibri" w:eastAsia="Calibri" w:hAnsi="Calibri"/>
          <w:b w:val="1"/>
          <w:color w:val="365f91"/>
        </w:rPr>
      </w:pPr>
      <w:bookmarkStart w:colFirst="0" w:colLast="0" w:name="_7dhn4n61qjik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365f91"/>
          <w:rtl w:val="0"/>
        </w:rPr>
        <w:t xml:space="preserve">Aprobaciones</w:t>
      </w:r>
    </w:p>
    <w:tbl>
      <w:tblPr>
        <w:tblStyle w:val="Table3"/>
        <w:tblW w:w="87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1559"/>
        <w:gridCol w:w="1985"/>
        <w:gridCol w:w="850"/>
        <w:gridCol w:w="2410"/>
        <w:tblGridChange w:id="0">
          <w:tblGrid>
            <w:gridCol w:w="1985"/>
            <w:gridCol w:w="1559"/>
            <w:gridCol w:w="1985"/>
            <w:gridCol w:w="850"/>
            <w:gridCol w:w="24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Departamento u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Benjamin Briceño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Lider de Proyecto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Duocuc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29-09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line="276" w:lineRule="auto"/>
        <w:rPr>
          <w:rFonts w:ascii="Calibri" w:cs="Calibri" w:eastAsia="Calibri" w:hAnsi="Calibri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</w:rPr>
      </w:pPr>
      <w:bookmarkStart w:colFirst="0" w:colLast="0" w:name="_5bgydf4q0ik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365f91"/>
          <w:sz w:val="32"/>
          <w:szCs w:val="32"/>
          <w:rtl w:val="0"/>
        </w:rPr>
        <w:t xml:space="preserve">Propósit</w:t>
      </w:r>
      <w:r w:rsidDel="00000000" w:rsidR="00000000" w:rsidRPr="00000000">
        <w:rPr>
          <w:rFonts w:ascii="Calibri" w:cs="Calibri" w:eastAsia="Calibri" w:hAnsi="Calibri"/>
          <w:b w:val="1"/>
          <w:color w:val="365f91"/>
          <w:rtl w:val="0"/>
        </w:rPr>
        <w:t xml:space="preserve">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Establecer cómo se garantiza y demuestra, con evidencia verificable, que el CRM cumple las metas de calidad comprometidas. El alcance se restringe a v1 sin integración ERP/SAP, registrando únicamente el Nº de OC en los flujos de Compras/Stock. El entorno de trabajo es QA/Demo con datos sintéticos. Este plan define estándares, métricas, pruebas, control de cambios, entregables de calidad y el control de costos bajo los supuestos operativos del proyecto.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b w:val="1"/>
          <w:color w:val="365f9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32"/>
          <w:szCs w:val="32"/>
          <w:rtl w:val="0"/>
        </w:rPr>
        <w:br w:type="textWrapping"/>
        <w:t xml:space="preserve">Plan de calidad</w:t>
      </w:r>
    </w:p>
    <w:p w:rsidR="00000000" w:rsidDel="00000000" w:rsidP="00000000" w:rsidRDefault="00000000" w:rsidRPr="00000000" w14:paraId="00000082">
      <w:pPr>
        <w:pStyle w:val="Heading3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bookmarkStart w:colFirst="0" w:colLast="0" w:name="_qdcsv3yuqhs6" w:id="5"/>
      <w:bookmarkEnd w:id="5"/>
      <w:r w:rsidDel="00000000" w:rsidR="00000000" w:rsidRPr="00000000">
        <w:rPr>
          <w:rtl w:val="0"/>
        </w:rPr>
        <w:t xml:space="preserve">Estándares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ISO/IEC 25010</w:t>
      </w:r>
      <w:r w:rsidDel="00000000" w:rsidR="00000000" w:rsidRPr="00000000">
        <w:rPr>
          <w:rtl w:val="0"/>
        </w:rPr>
        <w:t xml:space="preserve">: adecuación funcional (UC/ERS), rendimiento/eficiencia, compatibilidad (web responsiva), usabilidad, fiabilidad (uptime), seguridad (auth/RBAC/validación), mantenibilidad (revisión por pares, pruebas) y portabilidad (despliegue reproducible en QA).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OWASP</w:t>
      </w:r>
      <w:r w:rsidDel="00000000" w:rsidR="00000000" w:rsidRPr="00000000">
        <w:rPr>
          <w:rtl w:val="0"/>
        </w:rPr>
        <w:t xml:space="preserve">: Autenticación robusta y almacenamiento seguro de credenciales, RBAC por rol, validación de entrada en servidor y cliente, límites de subida de archivos (tipo/tamaño/extensión), TLS en tránsito y auditoría de acciones críticas. La aceptación se bloquea ante hallazgos críticos/altos. </w:t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Proceso de ingeniería trazable:</w:t>
      </w:r>
      <w:r w:rsidDel="00000000" w:rsidR="00000000" w:rsidRPr="00000000">
        <w:rPr>
          <w:rtl w:val="0"/>
        </w:rPr>
        <w:t xml:space="preserve"> PR con code review obligatorio, prueba unitaria/integración/E2E en CI, checklist de liberación (evidencias de pruebas, reporte de seguridad, validación de umbrales p95, smoke) y registro de decisiones técnicas (ADR) para mantener mantenibilidad y trazabilidad.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vwo8w9oyijc" w:id="6"/>
      <w:bookmarkEnd w:id="6"/>
      <w:r w:rsidDel="00000000" w:rsidR="00000000" w:rsidRPr="00000000">
        <w:rPr>
          <w:rtl w:val="0"/>
        </w:rPr>
        <w:t xml:space="preserve">Métricas y umbrales (definición, medición, control)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Disponibilidad: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Uptime horario operativo ≥ 99%. Fuente: healthchecks y logs de disponibilidad; consolidado semanal. Umbral de alerta 99.3%. Acciones: RCA, hardening y test de resiliencia. 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Rendimiento:</w:t>
      </w:r>
      <w:r w:rsidDel="00000000" w:rsidR="00000000" w:rsidRPr="00000000">
        <w:rPr>
          <w:rtl w:val="0"/>
        </w:rPr>
        <w:t xml:space="preserve"> p95 reportes/KPIs &lt; 5 s y p95 CRUD críticos &lt; 1 s. Medición: k6 + métricas de aplicación sobre dataset sintético; rutas: listados con filtros, generación de reportes y endpoints CRUD de OT/Inventario. Acciones si se excede: índices y EXPLAIN, paginación y caching selectivo, reducción de payload y lazy-load de adjuntos. 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Funcionalidad: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 90% UAT aprobado (casos de aceptación mapeados a UC/ERS). Acciones: bloqueo de liberación bajo umbral; priorización de brechas de negocio. </w:t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Cobertura de pruebas: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 60% en módulos críticos (agenda anti-solape, estados/pausas, inventario/solicitudes, firma digital). Umbral no negociable para merge a main. </w:t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Defectos en salida:</w:t>
      </w:r>
      <w:r w:rsidDel="00000000" w:rsidR="00000000" w:rsidRPr="00000000">
        <w:rPr>
          <w:rtl w:val="0"/>
        </w:rPr>
        <w:t xml:space="preserve"> 0 críticos abiertos en cada liberación candidata.</w:t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Usabilidad: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 90% de éxito en tareas clave por rol (recepción, jefe de taller, mecánico, chofer, supervisor) mediante pruebas moderadas guiadas.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bookmarkStart w:colFirst="0" w:colLast="0" w:name="_qdoci5v16cuj" w:id="7"/>
      <w:bookmarkEnd w:id="7"/>
      <w:r w:rsidDel="00000000" w:rsidR="00000000" w:rsidRPr="00000000">
        <w:rPr>
          <w:rtl w:val="0"/>
        </w:rPr>
        <w:t xml:space="preserve">Plan de pruebas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Plan de Pruebas Inicial (28/09/2025): documento que define objetivo y alcance de la validación E2E en QA/Demo con datos sintéticos, cubre F-01…F-11 del ERS, fija entorno N-2 + PostgreSQL, y consolida criterios de entrada/salida, trazabilidad, casos y datos iniciales, métricas y riesgos; queda como referencia única para la ejecución de pruebas. </w:t>
      </w:r>
    </w:p>
    <w:p w:rsidR="00000000" w:rsidDel="00000000" w:rsidP="00000000" w:rsidRDefault="00000000" w:rsidRPr="00000000" w14:paraId="00000099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nn4s0ymr8h8o" w:id="8"/>
      <w:bookmarkEnd w:id="8"/>
      <w:r w:rsidDel="00000000" w:rsidR="00000000" w:rsidRPr="00000000">
        <w:rPr>
          <w:rtl w:val="0"/>
        </w:rPr>
        <w:t xml:space="preserve">Configuración y cambios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Repositorios y ramas: </w:t>
      </w:r>
      <w:r w:rsidDel="00000000" w:rsidR="00000000" w:rsidRPr="00000000">
        <w:rPr>
          <w:rtl w:val="0"/>
        </w:rPr>
        <w:t xml:space="preserve">Uso de Git.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b w:val="1"/>
          <w:rtl w:val="0"/>
        </w:rPr>
        <w:t xml:space="preserve">Control de cambios</w:t>
      </w:r>
      <w:r w:rsidDel="00000000" w:rsidR="00000000" w:rsidRPr="00000000">
        <w:rPr>
          <w:rtl w:val="0"/>
        </w:rPr>
        <w:t xml:space="preserve">: Todo cambio que comprometa umbrales de calidad se pospone a v2.</w:t>
      </w:r>
    </w:p>
    <w:p w:rsidR="00000000" w:rsidDel="00000000" w:rsidP="00000000" w:rsidRDefault="00000000" w:rsidRPr="00000000" w14:paraId="0000009C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cmamt9texmjr" w:id="9"/>
      <w:bookmarkEnd w:id="9"/>
      <w:r w:rsidDel="00000000" w:rsidR="00000000" w:rsidRPr="00000000">
        <w:rPr>
          <w:rtl w:val="0"/>
        </w:rPr>
        <w:t xml:space="preserve">Entregables de calidad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ERS</w:t>
      </w:r>
      <w:r w:rsidDel="00000000" w:rsidR="00000000" w:rsidRPr="00000000">
        <w:rPr>
          <w:rtl w:val="0"/>
        </w:rPr>
        <w:t xml:space="preserve"> final; arquitectura y modelo E-R; plan de pruebas con evidencias CI; reporte de rendimiento; checklist OWASP con resolución de hallazgos; manuales de usuario y administrador; Acta de Aceptación/Cierre con métricas en umbral y trazabilidad.</w:t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3tjui2iy8l0e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365f91"/>
          <w:rtl w:val="0"/>
        </w:rPr>
        <w:t xml:space="preserve">Plan de Costos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q2q7s060dpce" w:id="11"/>
      <w:bookmarkEnd w:id="11"/>
      <w:r w:rsidDel="00000000" w:rsidR="00000000" w:rsidRPr="00000000">
        <w:rPr>
          <w:rtl w:val="0"/>
        </w:rPr>
        <w:t xml:space="preserve">Supuestos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Calendario:</w:t>
      </w:r>
      <w:r w:rsidDel="00000000" w:rsidR="00000000" w:rsidRPr="00000000">
        <w:rPr>
          <w:rtl w:val="0"/>
        </w:rPr>
        <w:t xml:space="preserve"> 12 semanas totales con 3 de Análisis + 6 de Desarrollo + 3 de Cierre (secuenciales/solapables según EDT), participación de todo el equipo.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Jornada: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4 h diarias por persona, de lunes a viernes (sin fines de semana) ⇒ 20 h/sem-persona.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Equipo: </w:t>
      </w:r>
      <w:r w:rsidDel="00000000" w:rsidR="00000000" w:rsidRPr="00000000">
        <w:rPr>
          <w:rtl w:val="0"/>
        </w:rPr>
        <w:t xml:space="preserve">3 integrantes preasignados conforme a Acta (equipo reducido de desarrolladores internos).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b w:val="1"/>
          <w:rtl w:val="0"/>
        </w:rPr>
        <w:t xml:space="preserve">Entorno/stack: </w:t>
      </w:r>
      <w:r w:rsidDel="00000000" w:rsidR="00000000" w:rsidRPr="00000000">
        <w:rPr>
          <w:rtl w:val="0"/>
        </w:rPr>
        <w:t xml:space="preserve">open-source en QA/Demo local (Docker); datos sintéticos; sin despliegue productivo.</w:t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bookmarkStart w:colFirst="0" w:colLast="0" w:name="_yuukzmlaabcl" w:id="12"/>
      <w:bookmarkEnd w:id="12"/>
      <w:r w:rsidDel="00000000" w:rsidR="00000000" w:rsidRPr="00000000">
        <w:rPr>
          <w:rtl w:val="0"/>
        </w:rPr>
        <w:t xml:space="preserve">Horas</w:t>
      </w:r>
    </w:p>
    <w:tbl>
      <w:tblPr>
        <w:tblStyle w:val="Table4"/>
        <w:tblW w:w="10725.0" w:type="dxa"/>
        <w:jc w:val="left"/>
        <w:tblInd w:w="-9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60"/>
        <w:gridCol w:w="2160"/>
        <w:gridCol w:w="3315"/>
        <w:gridCol w:w="3090"/>
        <w:tblGridChange w:id="0">
          <w:tblGrid>
            <w:gridCol w:w="2160"/>
            <w:gridCol w:w="2160"/>
            <w:gridCol w:w="3315"/>
            <w:gridCol w:w="309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Horas/sem-persona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Horas totales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Análisis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60h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120h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60h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240h</w:t>
            </w:r>
          </w:p>
        </w:tc>
      </w:tr>
    </w:tbl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tuuwpog6hgug" w:id="13"/>
      <w:bookmarkEnd w:id="13"/>
      <w:r w:rsidDel="00000000" w:rsidR="00000000" w:rsidRPr="00000000">
        <w:rPr>
          <w:rtl w:val="0"/>
        </w:rPr>
        <w:t xml:space="preserve">Riesgos de costo/calidad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Solo se considera Control de cambio como riesgo de costo/calidad relevante. La incorporación tardía de requerimientos no comprometidos que impacten cronograma o esfuerzo. 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Mitigación:</w:t>
      </w:r>
      <w:r w:rsidDel="00000000" w:rsidR="00000000" w:rsidRPr="00000000">
        <w:rPr>
          <w:rtl w:val="0"/>
        </w:rPr>
        <w:t xml:space="preserve"> comité de cambios, análisis de impacto y posposición.</w:t>
      </w:r>
    </w:p>
    <w:p w:rsidR="00000000" w:rsidDel="00000000" w:rsidP="00000000" w:rsidRDefault="00000000" w:rsidRPr="00000000" w14:paraId="000000B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1tl2x3xj83o" w:id="14"/>
      <w:bookmarkEnd w:id="14"/>
      <w:r w:rsidDel="00000000" w:rsidR="00000000" w:rsidRPr="00000000">
        <w:rPr>
          <w:rtl w:val="0"/>
        </w:rPr>
        <w:t xml:space="preserve">Costos por categoría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RR.HH.</w:t>
      </w:r>
      <w:r w:rsidDel="00000000" w:rsidR="00000000" w:rsidRPr="00000000">
        <w:rPr>
          <w:rtl w:val="0"/>
        </w:rPr>
        <w:t xml:space="preserve">: Σ(</w:t>
      </w:r>
      <w:r w:rsidDel="00000000" w:rsidR="00000000" w:rsidRPr="00000000">
        <w:rPr>
          <w:b w:val="1"/>
          <w:rtl w:val="0"/>
        </w:rPr>
        <w:t xml:space="preserve">240 h</w:t>
      </w:r>
      <w:r w:rsidDel="00000000" w:rsidR="00000000" w:rsidRPr="00000000">
        <w:rPr>
          <w:rtl w:val="0"/>
        </w:rPr>
        <w:t xml:space="preserve"> × tarifa)</w:t>
      </w:r>
      <w:commentRangeStart w:id="0"/>
      <w:r w:rsidDel="00000000" w:rsidR="00000000" w:rsidRPr="00000000">
        <w:rPr>
          <w:rtl w:val="0"/>
        </w:rPr>
        <w:t xml:space="preserve"> (No hay tarifa)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Infra QA/Demo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Herramientas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Componentes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32"/>
          <w:szCs w:val="32"/>
        </w:rPr>
      </w:pPr>
      <w:bookmarkStart w:colFirst="0" w:colLast="0" w:name="_djlt3623bvuj" w:id="15"/>
      <w:bookmarkEnd w:id="15"/>
      <w:r w:rsidDel="00000000" w:rsidR="00000000" w:rsidRPr="00000000">
        <w:rPr>
          <w:rFonts w:ascii="Calibri" w:cs="Calibri" w:eastAsia="Calibri" w:hAnsi="Calibri"/>
          <w:b w:val="1"/>
          <w:color w:val="365f91"/>
          <w:sz w:val="32"/>
          <w:szCs w:val="32"/>
          <w:rtl w:val="0"/>
        </w:rPr>
        <w:t xml:space="preserve">Cierre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La aceptación requiere evidencias de: disponibilidad, reportes &lt; 5 s, CRUD &lt; 1 s, UAT aprobado, OWASP básico sin hallazgos críticos/altos, checklist de liberación completo y entregables de calidad archivados.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ENJAMIN . BRICENO SEGUEL" w:id="0" w:date="2025-10-03T19:44:45Z"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