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Plan de Pruebas Inicial</w:t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Proyecto “PepsiCo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[29/09/2025]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240" w:lineRule="auto"/>
        <w:rPr>
          <w:rFonts w:ascii="Calibri" w:cs="Calibri" w:eastAsia="Calibri" w:hAnsi="Calibri"/>
          <w:b w:val="1"/>
          <w:color w:val="0b539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b5394"/>
          <w:rtl w:val="0"/>
        </w:rPr>
        <w:t xml:space="preserve">Tabla de contenido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dt>
      <w:sdtPr>
        <w:id w:val="-195639085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sqf7qlvteh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Historial de Versiones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y7wijkebub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dhn4n61qji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Aprobaciones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mpc9twonav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y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6jsuc6054o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Ítems a probar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m4m8429343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Entorno de prueba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qthh6rvdpy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prueba iniciales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mr3kbou787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Matriz de trazabilidad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un6iexurpj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 prueba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nmkrtz4slo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Métricas y reporte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mr9jwj1qji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Matriz de Riesgos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tabs>
          <w:tab w:val="left" w:leader="none" w:pos="5880"/>
        </w:tabs>
        <w:spacing w:after="280" w:before="280" w:line="240" w:lineRule="auto"/>
        <w:rPr/>
      </w:pPr>
      <w:bookmarkStart w:colFirst="0" w:colLast="0" w:name="_xsqf7qlvteh3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65f91"/>
          <w:rtl w:val="0"/>
        </w:rPr>
        <w:t xml:space="preserve">Historial de Versiones</w:t>
      </w:r>
      <w:r w:rsidDel="00000000" w:rsidR="00000000" w:rsidRPr="00000000">
        <w:rPr>
          <w:rtl w:val="0"/>
        </w:rPr>
        <w:tab/>
      </w:r>
    </w:p>
    <w:tbl>
      <w:tblPr>
        <w:tblStyle w:val="Table1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1185"/>
        <w:gridCol w:w="3330"/>
        <w:gridCol w:w="3255"/>
        <w:tblGridChange w:id="0">
          <w:tblGrid>
            <w:gridCol w:w="1080"/>
            <w:gridCol w:w="1185"/>
            <w:gridCol w:w="3330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29-09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Benjamin Briceño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2"/>
        <w:spacing w:after="280" w:before="280" w:line="240" w:lineRule="auto"/>
        <w:rPr>
          <w:rFonts w:ascii="Calibri" w:cs="Calibri" w:eastAsia="Calibri" w:hAnsi="Calibri"/>
          <w:b w:val="1"/>
          <w:color w:val="365f91"/>
        </w:rPr>
      </w:pPr>
      <w:bookmarkStart w:colFirst="0" w:colLast="0" w:name="_ly7wijkebub5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65f91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DuocUC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Vehicular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29-09-25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PepsiCo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PepsiCo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 / Líder de Proyecto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Benjamin Briceño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spacing w:after="280" w:before="280" w:line="240" w:lineRule="auto"/>
        <w:rPr>
          <w:rFonts w:ascii="Calibri" w:cs="Calibri" w:eastAsia="Calibri" w:hAnsi="Calibri"/>
          <w:b w:val="1"/>
          <w:color w:val="365f91"/>
        </w:rPr>
      </w:pPr>
      <w:bookmarkStart w:colFirst="0" w:colLast="0" w:name="_7dhn4n61qjik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365f91"/>
          <w:rtl w:val="0"/>
        </w:rPr>
        <w:t xml:space="preserve">Aprobaciones</w:t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Benjamin Briceño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 de Proyecto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Duocuc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29-09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line="276" w:lineRule="auto"/>
        <w:rPr>
          <w:rFonts w:ascii="Calibri" w:cs="Calibri" w:eastAsia="Calibri" w:hAnsi="Calibri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rFonts w:ascii="Calibri" w:cs="Calibri" w:eastAsia="Calibri" w:hAnsi="Calibri"/>
          <w:b w:val="1"/>
          <w:color w:val="0b5394"/>
        </w:rPr>
      </w:pPr>
      <w:bookmarkStart w:colFirst="0" w:colLast="0" w:name="_nmpc9twonav8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b5394"/>
          <w:rtl w:val="0"/>
        </w:rPr>
        <w:t xml:space="preserve">Objetivo y alcance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Validar, en un ciclo inicial, la corrección funcional y el encadenamiento end‑to‑end de los flujos centrales del CRM Flota PepsiCo – Registro Vehicular en entorno QA/Demo con datos sintéticos. La cobertura considera F‑01…F‑11 del ERS (agenda, OT con evidencias mínimas, estados/pausas, repuestos/Compras sin ERP, firma de salida, emergencias, notificaciones in‑app, búsqueda/filtros y exportación, reportes/KPIs, administración de usuarios/roles, y gestión de clientes/contactos).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rFonts w:ascii="Calibri" w:cs="Calibri" w:eastAsia="Calibri" w:hAnsi="Calibri"/>
          <w:b w:val="1"/>
          <w:color w:val="0b5394"/>
        </w:rPr>
      </w:pPr>
      <w:bookmarkStart w:colFirst="0" w:colLast="0" w:name="_m6jsuc6054ok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b5394"/>
          <w:rtl w:val="0"/>
        </w:rPr>
        <w:t xml:space="preserve">Ítems a probar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F-01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Agenda de ingresos sin solapamientos (vehículo/taller, vista calendario).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F-02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Gestión de OT con adjuntos (ingreso técnico).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F-03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Asignación de mecánico/recursos y estados con pausas/reanudación.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F-04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Inventario de repuestos por taller; consumo por OT; solicitud a Compras.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F-05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Firma digital de ingreso/salida de vehículo.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F-06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Emergencias: creación, geolocalización textual, arribo y cierre.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F-07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Notificaciones in-app.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F-08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Búsquedas/filtros y exportación (CSV/PDF) en listados.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F-09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Reportes/KPIs (Supervisor).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F-10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Administración de usuarios/roles.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F-11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Gestión de clientes/contactos (ABM, vinculación con vehículos/OT e historial)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>
          <w:rFonts w:ascii="Calibri" w:cs="Calibri" w:eastAsia="Calibri" w:hAnsi="Calibri"/>
          <w:b w:val="1"/>
          <w:color w:val="0b5394"/>
        </w:rPr>
      </w:pPr>
      <w:bookmarkStart w:colFirst="0" w:colLast="0" w:name="_6m4m8429343z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b5394"/>
          <w:rtl w:val="0"/>
        </w:rPr>
        <w:t xml:space="preserve">Entorno de prueba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b w:val="1"/>
          <w:color w:val="0b539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Entorno QA/Demo con datos sintéticos, base de datos PostgreSQL y aplicación web responsiva (navegadores soportados N‑2). El almacenamiento de adjuntos se realiza en el storage del entorno de QA/Demo. No hay dependencias externas obligatorias.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3qthh6rvdpy7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b5394"/>
          <w:rtl w:val="0"/>
        </w:rPr>
        <w:t xml:space="preserve">Casos de prueba iniciales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CP‑01 Login/RBAC: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Autenticación por cada rol (Recepcionista, Mecánico, Jefe, Chofer, Supervisor, Admin) y verificación de acceso a vistas/acciones según permisos. Resultado esperado: redirección por rol y denegación fuera de permiso.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CP‑02 Agenda – anti‑solape: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Crear una reserva A (patente X, taller Y) y luego intentar B en intervalo superpuesto. Esperado: bloqueo de traslape y propuesta de reprogramación.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CP‑03 Ingreso OT con evidencias mínimas: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Crear OT y adjuntar al menos 3 fotos y 1 documento. Esperado: validación de mínimos y creación exitosa vinculada al vehículo.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CP‑04 Asignación y cambio a EN_REPARACIÓN: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Asignar mecánico y bahía a una OT en PENDIENTE y pasar a EN_REPARACIÓN. Esperado: transición válida, notificación al mecánico y bitácora.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CP‑05 Pausa y reanudación: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Registrar una pausa con motivo y luego reanudar. Esperado: el tiempo de pausa no se contabiliza en tiempo de reparación.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CP‑06 Solicitud de Finalizado: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Desde EN_REPARACIÓN, el mecánico solicita finalizado. Esperado: la OT queda pendiente de validación del Jefe (sin cerrar).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CP‑07 QA y Cierre con firma de salida: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Jefe valida evidencias, autoriza FINALIZADO y el Recepcionista obtiene firma de salida para cerrar la OT. Esperado: sin firma, el cierre se bloquea.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CP‑08 Repuestos con stock: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Consumir un repuesto con stock disponible. Esperado: descuenta inventario y queda trazado a la OT.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CP‑09 Repuestos sin stock → Solicitud a Compras: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Intentar consumir un repuesto sin stock. Esperado: creación de Solicitud a Compras con estado y Nº OC de referencia; no se permite stock negativo.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CP‑10 Búsqueda/Exportación: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Filtrar por patente/estado/fechas en un listado y exportar el resultado a CSV/PDF. Esperado: archivo exportado consistente con el filtro 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CP-11 Usabilidad – flujos críticos (automatizado):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Automatizar agenda → ingreso OT → asignación → pausas → solicitud de finalizado → cierre con aserciones de rótulos/placeholder, foco en campos obligatorios, estados habilitado/inhabilitado según RBAC, mensajes de validación visibles/legibles y persistencia de filtros/orden tras recarga. Salida: reporte de aserciones y capturas ante fallo.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CP-12 Usabilidad – accesibilidad básica (automatizado):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Verificar automáticamente que los inputs tengan label asociado, contraste mínimo en elementos interactivos y navegación por teclado en formularios clave (incluido foco visible). Métrica: % de controles con label y % de formularios navegables por teclado. Evidencias: log + capturas.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CP-13 Rendimiento – reportes/KPIs (p95) (automatizado):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Ejecutar 100 solicitudes concurrentes al módulo/endpoint de reportes con dataset sintético representativo; medir p50/p95/p99, throughput y tamaño de respuesta. Criterio: p95 &lt; 5 s; tasa de error &lt; 1%. Salida: CSV de percentiles y gráfico de distribución.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CP-14 Rendimiento – CRUD críticos (p95) (automatizado):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Automatizar alta/edición/listado de OT y consumo de repuestos con 20 usuarios virtuales durante 10 minutos; medir latencias por operación y tasa de error. Criterio: p95 &lt; 1 s en CRUD críticos; error &lt; 1%. Salida: métricas por operación.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CP-15 Seguridad – autorización negativa (RBAC) (automatizado):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Intentos automatizados de acceder a rutas/acciones fuera de permiso (URLs directas y llamadas API) para cada rol. Esperado: 403/redirect y no ejecución de la acción. Salida: matriz rol×recurso con resultado y trazas relevantes.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CP-16 Seguridad – validación de entrada/adjuntos (automatizado):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payloads HTML/JS en campos y metadatos, extensiones no permitidas, tamaños fuera de límite y nombres con caracteres especiales. Esperado: rechazo o escape seguro; hash de archivo; registro en auditoría sin ejecución de contenido. Salida: log PASS/FAIL por caso.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CP-17 Seguridad – sesión y caducidad (automatizado):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Simular inactividad para expiración de sesión; reuso de token tras logout; verificar “remember me” si aplica. Esperado: token inválido y redirección a login; sin acceso a datos post-logout. Salida: evidencias de estado de sesión y respuestas HTTP.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>
          <w:rFonts w:ascii="Calibri" w:cs="Calibri" w:eastAsia="Calibri" w:hAnsi="Calibri"/>
          <w:b w:val="1"/>
          <w:color w:val="0b5394"/>
        </w:rPr>
      </w:pPr>
      <w:bookmarkStart w:colFirst="0" w:colLast="0" w:name="_u8zyq34l9k0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hmr3kbou787b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b5394"/>
          <w:rtl w:val="0"/>
        </w:rPr>
        <w:t xml:space="preserve">Matriz de trazabilidad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970"/>
        <w:gridCol w:w="3090"/>
        <w:gridCol w:w="2850"/>
        <w:tblGridChange w:id="0">
          <w:tblGrid>
            <w:gridCol w:w="2970"/>
            <w:gridCol w:w="3090"/>
            <w:gridCol w:w="285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Funcionalidad (F‑XX)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Caso de Uso relacionado (UC‑XX)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Caso de Prueba (CP‑XX)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F‑01 Agenda sin solape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UC02 Programar ingreso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CP-02 Agenda – anti-solape; CP-11 Usabilidad – flujos críticos (automatizado); CP-12 Usabilidad – accesibilidad (automatizado)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F‑02 OT con adjuntos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UC02 Programar ingreso / UC03 Ingreso no programado / UC08 Adjuntar/consultar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CP-03 Ingreso con evidencias; CP-11; CP-12; CP-14 Rendimiento – CRUD críticos (automatizado)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F‑03 Estados/pausas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UC04 Asignar recursos / UC05 Gestionar estados y pausas / UC06 Diagnóstico y reparación / UC11 Validación y cierre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CP-04 Asignación; CP-05 Pausa/Reanudar; CP-06 Solicitud de Finalizado; CP-11; CP-12; CP-14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F‑04 Repuestos/Compras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UC07 Gestionar repuestos / Compras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CP-08 Consumo con stock; CP-09 Solicitud a Compras; CP-14; CP-16 Seguridad – validación de entrada/adjuntos (automatizado)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F‑05 Firmas/Comprobante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UC12 Entrega/devolución con firma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CP-07 Cierre con firma de salida; CP-11; CP-12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F-06 Emergencias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UC06 Diagnóstico y reparación (extensión Emergencia)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CP-11; CP-12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F-07 Notificaciones in-app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UC09 Notificaciones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CP-11; CP-12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F-08 Búsquedas/Filtros/Exportación (CSV/PDF)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UC02 / UC03 / UC08 (patrón de tablas)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CP-10 Búsqueda/Exportación; CP-11; CP-12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F-09 Reportes/KPIs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UC10 Reportes y KPIs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CP-13 Rendimiento – reportes/KPIs (automatizado); CP-14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F-10 Administración de usuarios/roles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UC13 Administración de usuarios y roles / UC01 Autenticación y gestión de roles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CP-01 Login/RBAC; CP-15 Seguridad – autorización negativa (automatizado)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>
          <w:rFonts w:ascii="Calibri" w:cs="Calibri" w:eastAsia="Calibri" w:hAnsi="Calibri"/>
          <w:b w:val="1"/>
          <w:color w:val="0b5394"/>
        </w:rPr>
      </w:pPr>
      <w:bookmarkStart w:colFirst="0" w:colLast="0" w:name="_yun6iexurpjy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b5394"/>
          <w:rtl w:val="0"/>
        </w:rPr>
        <w:t xml:space="preserve">Datos de prueba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Conjunto mínimo: </w:t>
      </w:r>
      <w:r w:rsidDel="00000000" w:rsidR="00000000" w:rsidRPr="00000000">
        <w:rPr>
          <w:rtl w:val="0"/>
        </w:rPr>
        <w:t xml:space="preserve">10 vehículos (patentes dummy), 1 taller, 6 usuarios (uno por rol), 5 repuestos (3 con stock, 2 sin stock) y un set de adjuntos de ejemplo (imágenes JPEG y un documento PDF por OT). Incluir una OT en cada estado para validar transiciones y una muestra para reportes/KPIs.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>
          <w:rFonts w:ascii="Calibri" w:cs="Calibri" w:eastAsia="Calibri" w:hAnsi="Calibri"/>
          <w:b w:val="1"/>
          <w:color w:val="0b5394"/>
        </w:rPr>
      </w:pPr>
      <w:bookmarkStart w:colFirst="0" w:colLast="0" w:name="_cnmkrtz4slok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b5394"/>
          <w:rtl w:val="0"/>
        </w:rPr>
        <w:t xml:space="preserve">Métricas y reporte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registran la tasa de paso por CP, defectos abiertos por severidad y tiempos p95 de operaciones clave (reportes y CRUD críticos). El informe de salida consolida resultados, evidencias y recomendaciones.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>
          <w:rFonts w:ascii="Calibri" w:cs="Calibri" w:eastAsia="Calibri" w:hAnsi="Calibri"/>
          <w:b w:val="1"/>
          <w:color w:val="0b5394"/>
        </w:rPr>
      </w:pPr>
      <w:bookmarkStart w:colFirst="0" w:colLast="0" w:name="_8mr9jwj1qjiu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b5394"/>
          <w:rtl w:val="0"/>
        </w:rPr>
        <w:t xml:space="preserve">Matriz de Riesgos</w:t>
      </w:r>
    </w:p>
    <w:p w:rsidR="00000000" w:rsidDel="00000000" w:rsidP="00000000" w:rsidRDefault="00000000" w:rsidRPr="00000000" w14:paraId="000000DA">
      <w:pPr>
        <w:rPr/>
      </w:pPr>
      <w:commentRangeStart w:id="0"/>
      <w:r w:rsidDel="00000000" w:rsidR="00000000" w:rsidRPr="00000000">
        <w:rPr>
          <w:rtl w:val="0"/>
        </w:rPr>
        <w:t xml:space="preserve">adjuntar foto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ENJAMIN . BRICENO SEGUEL" w:id="0" w:date="2025-10-03T17:16:26Z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