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5oscura-nfasis61"/>
        <w:tblpPr w:leftFromText="141" w:rightFromText="141" w:vertAnchor="text" w:horzAnchor="margin" w:tblpY="425"/>
        <w:tblW w:w="13887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3470"/>
        <w:gridCol w:w="3969"/>
        <w:gridCol w:w="4111"/>
      </w:tblGrid>
      <w:tr w:rsidR="003E2F89" w:rsidRPr="004A133A" w14:paraId="45A850D0" w14:textId="77777777" w:rsidTr="003B2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DFA3"/>
          </w:tcPr>
          <w:p w14:paraId="68842DFF" w14:textId="77777777" w:rsidR="003E2F89" w:rsidRPr="00905B39" w:rsidRDefault="003E2F89" w:rsidP="003B217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1E58C2B" w14:textId="77777777" w:rsidR="003E2F89" w:rsidRPr="00905B39" w:rsidRDefault="003E2F89" w:rsidP="003B217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05B39">
              <w:rPr>
                <w:rFonts w:ascii="Arial" w:hAnsi="Arial" w:cs="Arial"/>
                <w:color w:val="000000" w:themeColor="text1"/>
                <w:sz w:val="18"/>
                <w:szCs w:val="18"/>
              </w:rPr>
              <w:t>Ámbito / enfoques derechos</w:t>
            </w:r>
          </w:p>
        </w:tc>
        <w:tc>
          <w:tcPr>
            <w:tcW w:w="34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DFA3"/>
          </w:tcPr>
          <w:p w14:paraId="4E3F231D" w14:textId="77777777" w:rsidR="003E2F89" w:rsidRPr="00905B39" w:rsidRDefault="003E2F89" w:rsidP="003B2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732F30A" w14:textId="77777777" w:rsidR="003E2F89" w:rsidRPr="00905B39" w:rsidRDefault="003E2F89" w:rsidP="003B2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05B39">
              <w:rPr>
                <w:rFonts w:ascii="Arial" w:hAnsi="Arial" w:cs="Arial"/>
                <w:color w:val="000000" w:themeColor="text1"/>
                <w:sz w:val="18"/>
                <w:szCs w:val="18"/>
              </w:rPr>
              <w:t>Estatal / público</w:t>
            </w:r>
          </w:p>
        </w:tc>
        <w:tc>
          <w:tcPr>
            <w:tcW w:w="39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DFA3"/>
          </w:tcPr>
          <w:p w14:paraId="28A2A8DE" w14:textId="77777777" w:rsidR="003E2F89" w:rsidRPr="00905B39" w:rsidRDefault="003E2F89" w:rsidP="003B2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3350526" w14:textId="77777777" w:rsidR="003E2F89" w:rsidRPr="00905B39" w:rsidRDefault="003E2F89" w:rsidP="003B2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05B39">
              <w:rPr>
                <w:rFonts w:ascii="Arial" w:hAnsi="Arial" w:cs="Arial"/>
                <w:color w:val="000000" w:themeColor="text1"/>
                <w:sz w:val="18"/>
                <w:szCs w:val="18"/>
              </w:rPr>
              <w:t>Social / privado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7DFA3"/>
          </w:tcPr>
          <w:p w14:paraId="241334A2" w14:textId="77777777" w:rsidR="003E2F89" w:rsidRPr="00905B39" w:rsidRDefault="003E2F89" w:rsidP="003B2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FD6FCAE" w14:textId="77777777" w:rsidR="003E2F89" w:rsidRPr="00905B39" w:rsidRDefault="003E2F89" w:rsidP="003B2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05B39">
              <w:rPr>
                <w:rFonts w:ascii="Arial" w:hAnsi="Arial" w:cs="Arial"/>
                <w:color w:val="000000" w:themeColor="text1"/>
                <w:sz w:val="18"/>
                <w:szCs w:val="18"/>
              </w:rPr>
              <w:t>Mixto (estatal/social)</w:t>
            </w:r>
          </w:p>
        </w:tc>
      </w:tr>
      <w:tr w:rsidR="003E2F89" w:rsidRPr="004A133A" w14:paraId="63831C99" w14:textId="77777777" w:rsidTr="003B2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none" w:sz="0" w:space="0" w:color="auto"/>
            </w:tcBorders>
            <w:shd w:val="clear" w:color="auto" w:fill="F7DFA3"/>
          </w:tcPr>
          <w:p w14:paraId="65311ED7" w14:textId="77777777" w:rsidR="003E2F89" w:rsidRPr="00905B39" w:rsidRDefault="003E2F89" w:rsidP="003B217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7911CC" w14:textId="77777777" w:rsidR="003E2F89" w:rsidRPr="00905B39" w:rsidRDefault="003E2F89" w:rsidP="003B2174">
            <w:pPr>
              <w:rPr>
                <w:rFonts w:ascii="Arial" w:hAnsi="Arial" w:cs="Arial"/>
                <w:sz w:val="18"/>
                <w:szCs w:val="18"/>
              </w:rPr>
            </w:pPr>
          </w:p>
          <w:p w14:paraId="47AC83F8" w14:textId="77777777" w:rsidR="003E2F89" w:rsidRPr="00905B39" w:rsidRDefault="003E2F89" w:rsidP="003B2174">
            <w:pPr>
              <w:rPr>
                <w:rFonts w:ascii="Arial" w:hAnsi="Arial" w:cs="Arial"/>
                <w:sz w:val="18"/>
                <w:szCs w:val="18"/>
              </w:rPr>
            </w:pPr>
            <w:r w:rsidRPr="00905B39">
              <w:rPr>
                <w:rFonts w:ascii="Arial" w:hAnsi="Arial" w:cs="Arial"/>
                <w:color w:val="000000" w:themeColor="text1"/>
                <w:sz w:val="18"/>
                <w:szCs w:val="18"/>
              </w:rPr>
              <w:t>Derechos de igualdad y corresponsabilidad</w:t>
            </w:r>
          </w:p>
        </w:tc>
        <w:tc>
          <w:tcPr>
            <w:tcW w:w="3470" w:type="dxa"/>
            <w:shd w:val="clear" w:color="auto" w:fill="B469FF"/>
          </w:tcPr>
          <w:p w14:paraId="404F9829" w14:textId="77777777" w:rsidR="003E2F89" w:rsidRPr="00FE1490" w:rsidRDefault="003E2F89" w:rsidP="003E2F8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05B39">
              <w:rPr>
                <w:rFonts w:ascii="Arial" w:hAnsi="Arial" w:cs="Arial"/>
                <w:color w:val="000000" w:themeColor="text1"/>
                <w:sz w:val="16"/>
                <w:szCs w:val="16"/>
              </w:rPr>
              <w:t>Iniciativas de origen y con financiamiento estatal, de acceso plural para toda la sociedad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que promueven el </w:t>
            </w:r>
            <w:r w:rsidRPr="00FE1490">
              <w:rPr>
                <w:rFonts w:ascii="Arial" w:hAnsi="Arial" w:cs="Arial"/>
                <w:color w:val="000000" w:themeColor="text1"/>
                <w:sz w:val="16"/>
                <w:szCs w:val="16"/>
              </w:rPr>
              <w:t>fortalecimiento de derechos de igualdad y corresponsabilidad.</w:t>
            </w:r>
          </w:p>
          <w:p w14:paraId="488D3948" w14:textId="77777777" w:rsidR="003E2F89" w:rsidRPr="00905B39" w:rsidRDefault="003E2F89" w:rsidP="003B21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3FED27"/>
          </w:tcPr>
          <w:p w14:paraId="6CDB5792" w14:textId="77777777" w:rsidR="003E2F89" w:rsidRPr="00FE1490" w:rsidRDefault="003E2F89" w:rsidP="003E2F8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0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05B39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Iniciativas de origen y con financiamiento privado; con objetivo / propósito social de prestación de servicios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que promueven el </w:t>
            </w:r>
            <w:r w:rsidRPr="00FE1490">
              <w:rPr>
                <w:rFonts w:ascii="Arial" w:hAnsi="Arial" w:cs="Arial"/>
                <w:color w:val="000000" w:themeColor="text1"/>
                <w:sz w:val="16"/>
                <w:szCs w:val="16"/>
              </w:rPr>
              <w:t>fortalecimiento de derechos de igualdad y corresponsabilidad.</w:t>
            </w:r>
          </w:p>
          <w:p w14:paraId="35BB62C4" w14:textId="77777777" w:rsidR="003E2F89" w:rsidRPr="00905B39" w:rsidRDefault="003E2F89" w:rsidP="003B21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F45AC8"/>
          </w:tcPr>
          <w:p w14:paraId="70C8D43D" w14:textId="77777777" w:rsidR="003E2F89" w:rsidRPr="00FE1490" w:rsidRDefault="003E2F89" w:rsidP="003E2F8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05B39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Iniciativas de origen y con financiamiento mixto: cooperación, apoyo, convenio público-privado para la implementación de iniciativas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que promueven el </w:t>
            </w:r>
            <w:r w:rsidRPr="00FE1490">
              <w:rPr>
                <w:rFonts w:ascii="Arial" w:hAnsi="Arial" w:cs="Arial"/>
                <w:color w:val="000000" w:themeColor="text1"/>
                <w:sz w:val="16"/>
                <w:szCs w:val="16"/>
              </w:rPr>
              <w:t>fortalecimiento de derechos de igualdad y corresponsabilidad.</w:t>
            </w:r>
          </w:p>
        </w:tc>
      </w:tr>
      <w:tr w:rsidR="003E2F89" w:rsidRPr="004A133A" w14:paraId="123F1F6B" w14:textId="77777777" w:rsidTr="003B2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none" w:sz="0" w:space="0" w:color="auto"/>
            </w:tcBorders>
            <w:shd w:val="clear" w:color="auto" w:fill="F7DFA3"/>
          </w:tcPr>
          <w:p w14:paraId="37ECFDE9" w14:textId="77777777" w:rsidR="003E2F89" w:rsidRPr="00905B39" w:rsidRDefault="003E2F89" w:rsidP="003B217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9D5B5CE" w14:textId="77777777" w:rsidR="003E2F89" w:rsidRPr="00905B39" w:rsidRDefault="003E2F89" w:rsidP="003B217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6AC515D" w14:textId="77777777" w:rsidR="003E2F89" w:rsidRDefault="003E2F89" w:rsidP="003B2174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BBA391A" w14:textId="77777777" w:rsidR="003E2F89" w:rsidRPr="00905B39" w:rsidRDefault="003E2F89" w:rsidP="003B217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Derechos </w:t>
            </w:r>
            <w:r w:rsidRPr="00905B39">
              <w:rPr>
                <w:rFonts w:ascii="Arial" w:hAnsi="Arial" w:cs="Arial"/>
                <w:color w:val="000000" w:themeColor="text1"/>
                <w:sz w:val="18"/>
                <w:szCs w:val="18"/>
              </w:rPr>
              <w:t>económicos de las mujeres</w:t>
            </w:r>
          </w:p>
        </w:tc>
        <w:tc>
          <w:tcPr>
            <w:tcW w:w="3470" w:type="dxa"/>
            <w:shd w:val="clear" w:color="auto" w:fill="72E8E5"/>
          </w:tcPr>
          <w:p w14:paraId="022D4588" w14:textId="77777777" w:rsidR="003E2F89" w:rsidRPr="00FE1490" w:rsidRDefault="003E2F89" w:rsidP="003E2F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05B39">
              <w:rPr>
                <w:rFonts w:ascii="Arial" w:hAnsi="Arial" w:cs="Arial"/>
                <w:color w:val="000000" w:themeColor="text1"/>
                <w:sz w:val="16"/>
                <w:szCs w:val="16"/>
              </w:rPr>
              <w:t>Iniciativas de origen y con financiamiento estatal, de acceso plural para toda la sociedad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que </w:t>
            </w:r>
            <w:proofErr w:type="gramStart"/>
            <w:r w:rsidRPr="00FE149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se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promueven</w:t>
            </w:r>
            <w:proofErr w:type="gramEnd"/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el </w:t>
            </w:r>
            <w:r w:rsidRPr="00FE149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fortalecimiento de derechos de las mujeres, empoderamiento de las mujeres, derechos económicos, justicia económica para las mujeres. </w:t>
            </w:r>
          </w:p>
          <w:p w14:paraId="1DD136E5" w14:textId="77777777" w:rsidR="003E2F89" w:rsidRPr="00905B39" w:rsidRDefault="003E2F89" w:rsidP="003B2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FF8F43"/>
          </w:tcPr>
          <w:p w14:paraId="7E33A36A" w14:textId="77777777" w:rsidR="003E2F89" w:rsidRPr="00FE1490" w:rsidRDefault="003E2F89" w:rsidP="003E2F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0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05B39">
              <w:rPr>
                <w:rFonts w:ascii="Arial" w:hAnsi="Arial" w:cs="Arial"/>
                <w:color w:val="000000" w:themeColor="text1"/>
                <w:sz w:val="16"/>
                <w:szCs w:val="16"/>
              </w:rPr>
              <w:t>Iniciativas de origen y con financiamiento privado; con objetivo / propósito social de prestación de servicios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que </w:t>
            </w:r>
            <w:r w:rsidRPr="00FE149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sostienen en una AGENDA de promoción y fortalecimiento de derechos de las mujeres, empoderamiento de las mujeres, derechos económicos, justicia económica para las mujeres. </w:t>
            </w:r>
          </w:p>
        </w:tc>
        <w:tc>
          <w:tcPr>
            <w:tcW w:w="4111" w:type="dxa"/>
            <w:shd w:val="clear" w:color="auto" w:fill="FFFF00"/>
          </w:tcPr>
          <w:p w14:paraId="1E112181" w14:textId="77777777" w:rsidR="003E2F89" w:rsidRPr="00FE1490" w:rsidRDefault="003E2F89" w:rsidP="003E2F89">
            <w:pPr>
              <w:pStyle w:val="ListParagraph"/>
              <w:numPr>
                <w:ilvl w:val="0"/>
                <w:numId w:val="1"/>
              </w:numPr>
              <w:shd w:val="clear" w:color="auto" w:fill="FFFF0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05B39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Iniciativas de origen y con financiamiento mixto: cooperación, apoyo, convenio público-privado para la implementación de iniciativas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que apoyan y promueven el </w:t>
            </w:r>
            <w:r w:rsidRPr="00FE149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fortalecimiento de derechos de las mujeres, empoderamiento de las mujeres, derechos económicos, justicia económica para las mujeres. </w:t>
            </w:r>
          </w:p>
        </w:tc>
      </w:tr>
      <w:tr w:rsidR="003E2F89" w:rsidRPr="004A133A" w14:paraId="5BD68DAC" w14:textId="77777777" w:rsidTr="003B2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none" w:sz="0" w:space="0" w:color="auto"/>
              <w:bottom w:val="none" w:sz="0" w:space="0" w:color="auto"/>
            </w:tcBorders>
            <w:shd w:val="clear" w:color="auto" w:fill="F7DFA3"/>
          </w:tcPr>
          <w:p w14:paraId="1AA4FF46" w14:textId="77777777" w:rsidR="003E2F89" w:rsidRPr="00905B39" w:rsidRDefault="003E2F89" w:rsidP="003B217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6E1EB22" w14:textId="77777777" w:rsidR="003E2F89" w:rsidRDefault="003E2F89" w:rsidP="003B217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40654DC" w14:textId="77777777" w:rsidR="003E2F89" w:rsidRPr="00905B39" w:rsidRDefault="003E2F89" w:rsidP="003B2174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05B39">
              <w:rPr>
                <w:rFonts w:ascii="Arial" w:hAnsi="Arial" w:cs="Arial"/>
                <w:color w:val="000000" w:themeColor="text1"/>
                <w:sz w:val="18"/>
                <w:szCs w:val="18"/>
              </w:rPr>
              <w:t>Derechos sociales de grupos vulnerables: niños, adultos mayores, discapacitados</w:t>
            </w:r>
          </w:p>
        </w:tc>
        <w:tc>
          <w:tcPr>
            <w:tcW w:w="3470" w:type="dxa"/>
            <w:shd w:val="clear" w:color="auto" w:fill="1D13DB"/>
          </w:tcPr>
          <w:p w14:paraId="61F27022" w14:textId="77777777" w:rsidR="003E2F89" w:rsidRPr="00905B39" w:rsidRDefault="003E2F89" w:rsidP="003E2F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05B39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Iniciativas de origen y con financiamiento estatal, de acceso plural para toda la sociedad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que promueven </w:t>
            </w:r>
          </w:p>
          <w:p w14:paraId="2CC4BDFE" w14:textId="77777777" w:rsidR="003E2F89" w:rsidRPr="00905B39" w:rsidRDefault="003E2F89" w:rsidP="003B2174">
            <w:pPr>
              <w:pStyle w:val="ListParagraph"/>
              <w:ind w:left="47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05B39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políticas sociales y de redistribución para grupos vulnerables, incluyendo políticas para la infancia, la niñez, la tercera edad: niños, adultos mayores, discapacitados. </w:t>
            </w:r>
          </w:p>
          <w:p w14:paraId="12B9737F" w14:textId="77777777" w:rsidR="003E2F89" w:rsidRPr="00905B39" w:rsidRDefault="003E2F89" w:rsidP="003B21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C00000"/>
          </w:tcPr>
          <w:p w14:paraId="6F9087C8" w14:textId="77777777" w:rsidR="003E2F89" w:rsidRPr="00FE1490" w:rsidRDefault="003E2F89" w:rsidP="003E2F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905B39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Iniciativas de origen y con financiamiento privado; con objetivo / propósito social de prestación de servicios 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que promueven </w:t>
            </w:r>
            <w:r w:rsidRPr="00FE149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políticas sociales y de redistribución para grupos vulnerables, incluyendo políticas para la infancia, la niñez, la tercera edad: niños, adultos mayores, discapacitados. </w:t>
            </w:r>
          </w:p>
        </w:tc>
        <w:tc>
          <w:tcPr>
            <w:tcW w:w="4111" w:type="dxa"/>
            <w:shd w:val="clear" w:color="auto" w:fill="43EFA1"/>
          </w:tcPr>
          <w:p w14:paraId="16B5E9C9" w14:textId="77777777" w:rsidR="003E2F89" w:rsidRPr="00FE1490" w:rsidRDefault="003E2F89" w:rsidP="003E2F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05B39">
              <w:rPr>
                <w:rFonts w:ascii="Arial" w:hAnsi="Arial" w:cs="Arial"/>
                <w:color w:val="000000" w:themeColor="text1"/>
                <w:sz w:val="16"/>
                <w:szCs w:val="16"/>
              </w:rPr>
              <w:t>Iniciativas de origen y con financiamiento mixto: cooperación, apoyo, convenio público-privado para la implementación de iniciativ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as que promueven </w:t>
            </w:r>
            <w:r w:rsidRPr="00FE149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políticas sociales y de redistribución para grupos vulnerables, incluyendo políticas para la infancia, la niñez, la tercera edad: niños, adultos mayores, discapacitados. </w:t>
            </w:r>
          </w:p>
        </w:tc>
      </w:tr>
    </w:tbl>
    <w:p w14:paraId="1E783E5B" w14:textId="7EBEAC65" w:rsidR="007A7C3D" w:rsidRPr="003E2F89" w:rsidRDefault="003E2F89" w:rsidP="003E2F89">
      <w:pPr>
        <w:jc w:val="center"/>
        <w:rPr>
          <w:b/>
          <w:bCs/>
          <w:sz w:val="28"/>
          <w:szCs w:val="28"/>
        </w:rPr>
      </w:pPr>
      <w:r w:rsidRPr="003E2F89">
        <w:rPr>
          <w:b/>
          <w:bCs/>
          <w:sz w:val="28"/>
          <w:szCs w:val="28"/>
        </w:rPr>
        <w:t>Cuadro metodológico: Así clasificamos las iniciativas</w:t>
      </w:r>
    </w:p>
    <w:sectPr w:rsidR="007A7C3D" w:rsidRPr="003E2F89" w:rsidSect="003E2F8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1C9"/>
    <w:multiLevelType w:val="hybridMultilevel"/>
    <w:tmpl w:val="FCE20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0231"/>
    <w:multiLevelType w:val="hybridMultilevel"/>
    <w:tmpl w:val="7C66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70BD7"/>
    <w:multiLevelType w:val="hybridMultilevel"/>
    <w:tmpl w:val="E5A2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41DED"/>
    <w:multiLevelType w:val="hybridMultilevel"/>
    <w:tmpl w:val="B40009E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44AEA"/>
    <w:multiLevelType w:val="hybridMultilevel"/>
    <w:tmpl w:val="6D6E8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309723">
    <w:abstractNumId w:val="3"/>
  </w:num>
  <w:num w:numId="2" w16cid:durableId="1889609176">
    <w:abstractNumId w:val="4"/>
  </w:num>
  <w:num w:numId="3" w16cid:durableId="272203222">
    <w:abstractNumId w:val="1"/>
  </w:num>
  <w:num w:numId="4" w16cid:durableId="1615675291">
    <w:abstractNumId w:val="0"/>
  </w:num>
  <w:num w:numId="5" w16cid:durableId="164877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89"/>
    <w:rsid w:val="00331F92"/>
    <w:rsid w:val="003E2F89"/>
    <w:rsid w:val="007514FC"/>
    <w:rsid w:val="007A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0E9B"/>
  <w15:chartTrackingRefBased/>
  <w15:docId w15:val="{8B3BE182-8BEE-41DC-AE1A-3464E0B2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F89"/>
    <w:pPr>
      <w:spacing w:after="200" w:line="288" w:lineRule="auto"/>
    </w:pPr>
    <w:rPr>
      <w:rFonts w:eastAsiaTheme="minorEastAsia"/>
      <w:sz w:val="21"/>
      <w:szCs w:val="21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F89"/>
    <w:pPr>
      <w:ind w:left="720"/>
      <w:contextualSpacing/>
    </w:pPr>
  </w:style>
  <w:style w:type="table" w:customStyle="1" w:styleId="Tabladecuadrcula5oscura-nfasis61">
    <w:name w:val="Tabla de cuadrícula 5 oscura - Énfasis 61"/>
    <w:basedOn w:val="TableNormal"/>
    <w:uiPriority w:val="50"/>
    <w:rsid w:val="003E2F89"/>
    <w:pPr>
      <w:spacing w:after="0" w:line="240" w:lineRule="auto"/>
    </w:pPr>
    <w:rPr>
      <w:rFonts w:eastAsiaTheme="minorEastAsia"/>
      <w:sz w:val="21"/>
      <w:szCs w:val="21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2023-01-17T16:21:00Z</dcterms:created>
  <dcterms:modified xsi:type="dcterms:W3CDTF">2023-01-17T16:23:00Z</dcterms:modified>
</cp:coreProperties>
</file>