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sz w:val="26"/>
          <w:szCs w:val="26"/>
        </w:rPr>
        <w:t xml:space="preserve">Projektarbeit Big Data</w:t>
      </w:r>
    </w:p>
    <w:p>
      <w:pPr>
        <w:spacing w:after="260"/>
      </w:pPr>
      <w:r>
        <w:rPr>
          <w:rFonts w:ascii="Calibri" w:cs="Calibri" w:eastAsia="Calibri" w:hAnsi="Calibri"/>
          <w:b w:val="false"/>
          <w:bCs w:val="false"/>
          <w:i w:val="false"/>
          <w:iCs w:val="false"/>
          <w:sz w:val="22"/>
          <w:szCs w:val="22"/>
        </w:rPr>
        <w:t xml:space="preserve">Critically Appraised Topic (CAT / PIKE)</w:t>
      </w:r>
    </w:p>
    <w:p>
      <w:pPr>
        <w:spacing w:after="60"/>
      </w:pPr>
      <w:r>
        <w:rPr>
          <w:rFonts w:ascii="Calibri" w:cs="Calibri" w:eastAsia="Calibri" w:hAnsi="Calibri"/>
          <w:b/>
          <w:bCs/>
          <w:i w:val="false"/>
          <w:iCs w:val="false"/>
          <w:sz w:val="30"/>
          <w:szCs w:val="30"/>
        </w:rPr>
        <w:t xml:space="preserve">Papier gegen Straße — Die Realverbrauchslücke der EU-Neuwagenflotte</w:t>
      </w:r>
    </w:p>
    <w:p>
      <w:pPr>
        <w:spacing w:after="300"/>
      </w:pPr>
      <w:r>
        <w:rPr>
          <w:rFonts w:ascii="Calibri" w:cs="Calibri" w:eastAsia="Calibri" w:hAnsi="Calibri"/>
          <w:b w:val="false"/>
          <w:bCs w:val="false"/>
          <w:i w:val="false"/>
          <w:iCs w:val="false"/>
          <w:sz w:val="22"/>
          <w:szCs w:val="22"/>
        </w:rPr>
        <w:t xml:space="preserve">45 Millionen Zulassungs- und Verbrauchssätze aus dem EU-CO₂-Monitoring: Wie weit liegen zertifizierte und gemessene Werte auseinander, wer treibt die Lücke, und was heißt das für den Verbrennerausstieg in Deutschland?</w:t>
      </w:r>
    </w:p>
    <w:p>
      <w:pPr>
        <w:spacing w:after="60"/>
      </w:pPr>
      <w:r>
        <w:rPr>
          <w:rFonts w:ascii="Calibri" w:cs="Calibri" w:eastAsia="Calibri" w:hAnsi="Calibri"/>
          <w:b/>
          <w:bCs/>
          <w:i w:val="false"/>
          <w:iCs w:val="false"/>
          <w:sz w:val="22"/>
          <w:szCs w:val="22"/>
        </w:rPr>
        <w:t xml:space="preserve">Name: </w:t>
      </w:r>
      <w:r>
        <w:rPr>
          <w:rFonts w:ascii="Calibri" w:cs="Calibri" w:eastAsia="Calibri" w:hAnsi="Calibri"/>
          <w:sz w:val="22"/>
          <w:szCs w:val="22"/>
        </w:rPr>
        <w:t xml:space="preserve">Alexander Sagert</w:t>
      </w:r>
    </w:p>
    <w:p>
      <w:pPr>
        <w:spacing w:after="60"/>
      </w:pPr>
      <w:r>
        <w:rPr>
          <w:rFonts w:ascii="Calibri" w:cs="Calibri" w:eastAsia="Calibri" w:hAnsi="Calibri"/>
          <w:b/>
          <w:bCs/>
          <w:i w:val="false"/>
          <w:iCs w:val="false"/>
          <w:sz w:val="22"/>
          <w:szCs w:val="22"/>
        </w:rPr>
        <w:t xml:space="preserve">Kurs: </w:t>
      </w:r>
      <w:r>
        <w:rPr>
          <w:rFonts w:ascii="Calibri" w:cs="Calibri" w:eastAsia="Calibri" w:hAnsi="Calibri"/>
          <w:sz w:val="22"/>
          <w:szCs w:val="22"/>
        </w:rPr>
        <w:t xml:space="preserve">Machine-Learning-Weiterbildung educX</w:t>
      </w:r>
    </w:p>
    <w:p>
      <w:pPr>
        <w:spacing w:after="60"/>
      </w:pPr>
      <w:r>
        <w:rPr>
          <w:rFonts w:ascii="Calibri" w:cs="Calibri" w:eastAsia="Calibri" w:hAnsi="Calibri"/>
          <w:b/>
          <w:bCs/>
          <w:i w:val="false"/>
          <w:iCs w:val="false"/>
          <w:sz w:val="22"/>
          <w:szCs w:val="22"/>
        </w:rPr>
        <w:t xml:space="preserve">Projekt: </w:t>
      </w:r>
      <w:r>
        <w:rPr>
          <w:rFonts w:ascii="Calibri" w:cs="Calibri" w:eastAsia="Calibri" w:hAnsi="Calibri"/>
          <w:sz w:val="22"/>
          <w:szCs w:val="22"/>
        </w:rPr>
        <w:t xml:space="preserve">Projektarbeit Big Data</w:t>
      </w:r>
    </w:p>
    <w:p>
      <w:pPr>
        <w:spacing w:after="300"/>
      </w:pPr>
      <w:r>
        <w:rPr>
          <w:rFonts w:ascii="Calibri" w:cs="Calibri" w:eastAsia="Calibri" w:hAnsi="Calibri"/>
          <w:b/>
          <w:bCs/>
          <w:i w:val="false"/>
          <w:iCs w:val="false"/>
          <w:sz w:val="22"/>
          <w:szCs w:val="22"/>
        </w:rPr>
        <w:t xml:space="preserve">Datum: </w:t>
      </w:r>
      <w:r>
        <w:rPr>
          <w:rFonts w:ascii="Calibri" w:cs="Calibri" w:eastAsia="Calibri" w:hAnsi="Calibri"/>
          <w:sz w:val="22"/>
          <w:szCs w:val="22"/>
        </w:rPr>
        <w:t xml:space="preserve">13. August 2026</w:t>
      </w:r>
    </w:p>
    <w:p>
      <w:pPr>
        <w:spacing w:after="160"/>
      </w:pPr>
      <w:r>
        <w:rPr>
          <w:rFonts w:ascii="Calibri" w:cs="Calibri" w:eastAsia="Calibri" w:hAnsi="Calibri"/>
          <w:b/>
          <w:bCs/>
          <w:i w:val="false"/>
          <w:iCs w:val="false"/>
          <w:sz w:val="24"/>
          <w:szCs w:val="24"/>
        </w:rPr>
        <w:t xml:space="preserve">Critically Appraised Topic (CAT) — PIKE-Schema</w:t>
      </w:r>
    </w:p>
    <w:p>
      <w:pPr>
        <w:spacing w:after="260"/>
      </w:pPr>
      <w:r>
        <w:rPr>
          <w:rFonts w:ascii="Calibri" w:cs="Calibri" w:eastAsia="Calibri" w:hAnsi="Calibri"/>
          <w:b/>
          <w:bCs/>
          <w:i w:val="false"/>
          <w:iCs w:val="false"/>
          <w:sz w:val="22"/>
          <w:szCs w:val="22"/>
        </w:rPr>
        <w:t xml:space="preserve">Leitfrage: </w:t>
      </w:r>
      <w:r>
        <w:rPr>
          <w:rFonts w:ascii="Calibri" w:cs="Calibri" w:eastAsia="Calibri" w:hAnsi="Calibri"/>
          <w:sz w:val="22"/>
          <w:szCs w:val="22"/>
        </w:rPr>
        <w:t xml:space="preserve">Wie weit weichen die offiziell zertifizierten CO₂- und Verbrauchswerte der EU-Neuwagenflotte von den im Fahrbetrieb gemessenen ab, welche Hersteller und Antriebsarten treiben diese Lücke — und wie verändert das die Bewertung des Verbrennerausstiegs für Deutschland?</w:t>
      </w:r>
    </w:p>
    <w:p>
      <w:pPr>
        <w:spacing w:after="120" w:before="280"/>
      </w:pPr>
      <w:r>
        <w:rPr>
          <w:rFonts w:ascii="Calibri" w:cs="Calibri" w:eastAsia="Calibri" w:hAnsi="Calibri"/>
          <w:b/>
          <w:bCs/>
          <w:sz w:val="24"/>
          <w:szCs w:val="24"/>
        </w:rPr>
        <w:t xml:space="preserve">(P) Problem</w:t>
      </w:r>
    </w:p>
    <w:p>
      <w:pPr>
        <w:spacing w:after="140"/>
      </w:pPr>
      <w:r>
        <w:rPr>
          <w:rFonts w:ascii="Calibri" w:cs="Calibri" w:eastAsia="Calibri" w:hAnsi="Calibri"/>
          <w:i/>
          <w:iCs/>
          <w:color w:val="444444"/>
          <w:sz w:val="21"/>
          <w:szCs w:val="21"/>
        </w:rPr>
        <w:t xml:space="preserve">Welche Frage hat für die Lösung des Auftraggebers die größte Bedeutung?</w:t>
      </w:r>
    </w:p>
    <w:p>
      <w:pPr>
        <w:spacing w:after="120"/>
      </w:pPr>
      <w:r>
        <w:rPr>
          <w:rFonts w:ascii="Calibri" w:cs="Calibri" w:eastAsia="Calibri" w:hAnsi="Calibri"/>
          <w:b w:val="false"/>
          <w:bCs w:val="false"/>
          <w:i w:val="false"/>
          <w:iCs w:val="false"/>
          <w:sz w:val="22"/>
          <w:szCs w:val="22"/>
        </w:rPr>
        <w:t xml:space="preserve">Jedes seit 2021 neu zugelassene Auto in der EU misst seinen tatsächlichen Kraftstoffverbrauch mit und meldet ihn an die Kommission (VO (EU) 2019/631 Art. 12). Dieselben Fahrzeuge stehen mit ihrem Zertifizierungswert in der Zulassungsdatenbank nach Art. 7. Zum ersten Mal lässt sich damit für Millionen einzelner Fahrzeuge prüfen, ob der Wert auf dem Typenschild etwas mit der Straße zu tun hat.</w:t>
      </w:r>
    </w:p>
    <w:p>
      <w:pPr>
        <w:spacing w:after="120"/>
      </w:pPr>
      <w:r>
        <w:rPr>
          <w:rFonts w:ascii="Calibri" w:cs="Calibri" w:eastAsia="Calibri" w:hAnsi="Calibri"/>
          <w:b w:val="false"/>
          <w:bCs w:val="false"/>
          <w:i w:val="false"/>
          <w:iCs w:val="false"/>
          <w:sz w:val="22"/>
          <w:szCs w:val="22"/>
        </w:rPr>
        <w:t xml:space="preserve">Die Frage ist nicht akademisch. Flottenleasing, B2B-Restwertkalkulation und Händlereinkauf rechnen mit Laborwerten. Weicht der Realwert eines Plug-in-Hybrids um den Faktor fünf ab, ist die Kraftstoffkostenrechnung über eine Haltedauer von drei Jahren falsch — und damit die Restwertprognose. Politisch wird der Verbrennerausstieg mit CO₂-Werten begründet, die zu einem erheblichen Teil aus dem Labor stammen.</w:t>
      </w:r>
    </w:p>
    <w:p>
      <w:pPr>
        <w:spacing w:after="120" w:before="280"/>
      </w:pPr>
      <w:r>
        <w:rPr>
          <w:rFonts w:ascii="Calibri" w:cs="Calibri" w:eastAsia="Calibri" w:hAnsi="Calibri"/>
          <w:b/>
          <w:bCs/>
          <w:sz w:val="24"/>
          <w:szCs w:val="24"/>
        </w:rPr>
        <w:t xml:space="preserve">(I) Intervention</w:t>
      </w:r>
    </w:p>
    <w:p>
      <w:pPr>
        <w:spacing w:after="140"/>
      </w:pPr>
      <w:r>
        <w:rPr>
          <w:rFonts w:ascii="Calibri" w:cs="Calibri" w:eastAsia="Calibri" w:hAnsi="Calibri"/>
          <w:i/>
          <w:iCs/>
          <w:color w:val="444444"/>
          <w:sz w:val="21"/>
          <w:szCs w:val="21"/>
        </w:rPr>
        <w:t xml:space="preserve">Bibliotheken- und Algorithmen-Auswahl — welche Berechnung erwäge ich vornehmlich?</w:t>
      </w:r>
    </w:p>
    <w:p>
      <w:pPr>
        <w:pStyle w:val="ListParagraph"/>
        <w:numPr>
          <w:ilvl w:val="0"/>
          <w:numId w:val="2"/>
        </w:numPr>
        <w:spacing w:after="90"/>
      </w:pPr>
      <w:r>
        <w:rPr>
          <w:rFonts w:ascii="Calibri" w:cs="Calibri" w:eastAsia="Calibri" w:hAnsi="Calibri"/>
          <w:b/>
          <w:bCs/>
          <w:i w:val="false"/>
          <w:iCs w:val="false"/>
          <w:sz w:val="22"/>
          <w:szCs w:val="22"/>
        </w:rPr>
        <w:t xml:space="preserve">PostgreSQL 18 </w:t>
      </w:r>
      <w:r>
        <w:rPr>
          <w:rFonts w:ascii="Calibri" w:cs="Calibri" w:eastAsia="Calibri" w:hAnsi="Calibri"/>
          <w:sz w:val="22"/>
          <w:szCs w:val="22"/>
        </w:rPr>
        <w:t xml:space="preserve">— vier Schichten (raw / core / star / mart) mit jahresweise partitionierter Faktentabelle. Die schwere Aggregation läuft in der Datenbank, nicht im Anwendungscode.</w:t>
      </w:r>
    </w:p>
    <w:p>
      <w:pPr>
        <w:pStyle w:val="ListParagraph"/>
        <w:numPr>
          <w:ilvl w:val="0"/>
          <w:numId w:val="2"/>
        </w:numPr>
        <w:spacing w:after="90"/>
      </w:pPr>
      <w:r>
        <w:rPr>
          <w:rFonts w:ascii="Calibri" w:cs="Calibri" w:eastAsia="Calibri" w:hAnsi="Calibri"/>
          <w:b/>
          <w:bCs/>
          <w:i w:val="false"/>
          <w:iCs w:val="false"/>
          <w:sz w:val="22"/>
          <w:szCs w:val="22"/>
        </w:rPr>
        <w:t xml:space="preserve">Python (requests, csv) </w:t>
      </w:r>
      <w:r>
        <w:rPr>
          <w:rFonts w:ascii="Calibri" w:cs="Calibri" w:eastAsia="Calibri" w:hAnsi="Calibri"/>
          <w:sz w:val="22"/>
          <w:szCs w:val="22"/>
        </w:rPr>
        <w:t xml:space="preserve">— Ladepipeline gegen den DiscoData-SQL-REST-Endpunkt mit Keyset-Paginierung auf der ID. Ein CSV-Bulkdownload existiert für diese Quelle nicht.</w:t>
      </w:r>
    </w:p>
    <w:p>
      <w:pPr>
        <w:pStyle w:val="ListParagraph"/>
        <w:numPr>
          <w:ilvl w:val="0"/>
          <w:numId w:val="2"/>
        </w:numPr>
        <w:spacing w:after="90"/>
      </w:pPr>
      <w:r>
        <w:rPr>
          <w:rFonts w:ascii="Calibri" w:cs="Calibri" w:eastAsia="Calibri" w:hAnsi="Calibri"/>
          <w:b/>
          <w:bCs/>
          <w:i w:val="false"/>
          <w:iCs w:val="false"/>
          <w:sz w:val="22"/>
          <w:szCs w:val="22"/>
        </w:rPr>
        <w:t xml:space="preserve">PowerShell </w:t>
      </w:r>
      <w:r>
        <w:rPr>
          <w:rFonts w:ascii="Calibri" w:cs="Calibri" w:eastAsia="Calibri" w:hAnsi="Calibri"/>
          <w:sz w:val="22"/>
          <w:szCs w:val="22"/>
        </w:rPr>
        <w:t xml:space="preserve">— Orchestrierung der Kette, \copy-Ladeläufe, Laufzeitprotokoll für die Nachvollziehbarkeit.</w:t>
      </w:r>
    </w:p>
    <w:p>
      <w:pPr>
        <w:pStyle w:val="ListParagraph"/>
        <w:numPr>
          <w:ilvl w:val="0"/>
          <w:numId w:val="2"/>
        </w:numPr>
        <w:spacing w:after="90"/>
      </w:pPr>
      <w:r>
        <w:rPr>
          <w:rFonts w:ascii="Calibri" w:cs="Calibri" w:eastAsia="Calibri" w:hAnsi="Calibri"/>
          <w:b/>
          <w:bCs/>
          <w:i w:val="false"/>
          <w:iCs w:val="false"/>
          <w:sz w:val="22"/>
          <w:szCs w:val="22"/>
        </w:rPr>
        <w:t xml:space="preserve">KNIME 5.12 </w:t>
      </w:r>
      <w:r>
        <w:rPr>
          <w:rFonts w:ascii="Calibri" w:cs="Calibri" w:eastAsia="Calibri" w:hAnsi="Calibri"/>
          <w:sz w:val="22"/>
          <w:szCs w:val="22"/>
        </w:rPr>
        <w:t xml:space="preserve">— lineare Regression auf der Zielgröße „prozentuale Lücke“, zwei Modelle (alle Antriebe / nur Plug-in-Hybride), 70/30-Aufteilung mit festem Seed. Vier Diagramme direkt auf den mart-Tabellen.</w:t>
      </w:r>
    </w:p>
    <w:p>
      <w:pPr>
        <w:pStyle w:val="ListParagraph"/>
        <w:numPr>
          <w:ilvl w:val="0"/>
          <w:numId w:val="2"/>
        </w:numPr>
        <w:spacing w:after="90"/>
      </w:pPr>
      <w:r>
        <w:rPr>
          <w:rFonts w:ascii="Calibri" w:cs="Calibri" w:eastAsia="Calibri" w:hAnsi="Calibri"/>
          <w:b/>
          <w:bCs/>
          <w:i w:val="false"/>
          <w:iCs w:val="false"/>
          <w:sz w:val="22"/>
          <w:szCs w:val="22"/>
        </w:rPr>
        <w:t xml:space="preserve">SMARD-API der Bundesnetzagentur </w:t>
      </w:r>
      <w:r>
        <w:rPr>
          <w:rFonts w:ascii="Calibri" w:cs="Calibri" w:eastAsia="Calibri" w:hAnsi="Calibri"/>
          <w:sz w:val="22"/>
          <w:szCs w:val="22"/>
        </w:rPr>
        <w:t xml:space="preserve">— stündliche Stromerzeugung je Energieträger, um den Netzstrom von Plug-in-Hybriden und Batterieautos mit dem realen deutschen Mix zu bewerten.</w:t>
      </w:r>
    </w:p>
    <w:p>
      <w:pPr>
        <w:pStyle w:val="ListParagraph"/>
        <w:numPr>
          <w:ilvl w:val="0"/>
          <w:numId w:val="2"/>
        </w:numPr>
        <w:spacing w:after="90"/>
      </w:pPr>
      <w:r>
        <w:rPr>
          <w:rFonts w:ascii="Calibri" w:cs="Calibri" w:eastAsia="Calibri" w:hAnsi="Calibri"/>
          <w:b/>
          <w:bCs/>
          <w:i w:val="false"/>
          <w:iCs w:val="false"/>
          <w:sz w:val="22"/>
          <w:szCs w:val="22"/>
        </w:rPr>
        <w:t xml:space="preserve">Fensterfunktionen und Perzentile </w:t>
      </w:r>
      <w:r>
        <w:rPr>
          <w:rFonts w:ascii="Calibri" w:cs="Calibri" w:eastAsia="Calibri" w:hAnsi="Calibri"/>
          <w:sz w:val="22"/>
          <w:szCs w:val="22"/>
        </w:rPr>
        <w:t xml:space="preserve">— SUM() OVER, LAG(), RANK() OVER, PERCENTILE_CONT(0.5) und (0.9). Median statt Mittelwert, weil die Verteilung der Lücke rechtsschief ist.</w:t>
      </w:r>
    </w:p>
    <w:p>
      <w:pPr>
        <w:spacing w:after="120" w:before="280"/>
      </w:pPr>
      <w:r>
        <w:rPr>
          <w:rFonts w:ascii="Calibri" w:cs="Calibri" w:eastAsia="Calibri" w:hAnsi="Calibri"/>
          <w:b/>
          <w:bCs/>
          <w:sz w:val="24"/>
          <w:szCs w:val="24"/>
        </w:rPr>
        <w:t xml:space="preserve">(K) Kontrollintervention</w:t>
      </w:r>
    </w:p>
    <w:p>
      <w:pPr>
        <w:spacing w:after="140"/>
      </w:pPr>
      <w:r>
        <w:rPr>
          <w:rFonts w:ascii="Calibri" w:cs="Calibri" w:eastAsia="Calibri" w:hAnsi="Calibri"/>
          <w:i/>
          <w:iCs/>
          <w:color w:val="444444"/>
          <w:sz w:val="21"/>
          <w:szCs w:val="21"/>
        </w:rPr>
        <w:t xml:space="preserve">Falls erforderlich: alternative Bibliotheken/Algorithmen — was ist die andere Möglichkeit?</w:t>
      </w:r>
    </w:p>
    <w:p>
      <w:pPr>
        <w:pStyle w:val="ListParagraph"/>
        <w:numPr>
          <w:ilvl w:val="0"/>
          <w:numId w:val="2"/>
        </w:numPr>
        <w:spacing w:after="90"/>
      </w:pPr>
      <w:r>
        <w:rPr>
          <w:rFonts w:ascii="Calibri" w:cs="Calibri" w:eastAsia="Calibri" w:hAnsi="Calibri"/>
          <w:b/>
          <w:bCs/>
          <w:i w:val="false"/>
          <w:iCs w:val="false"/>
          <w:sz w:val="22"/>
          <w:szCs w:val="22"/>
        </w:rPr>
        <w:t xml:space="preserve">MongoDB und Neo4j — bewusst verworfen. </w:t>
      </w:r>
      <w:r>
        <w:rPr>
          <w:rFonts w:ascii="Calibri" w:cs="Calibri" w:eastAsia="Calibri" w:hAnsi="Calibri"/>
          <w:sz w:val="22"/>
          <w:szCs w:val="22"/>
        </w:rPr>
        <w:t xml:space="preserve">Die Daten sind durchgängig relational und tabellarisch. Es gibt weder schemalose Dokumente noch eine Graphstruktur, deren Traversierung einen Erkenntnisgewinn brächte. Ein Einsatz wäre Selbstzweck gewesen.</w:t>
      </w:r>
    </w:p>
    <w:p>
      <w:pPr>
        <w:pStyle w:val="ListParagraph"/>
        <w:numPr>
          <w:ilvl w:val="0"/>
          <w:numId w:val="2"/>
        </w:numPr>
        <w:spacing w:after="90"/>
      </w:pPr>
      <w:r>
        <w:rPr>
          <w:rFonts w:ascii="Calibri" w:cs="Calibri" w:eastAsia="Calibri" w:hAnsi="Calibri"/>
          <w:b/>
          <w:bCs/>
          <w:i w:val="false"/>
          <w:iCs w:val="false"/>
          <w:sz w:val="22"/>
          <w:szCs w:val="22"/>
        </w:rPr>
        <w:t xml:space="preserve">Spark oder Hadoop — nicht erforderlich. </w:t>
      </w:r>
      <w:r>
        <w:rPr>
          <w:rFonts w:ascii="Calibri" w:cs="Calibri" w:eastAsia="Calibri" w:hAnsi="Calibri"/>
          <w:sz w:val="22"/>
          <w:szCs w:val="22"/>
        </w:rPr>
        <w:t xml:space="preserve">45 Mio. Zeilen laufen auf einem partitionierten PostgreSQL in Minuten. Ein verteiltes System hätte mehr Betriebsaufwand als Nutzen gebracht.</w:t>
      </w:r>
    </w:p>
    <w:p>
      <w:pPr>
        <w:pStyle w:val="ListParagraph"/>
        <w:numPr>
          <w:ilvl w:val="0"/>
          <w:numId w:val="2"/>
        </w:numPr>
        <w:spacing w:after="90"/>
      </w:pPr>
      <w:r>
        <w:rPr>
          <w:rFonts w:ascii="Calibri" w:cs="Calibri" w:eastAsia="Calibri" w:hAnsi="Calibri"/>
          <w:b/>
          <w:bCs/>
          <w:i w:val="false"/>
          <w:iCs w:val="false"/>
          <w:sz w:val="22"/>
          <w:szCs w:val="22"/>
        </w:rPr>
        <w:t xml:space="preserve">Referenzquelle statt eigener Rechnung. </w:t>
      </w:r>
      <w:r>
        <w:rPr>
          <w:rFonts w:ascii="Calibri" w:cs="Calibri" w:eastAsia="Calibri" w:hAnsi="Calibri"/>
          <w:sz w:val="22"/>
          <w:szCs w:val="22"/>
        </w:rPr>
        <w:t xml:space="preserve">Die EEA veröffentlicht eine fertig aggregierte Lückendatei je Hersteller und Kraftstoff. Sie wird nicht als Ersatz, sondern als Gegenprobe verwendet — und hat eine meiner Annahmen widerlegt (siehe Anmerkungen).</w:t>
      </w:r>
    </w:p>
    <w:p>
      <w:pPr>
        <w:pStyle w:val="ListParagraph"/>
        <w:numPr>
          <w:ilvl w:val="0"/>
          <w:numId w:val="2"/>
        </w:numPr>
        <w:spacing w:after="90"/>
      </w:pPr>
      <w:r>
        <w:rPr>
          <w:rFonts w:ascii="Calibri" w:cs="Calibri" w:eastAsia="Calibri" w:hAnsi="Calibri"/>
          <w:b/>
          <w:bCs/>
          <w:i w:val="false"/>
          <w:iCs w:val="false"/>
          <w:sz w:val="22"/>
          <w:szCs w:val="22"/>
        </w:rPr>
        <w:t xml:space="preserve">Baumverfahren statt linearer Regression. </w:t>
      </w:r>
      <w:r>
        <w:rPr>
          <w:rFonts w:ascii="Calibri" w:cs="Calibri" w:eastAsia="Calibri" w:hAnsi="Calibri"/>
          <w:sz w:val="22"/>
          <w:szCs w:val="22"/>
        </w:rPr>
        <w:t xml:space="preserve">Random Forest oder Gradient Boosting würden mehr Varianz erklären, aber die Frage lautet nicht „wie genau“, sondern „wodurch“. Die lineare Regression liefert interpretierbare Koeffizienten; der unerklärte Rest ist hier das eigentliche Ergebnis.</w:t>
      </w:r>
    </w:p>
    <w:p>
      <w:pPr>
        <w:spacing w:after="120" w:before="280"/>
      </w:pPr>
      <w:r>
        <w:rPr>
          <w:rFonts w:ascii="Calibri" w:cs="Calibri" w:eastAsia="Calibri" w:hAnsi="Calibri"/>
          <w:b/>
          <w:bCs/>
          <w:sz w:val="24"/>
          <w:szCs w:val="24"/>
        </w:rPr>
        <w:t xml:space="preserve">(E) Ergebnismaß (Zielgröße) — Die Evidenz</w:t>
      </w:r>
    </w:p>
    <w:p>
      <w:pPr>
        <w:spacing w:after="140"/>
      </w:pPr>
      <w:r>
        <w:rPr>
          <w:rFonts w:ascii="Calibri" w:cs="Calibri" w:eastAsia="Calibri" w:hAnsi="Calibri"/>
          <w:i/>
          <w:iCs/>
          <w:color w:val="444444"/>
          <w:sz w:val="21"/>
          <w:szCs w:val="21"/>
        </w:rPr>
        <w:t xml:space="preserve">Was möchte ich / der Auftraggeber erreichen?</w:t>
      </w:r>
    </w:p>
    <w:p>
      <w:pPr>
        <w:spacing w:after="120"/>
      </w:pPr>
      <w:r>
        <w:rPr>
          <w:rFonts w:ascii="Calibri" w:cs="Calibri" w:eastAsia="Calibri" w:hAnsi="Calibri"/>
          <w:b w:val="false"/>
          <w:bCs w:val="false"/>
          <w:i w:val="false"/>
          <w:iCs w:val="false"/>
          <w:sz w:val="22"/>
          <w:szCs w:val="22"/>
        </w:rPr>
        <w:t xml:space="preserve">Zielgröße ist die prozentuale Abweichung zwischen gemessenem und zertifiziertem Verbrauch je Fahrzeug, aggregiert als Median je Antriebsklasse, Land und Zulassungsjahrgang. Zusätzlich das 90. Perzentil, weil bei Plug-in-Hybriden genau das obere Ende die Aussage trägt.</w:t>
      </w:r>
    </w:p>
    <w:p>
      <w:pPr>
        <w:spacing w:after="120"/>
      </w:pPr>
      <w:r>
        <w:rPr>
          <w:rFonts w:ascii="Calibri" w:cs="Calibri" w:eastAsia="Calibri" w:hAnsi="Calibri"/>
          <w:b w:val="false"/>
          <w:bCs w:val="false"/>
          <w:i w:val="false"/>
          <w:iCs w:val="false"/>
          <w:sz w:val="22"/>
          <w:szCs w:val="22"/>
        </w:rPr>
        <w:t xml:space="preserve">Für den fairen Vergleich der Antriebsarten wird auf g CO₂ je Kilometer umgerechnet und der Netzstrom mit dem realen deutschen Strommix bewertet (Well-to-Wheel). Beide Seiten liegen dabei in derselben Systemgrenze: direkte Verbrennungsemission ohne Vorkette, weil auch der Bordzähler nur den Auspuff misst.</w:t>
      </w:r>
    </w:p>
    <w:p>
      <w:pPr>
        <w:spacing w:after="120"/>
      </w:pPr>
      <w:r>
        <w:rPr>
          <w:rFonts w:ascii="Calibri" w:cs="Calibri" w:eastAsia="Calibri" w:hAnsi="Calibri"/>
          <w:b w:val="false"/>
          <w:bCs w:val="false"/>
          <w:i w:val="false"/>
          <w:iCs w:val="false"/>
          <w:sz w:val="22"/>
          <w:szCs w:val="22"/>
        </w:rPr>
        <w:t xml:space="preserve">Das Regressionsmodell wird über R², MAE und RMSE bewertet. Entscheidend ist nicht der hohe Wert über alle Antriebe (R² = 0,736) — dort erklärt die Antriebsart die Lücke fast allein —, sondern der Wert innerhalb der Plug-in-Hybride (R² = 0,581). Die dort unerklärten 42 % sind das Ergebnis, nicht der Fehler.</w:t>
      </w:r>
    </w:p>
    <w:p>
      <w:pPr>
        <w:spacing w:after="120" w:before="280"/>
      </w:pPr>
      <w:r>
        <w:rPr>
          <w:rFonts w:ascii="Calibri" w:cs="Calibri" w:eastAsia="Calibri" w:hAnsi="Calibri"/>
          <w:b/>
          <w:bCs/>
          <w:sz w:val="24"/>
          <w:szCs w:val="24"/>
        </w:rPr>
        <w:t xml:space="preserve">Kernergebnisse</w:t>
      </w:r>
    </w:p>
    <w:p>
      <w:pPr>
        <w:pStyle w:val="ListParagraph"/>
        <w:numPr>
          <w:ilvl w:val="0"/>
          <w:numId w:val="2"/>
        </w:numPr>
        <w:spacing w:after="90"/>
      </w:pPr>
      <w:r>
        <w:rPr>
          <w:rFonts w:ascii="Calibri" w:cs="Calibri" w:eastAsia="Calibri" w:hAnsi="Calibri"/>
          <w:b/>
          <w:bCs/>
          <w:i w:val="false"/>
          <w:iCs w:val="false"/>
          <w:sz w:val="22"/>
          <w:szCs w:val="22"/>
        </w:rPr>
        <w:t xml:space="preserve">H1 bestätigt. </w:t>
      </w:r>
      <w:r>
        <w:rPr>
          <w:rFonts w:ascii="Calibri" w:cs="Calibri" w:eastAsia="Calibri" w:hAnsi="Calibri"/>
          <w:sz w:val="22"/>
          <w:szCs w:val="22"/>
        </w:rPr>
        <w:t xml:space="preserve">Deutschland, 1.608.112 Fahrzeuge: Benzin +16,0 %, Diesel +16,6 %, Hybrid ohne Stecker +18,8 %, Plug-in-Hybrid +320,7 % (Median).</w:t>
      </w:r>
    </w:p>
    <w:p>
      <w:pPr>
        <w:pStyle w:val="ListParagraph"/>
        <w:numPr>
          <w:ilvl w:val="0"/>
          <w:numId w:val="2"/>
        </w:numPr>
        <w:spacing w:after="90"/>
      </w:pPr>
      <w:r>
        <w:rPr>
          <w:rFonts w:ascii="Calibri" w:cs="Calibri" w:eastAsia="Calibri" w:hAnsi="Calibri"/>
          <w:b/>
          <w:bCs/>
          <w:i w:val="false"/>
          <w:iCs w:val="false"/>
          <w:sz w:val="22"/>
          <w:szCs w:val="22"/>
        </w:rPr>
        <w:t xml:space="preserve">Der Utility Factor ist die Ursache. </w:t>
      </w:r>
      <w:r>
        <w:rPr>
          <w:rFonts w:ascii="Calibri" w:cs="Calibri" w:eastAsia="Calibri" w:hAnsi="Calibri"/>
          <w:sz w:val="22"/>
          <w:szCs w:val="22"/>
        </w:rPr>
        <w:t xml:space="preserve">Die WLTP-Regel unterstellt rund 84 % elektrische Fahrleistung. Gemessen wurden in Deutschland 25,8 bis 27,0 % — ein knappes Drittel. Kein einziger der 27 Mitgliedstaaten kommt in die Nähe von 84 %.</w:t>
      </w:r>
    </w:p>
    <w:p>
      <w:pPr>
        <w:pStyle w:val="ListParagraph"/>
        <w:numPr>
          <w:ilvl w:val="0"/>
          <w:numId w:val="2"/>
        </w:numPr>
        <w:spacing w:after="90"/>
      </w:pPr>
      <w:r>
        <w:rPr>
          <w:rFonts w:ascii="Calibri" w:cs="Calibri" w:eastAsia="Calibri" w:hAnsi="Calibri"/>
          <w:b/>
          <w:bCs/>
          <w:i w:val="false"/>
          <w:iCs w:val="false"/>
          <w:sz w:val="22"/>
          <w:szCs w:val="22"/>
        </w:rPr>
        <w:t xml:space="preserve">H2 auf Flottenebene widerlegt. </w:t>
      </w:r>
      <w:r>
        <w:rPr>
          <w:rFonts w:ascii="Calibri" w:cs="Calibri" w:eastAsia="Calibri" w:hAnsi="Calibri"/>
          <w:sz w:val="22"/>
          <w:szCs w:val="22"/>
        </w:rPr>
        <w:t xml:space="preserve">Auch mit realem Netzstrom bleibt der Plug-in-Hybrid vorn: 160,8 gegen 169,4 g/km beim reinen Benziner. Die Kippgrenze liegt bei rund 500 g/kWh, der deutsche Mix bei 355,6 und fallend.</w:t>
      </w:r>
    </w:p>
    <w:p>
      <w:pPr>
        <w:pStyle w:val="ListParagraph"/>
        <w:numPr>
          <w:ilvl w:val="0"/>
          <w:numId w:val="2"/>
        </w:numPr>
        <w:spacing w:after="90"/>
      </w:pPr>
      <w:r>
        <w:rPr>
          <w:rFonts w:ascii="Calibri" w:cs="Calibri" w:eastAsia="Calibri" w:hAnsi="Calibri"/>
          <w:b/>
          <w:bCs/>
          <w:i w:val="false"/>
          <w:iCs w:val="false"/>
          <w:sz w:val="22"/>
          <w:szCs w:val="22"/>
        </w:rPr>
        <w:t xml:space="preserve">H2 auf Modellebene bestätigt. </w:t>
      </w:r>
      <w:r>
        <w:rPr>
          <w:rFonts w:ascii="Calibri" w:cs="Calibri" w:eastAsia="Calibri" w:hAnsi="Calibri"/>
          <w:sz w:val="22"/>
          <w:szCs w:val="22"/>
        </w:rPr>
        <w:t xml:space="preserve">Von 7.960 Modellpaaren, bei denen der Plug-in-Hybrid auf dem Papier besser dasteht, ist der Verbrenner in 1.665 Fällen (20,9 %) real sparsamer. Beispiel: BMW 116d 4,60 l Papier / 5,44 l real gegen MG EHS Plug-in-Hybrid 1,80 l Papier / 8,58 l real.</w:t>
      </w:r>
    </w:p>
    <w:p>
      <w:pPr>
        <w:pStyle w:val="ListParagraph"/>
        <w:numPr>
          <w:ilvl w:val="0"/>
          <w:numId w:val="2"/>
        </w:numPr>
        <w:spacing w:after="90"/>
      </w:pPr>
      <w:r>
        <w:rPr>
          <w:rFonts w:ascii="Calibri" w:cs="Calibri" w:eastAsia="Calibri" w:hAnsi="Calibri"/>
          <w:b/>
          <w:bCs/>
          <w:i w:val="false"/>
          <w:iCs w:val="false"/>
          <w:sz w:val="22"/>
          <w:szCs w:val="22"/>
        </w:rPr>
        <w:t xml:space="preserve">Das Batterieauto ist nicht emissionsfrei. </w:t>
      </w:r>
      <w:r>
        <w:rPr>
          <w:rFonts w:ascii="Calibri" w:cs="Calibri" w:eastAsia="Calibri" w:hAnsi="Calibri"/>
          <w:sz w:val="22"/>
          <w:szCs w:val="22"/>
        </w:rPr>
        <w:t xml:space="preserve">Die Verordnung schreibt 0 g/km vor. Mit dem realen deutschen Strommix sind es 66,7 g/km, über drei Aufschlagsszenarien 58,0 bis 75,4 — im ungünstigsten Fall immer noch 44 % des besten Verbrenners.</w:t>
      </w:r>
    </w:p>
    <w:p>
      <w:pPr>
        <w:pStyle w:val="ListParagraph"/>
        <w:numPr>
          <w:ilvl w:val="0"/>
          <w:numId w:val="2"/>
        </w:numPr>
        <w:spacing w:after="90"/>
      </w:pPr>
      <w:r>
        <w:rPr>
          <w:rFonts w:ascii="Calibri" w:cs="Calibri" w:eastAsia="Calibri" w:hAnsi="Calibri"/>
          <w:b/>
          <w:bCs/>
          <w:i w:val="false"/>
          <w:iCs w:val="false"/>
          <w:sz w:val="22"/>
          <w:szCs w:val="22"/>
        </w:rPr>
        <w:t xml:space="preserve">Die Gewichtsspirale läuft weiter. </w:t>
      </w:r>
      <w:r>
        <w:rPr>
          <w:rFonts w:ascii="Calibri" w:cs="Calibri" w:eastAsia="Calibri" w:hAnsi="Calibri"/>
          <w:sz w:val="22"/>
          <w:szCs w:val="22"/>
        </w:rPr>
        <w:t xml:space="preserve">Das durchschnittliche Neufahrzeug in Deutschland wurde zwischen 2021 und 2025 um 123,9 kg schwerer (1.577,1 auf 1.701,0 kg).</w:t>
      </w:r>
    </w:p>
    <w:p>
      <w:pPr>
        <w:spacing w:after="120" w:before="280"/>
      </w:pPr>
      <w:r>
        <w:rPr>
          <w:rFonts w:ascii="Calibri" w:cs="Calibri" w:eastAsia="Calibri" w:hAnsi="Calibri"/>
          <w:b/>
          <w:bCs/>
          <w:sz w:val="24"/>
          <w:szCs w:val="24"/>
        </w:rPr>
        <w:t xml:space="preserve">Anmerkungen</w:t>
      </w:r>
    </w:p>
    <w:p>
      <w:pPr>
        <w:pStyle w:val="ListParagraph"/>
        <w:numPr>
          <w:ilvl w:val="0"/>
          <w:numId w:val="2"/>
        </w:numPr>
        <w:spacing w:after="90"/>
      </w:pPr>
      <w:r>
        <w:rPr>
          <w:rFonts w:ascii="Calibri" w:cs="Calibri" w:eastAsia="Calibri" w:hAnsi="Calibri"/>
          <w:sz w:val="22"/>
          <w:szCs w:val="22"/>
        </w:rPr>
        <w:t xml:space="preserve">Alle Daten sind real und amtlich. Es wurden keine synthetischen Sätze erzeugt. Jede genannte Kennzahl stammt aus einer ausgeführten Abfrage, deren Ausgabe im Projektordner liegt.</w:t>
      </w:r>
    </w:p>
    <w:p>
      <w:pPr>
        <w:pStyle w:val="ListParagraph"/>
        <w:numPr>
          <w:ilvl w:val="0"/>
          <w:numId w:val="2"/>
        </w:numPr>
        <w:spacing w:after="90"/>
      </w:pPr>
      <w:r>
        <w:rPr>
          <w:rFonts w:ascii="Calibri" w:cs="Calibri" w:eastAsia="Calibri" w:hAnsi="Calibri"/>
          <w:b/>
          <w:bCs/>
          <w:i w:val="false"/>
          <w:iCs w:val="false"/>
          <w:sz w:val="22"/>
          <w:szCs w:val="22"/>
        </w:rPr>
        <w:t xml:space="preserve">Eine Annahme wurde durch die Gegenprobe widerlegt. </w:t>
      </w:r>
      <w:r>
        <w:rPr>
          <w:rFonts w:ascii="Calibri" w:cs="Calibri" w:eastAsia="Calibri" w:hAnsi="Calibri"/>
          <w:sz w:val="22"/>
          <w:szCs w:val="22"/>
        </w:rPr>
        <w:t xml:space="preserve">Der angenommene Emissionsfaktor für Benzin (2330 g/l, Literaturwert) weicht von dem ab, mit dem die EEA selbst rechnet. Aus ihren Daten zurückgerechnet ergeben sich 2278 g/l über 94 Fahrzeuggruppen, identisch für gemessene und Laborwerte. Übernommen wurde der EEA-Wert.</w:t>
      </w:r>
    </w:p>
    <w:p>
      <w:pPr>
        <w:pStyle w:val="ListParagraph"/>
        <w:numPr>
          <w:ilvl w:val="0"/>
          <w:numId w:val="2"/>
        </w:numPr>
        <w:spacing w:after="90"/>
      </w:pPr>
      <w:r>
        <w:rPr>
          <w:rFonts w:ascii="Calibri" w:cs="Calibri" w:eastAsia="Calibri" w:hAnsi="Calibri"/>
          <w:b/>
          <w:bCs/>
          <w:i w:val="false"/>
          <w:iCs w:val="false"/>
          <w:sz w:val="22"/>
          <w:szCs w:val="22"/>
        </w:rPr>
        <w:t xml:space="preserve">Die BEV-Zeile ist nicht gleichwertig. </w:t>
      </w:r>
      <w:r>
        <w:rPr>
          <w:rFonts w:ascii="Calibri" w:cs="Calibri" w:eastAsia="Calibri" w:hAnsi="Calibri"/>
          <w:sz w:val="22"/>
          <w:szCs w:val="22"/>
        </w:rPr>
        <w:t xml:space="preserve">Der Bordzähler misst Kraftstoff; ein Batterieauto hat keinen und ist in dieser Quelle nicht enthalten. Die BEV-Werte stammen aus der WLTP-Typprüfung und werden in der Ergebnistabelle durch eine eigene Spalte als Laborwert gekennzeichnet.</w:t>
      </w:r>
    </w:p>
    <w:p>
      <w:pPr>
        <w:pStyle w:val="ListParagraph"/>
        <w:numPr>
          <w:ilvl w:val="0"/>
          <w:numId w:val="2"/>
        </w:numPr>
        <w:spacing w:after="90"/>
      </w:pPr>
      <w:r>
        <w:rPr>
          <w:rFonts w:ascii="Calibri" w:cs="Calibri" w:eastAsia="Calibri" w:hAnsi="Calibri"/>
          <w:b/>
          <w:bCs/>
          <w:i w:val="false"/>
          <w:iCs w:val="false"/>
          <w:sz w:val="22"/>
          <w:szCs w:val="22"/>
        </w:rPr>
        <w:t xml:space="preserve">Datenqualitätsbefunde wurden dokumentiert, nicht weggefiltert. </w:t>
      </w:r>
      <w:r>
        <w:rPr>
          <w:rFonts w:ascii="Calibri" w:cs="Calibri" w:eastAsia="Calibri" w:hAnsi="Calibri"/>
          <w:sz w:val="22"/>
          <w:szCs w:val="22"/>
        </w:rPr>
        <w:t xml:space="preserve">Der größte Wert in den Distanzspalten ist exakt 429.496.740 km = 2³²/10 — ein überlaufender 32-Bit-Zähler im Bordmessgerät, kein Ausreißer.</w:t>
      </w:r>
    </w:p>
    <w:p>
      <w:pPr>
        <w:pStyle w:val="ListParagraph"/>
        <w:numPr>
          <w:ilvl w:val="0"/>
          <w:numId w:val="2"/>
        </w:numPr>
        <w:spacing w:after="90"/>
      </w:pPr>
      <w:r>
        <w:rPr>
          <w:rFonts w:ascii="Calibri" w:cs="Calibri" w:eastAsia="Calibri" w:hAnsi="Calibri"/>
          <w:b/>
          <w:bCs/>
          <w:i w:val="false"/>
          <w:iCs w:val="false"/>
          <w:sz w:val="22"/>
          <w:szCs w:val="22"/>
        </w:rPr>
        <w:t xml:space="preserve">Die Vollständigkeitsfilter kosten 0,58 % der Sätze </w:t>
      </w:r>
      <w:r>
        <w:rPr>
          <w:rFonts w:ascii="Calibri" w:cs="Calibri" w:eastAsia="Calibri" w:hAnsi="Calibri"/>
          <w:sz w:val="22"/>
          <w:szCs w:val="22"/>
        </w:rPr>
        <w:t xml:space="preserve">und verschieben den Antriebsmix nicht (34,02 → 34,02 % / 31,13 → 31,12 % / 23,40 → 23,40 % / 11,45 → 11,47 %). Beides ist beziffert und belegt.</w:t>
      </w:r>
    </w:p>
    <w:p>
      <w:pPr>
        <w:pStyle w:val="ListParagraph"/>
        <w:numPr>
          <w:ilvl w:val="0"/>
          <w:numId w:val="2"/>
        </w:numPr>
        <w:spacing w:after="90"/>
      </w:pPr>
      <w:r>
        <w:rPr>
          <w:rFonts w:ascii="Calibri" w:cs="Calibri" w:eastAsia="Calibri" w:hAnsi="Calibri"/>
          <w:b/>
          <w:bCs/>
          <w:i w:val="false"/>
          <w:iCs w:val="false"/>
          <w:sz w:val="22"/>
          <w:szCs w:val="22"/>
        </w:rPr>
        <w:t xml:space="preserve">17 Fehler sind protokolliert, davon sechs stumme </w:t>
      </w:r>
      <w:r>
        <w:rPr>
          <w:rFonts w:ascii="Calibri" w:cs="Calibri" w:eastAsia="Calibri" w:hAnsi="Calibri"/>
          <w:sz w:val="22"/>
          <w:szCs w:val="22"/>
        </w:rPr>
        <w:t xml:space="preserve">— Fehler, die kein Programm zum Absturz gebracht, sondern falsche oder leere Ergebnisse geliefert haben, während jeder Schritt „ok“ meldete.</w:t>
      </w:r>
    </w:p>
    <w:p>
      <w:pPr>
        <w:spacing w:after="120" w:before="280"/>
      </w:pPr>
      <w:r>
        <w:rPr>
          <w:rFonts w:ascii="Calibri" w:cs="Calibri" w:eastAsia="Calibri" w:hAnsi="Calibri"/>
          <w:b/>
          <w:bCs/>
          <w:sz w:val="24"/>
          <w:szCs w:val="24"/>
        </w:rPr>
        <w:t xml:space="preserve">Literaturhinweise</w:t>
      </w:r>
    </w:p>
    <w:p>
      <w:pPr>
        <w:pStyle w:val="ListParagraph"/>
        <w:numPr>
          <w:ilvl w:val="0"/>
          <w:numId w:val="2"/>
        </w:numPr>
        <w:spacing w:after="90"/>
      </w:pPr>
      <w:r>
        <w:rPr>
          <w:rFonts w:ascii="Calibri" w:cs="Calibri" w:eastAsia="Calibri" w:hAnsi="Calibri"/>
          <w:sz w:val="22"/>
          <w:szCs w:val="22"/>
        </w:rPr>
        <w:t xml:space="preserve">Verordnung (EU) 2019/631 zur Festsetzung von CO₂-Emissionsnormen für neue Personenkraftwagen, Art. 7 (Überwachung) und Art. 12 (Realverbrauchsdaten).</w:t>
      </w:r>
    </w:p>
    <w:p>
      <w:pPr>
        <w:pStyle w:val="ListParagraph"/>
        <w:numPr>
          <w:ilvl w:val="0"/>
          <w:numId w:val="2"/>
        </w:numPr>
        <w:spacing w:after="90"/>
      </w:pPr>
      <w:r>
        <w:rPr>
          <w:rFonts w:ascii="Calibri" w:cs="Calibri" w:eastAsia="Calibri" w:hAnsi="Calibri"/>
          <w:sz w:val="22"/>
          <w:szCs w:val="22"/>
        </w:rPr>
        <w:t xml:space="preserve">European Environment Agency: Monitoring of CO₂ emissions from passenger cars (co2cars), DiscoData SQL-REST-Endpunkt. EEA Data Policy.</w:t>
      </w:r>
    </w:p>
    <w:p>
      <w:pPr>
        <w:pStyle w:val="ListParagraph"/>
        <w:numPr>
          <w:ilvl w:val="0"/>
          <w:numId w:val="2"/>
        </w:numPr>
        <w:spacing w:after="90"/>
      </w:pPr>
      <w:r>
        <w:rPr>
          <w:rFonts w:ascii="Calibri" w:cs="Calibri" w:eastAsia="Calibri" w:hAnsi="Calibri"/>
          <w:sz w:val="22"/>
          <w:szCs w:val="22"/>
        </w:rPr>
        <w:t xml:space="preserve">European Environment Agency: Real-world CO₂ emissions and fuel consumption of new passenger cars (OBFCM), inkl. Aggregatdatei je Hersteller und Kraftstoff. CC-BY-4.0.</w:t>
      </w:r>
    </w:p>
    <w:p>
      <w:pPr>
        <w:pStyle w:val="ListParagraph"/>
        <w:numPr>
          <w:ilvl w:val="0"/>
          <w:numId w:val="2"/>
        </w:numPr>
        <w:spacing w:after="90"/>
      </w:pPr>
      <w:r>
        <w:rPr>
          <w:rFonts w:ascii="Calibri" w:cs="Calibri" w:eastAsia="Calibri" w:hAnsi="Calibri"/>
          <w:sz w:val="22"/>
          <w:szCs w:val="22"/>
        </w:rPr>
        <w:t xml:space="preserve">Bundesnetzagentur | SMARD.de: Realisierte Stromerzeugung je Energieträger, Stundenwerte 2021–2025. CC-BY-4.0.</w:t>
      </w:r>
    </w:p>
    <w:p>
      <w:pPr>
        <w:pStyle w:val="ListParagraph"/>
        <w:numPr>
          <w:ilvl w:val="0"/>
          <w:numId w:val="2"/>
        </w:numPr>
        <w:spacing w:after="90"/>
      </w:pPr>
      <w:r>
        <w:rPr>
          <w:rFonts w:ascii="Calibri" w:cs="Calibri" w:eastAsia="Calibri" w:hAnsi="Calibri"/>
          <w:sz w:val="22"/>
          <w:szCs w:val="22"/>
        </w:rPr>
        <w:t xml:space="preserve">Dokumentationen: PostgreSQL 18, KNIME Analytics Platform 5.12.</w:t>
      </w:r>
    </w:p>
    <w:p>
      <w:pPr>
        <w:pStyle w:val="ListParagraph"/>
        <w:numPr>
          <w:ilvl w:val="0"/>
          <w:numId w:val="2"/>
        </w:numPr>
        <w:spacing w:after="90"/>
      </w:pPr>
      <w:r>
        <w:rPr>
          <w:rFonts w:ascii="Calibri" w:cs="Calibri" w:eastAsia="Calibri" w:hAnsi="Calibri"/>
          <w:sz w:val="22"/>
          <w:szCs w:val="22"/>
        </w:rPr>
        <w:t xml:space="preserve">Kursunterlagen der Machine-Learning-Weiterbildung educX, Modul Big Data.</w:t>
      </w:r>
    </w:p>
    <w:p>
      <w:pPr>
        <w:spacing w:after="120" w:before="280"/>
      </w:pPr>
      <w:r>
        <w:rPr>
          <w:rFonts w:ascii="Calibri" w:cs="Calibri" w:eastAsia="Calibri" w:hAnsi="Calibri"/>
          <w:b/>
          <w:bCs/>
          <w:sz w:val="24"/>
          <w:szCs w:val="24"/>
        </w:rPr>
        <w:t xml:space="preserve">Die Suche nach der besten Evidenz</w:t>
      </w:r>
    </w:p>
    <w:p>
      <w:pPr>
        <w:spacing w:after="120"/>
      </w:pPr>
      <w:r>
        <w:rPr>
          <w:rFonts w:ascii="Calibri" w:cs="Calibri" w:eastAsia="Calibri" w:hAnsi="Calibri"/>
          <w:b w:val="false"/>
          <w:bCs w:val="false"/>
          <w:i w:val="false"/>
          <w:iCs w:val="false"/>
          <w:sz w:val="22"/>
          <w:szCs w:val="22"/>
        </w:rPr>
        <w:t xml:space="preserve">1. Problem: Die öffentliche Debatte über den Verbrennerausstieg stützt sich auf Laborwerte, obwohl seit 2021 gemessene Werte für Millionen Fahrzeuge vorliegen.</w:t>
      </w:r>
    </w:p>
    <w:p>
      <w:pPr>
        <w:spacing w:after="120"/>
      </w:pPr>
      <w:r>
        <w:rPr>
          <w:rFonts w:ascii="Calibri" w:cs="Calibri" w:eastAsia="Calibri" w:hAnsi="Calibri"/>
          <w:b w:val="false"/>
          <w:bCs w:val="false"/>
          <w:i w:val="false"/>
          <w:iCs w:val="false"/>
          <w:sz w:val="22"/>
          <w:szCs w:val="22"/>
        </w:rPr>
        <w:t xml:space="preserve">2. Definition einer suchbaren Frage: Wie groß ist die Abweichung zwischen zertifiziertem und gemessenem Verbrauch je Antriebsart, und ändert sie die Rangfolge der Antriebe?</w:t>
      </w:r>
    </w:p>
    <w:p>
      <w:pPr>
        <w:spacing w:after="120"/>
      </w:pPr>
      <w:r>
        <w:rPr>
          <w:rFonts w:ascii="Calibri" w:cs="Calibri" w:eastAsia="Calibri" w:hAnsi="Calibri"/>
          <w:b w:val="false"/>
          <w:bCs w:val="false"/>
          <w:i w:val="false"/>
          <w:iCs w:val="false"/>
          <w:sz w:val="22"/>
          <w:szCs w:val="22"/>
        </w:rPr>
        <w:t xml:space="preserve">3. Auswahl der wahrscheinlichsten Quelle: die beiden Meldedatenbestände der Europäischen Umweltagentur nach Art. 7 und Art. 12 — dieselben Fahrzeuge, zwei unabhängig erhobene Werte.</w:t>
      </w:r>
    </w:p>
    <w:p>
      <w:pPr>
        <w:spacing w:after="120"/>
      </w:pPr>
      <w:r>
        <w:rPr>
          <w:rFonts w:ascii="Calibri" w:cs="Calibri" w:eastAsia="Calibri" w:hAnsi="Calibri"/>
          <w:b w:val="false"/>
          <w:bCs w:val="false"/>
          <w:i w:val="false"/>
          <w:iCs w:val="false"/>
          <w:sz w:val="22"/>
          <w:szCs w:val="22"/>
        </w:rPr>
        <w:t xml:space="preserve">4. Erstellung einer Suchstrategie: eigene Ladepipeline für den REST-Endpunkt, vierschichtige Datenbank, Sternschema, Analysen A1 bis A6, Well-to-Wheel mit SMARD-Strommix, Regression in KNIME.</w:t>
      </w:r>
    </w:p>
    <w:p>
      <w:pPr>
        <w:spacing w:after="120"/>
      </w:pPr>
      <w:r>
        <w:rPr>
          <w:rFonts w:ascii="Calibri" w:cs="Calibri" w:eastAsia="Calibri" w:hAnsi="Calibri"/>
          <w:b w:val="false"/>
          <w:bCs w:val="false"/>
          <w:i w:val="false"/>
          <w:iCs w:val="false"/>
          <w:sz w:val="22"/>
          <w:szCs w:val="22"/>
        </w:rPr>
        <w:t xml:space="preserve">5. Zusammenstellung der Evidenzausbeute: 37,1 Mio. Zulassungen und 7,8 Mio. Fahrzeuge mit gemessenem Verbrauch, zusammen rund 45 Mio. Zeilen und 8,2 GB. Zeilenkontrolle zwischen den Schichten: Differenz null. Gegenprobe gegen die EEA-Aggregatdatei bestanden, mit einer korrigierten Annahme.</w:t>
      </w:r>
    </w:p>
    <w:p>
      <w:pPr>
        <w:spacing w:after="0"/>
      </w:pPr>
      <w:r>
        <w:rPr>
          <w:rFonts w:ascii="Calibri" w:cs="Calibri" w:eastAsia="Calibri" w:hAnsi="Calibri"/>
          <w:b w:val="false"/>
          <w:bCs w:val="false"/>
          <w:i w:val="false"/>
          <w:iCs w:val="false"/>
          <w:sz w:val="22"/>
          <w:szCs w:val="22"/>
        </w:rPr>
        <w:t xml:space="preserve">6. Anwendung der Evidenz: Die Lücke ist bei Verbrennern moderat (+16 bis +19 %) und bei Plug-in-Hybriden dramatisch (+320,7 %). Der Plug-in-Hybrid bleibt auf Flottenebene dennoch die sparsamere Wahl — sein zertifizierter Vorsprung ist jedoch etwa ein Zehntel so groß wie ausgewiesen. Auf Modellebene kehrt sich die Rangfolge in jedem fünften Vergleich um. Quellcode, SQL und KNIME-Workflow sind vollständig dokumentiert und mit einem Aufruf reproduzierbar.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2026-08-12T11:40:30.290Z</dcterms:created>
  <dcterms:modified xsi:type="dcterms:W3CDTF">2026-08-12T11:40:30.291Z</dcterms:modified>
</cp:coreProperties>
</file>

<file path=docProps/custom.xml><?xml version="1.0" encoding="utf-8"?>
<Properties xmlns="http://schemas.openxmlformats.org/officeDocument/2006/custom-properties" xmlns:vt="http://schemas.openxmlformats.org/officeDocument/2006/docPropsVTypes"/>
</file>