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nachvollziehbare-schritte"/>
      <w:r>
        <w:t xml:space="preserve">Nachvollziehbare Schritte</w:t>
      </w:r>
      <w:bookmarkEnd w:id="20"/>
    </w:p>
    <w:p>
      <w:pPr>
        <w:pStyle w:val="FirstParagraph"/>
      </w:pPr>
      <w:r>
        <w:rPr>
          <w:b/>
        </w:rPr>
        <w:t xml:space="preserve">Projekt:</w:t>
      </w:r>
      <w:r>
        <w:t xml:space="preserve"> </w:t>
      </w:r>
      <w:r>
        <w:t xml:space="preserve">Papier gegen Straße — Die Realverbrauchslücke der EU-Neuwagenflotte</w:t>
      </w:r>
      <w:r>
        <w:t xml:space="preserve"> </w:t>
      </w:r>
      <w:r>
        <w:rPr>
          <w:b/>
        </w:rPr>
        <w:t xml:space="preserve">Verfasser:</w:t>
      </w:r>
      <w:r>
        <w:t xml:space="preserve"> </w:t>
      </w:r>
      <w:r>
        <w:t xml:space="preserve">Alexander Sagert</w:t>
      </w:r>
      <w:r>
        <w:t xml:space="preserve"> </w:t>
      </w:r>
      <w:r>
        <w:rPr>
          <w:b/>
        </w:rPr>
        <w:t xml:space="preserve">Kurs:</w:t>
      </w:r>
      <w:r>
        <w:t xml:space="preserve"> </w:t>
      </w:r>
      <w:r>
        <w:t xml:space="preserve">Big Data, educX GmbH · Projektwoche 10.–13.08.2026</w:t>
      </w:r>
      <w:r>
        <w:t xml:space="preserve"> </w:t>
      </w:r>
      <w:r>
        <w:rPr>
          <w:b/>
        </w:rPr>
        <w:t xml:space="preserve">Datenstand:</w:t>
      </w:r>
      <w:r>
        <w:t xml:space="preserve"> </w:t>
      </w:r>
      <w:r>
        <w:t xml:space="preserve">12.08.2026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datenquellen"/>
      <w:r>
        <w:t xml:space="preserve">1 · Datenquellen</w:t>
      </w:r>
      <w:bookmarkEnd w:id="21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Quelle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Inhalt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Zugang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Lizenz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EEA co2cars, VO (EU) 2019/631 Art. 7</w:t>
            </w:r>
          </w:p>
        </w:tc>
        <w:tc>
          <w:p>
            <w:pPr>
              <w:pStyle w:val="Compact"/>
              <w:jc w:val="left"/>
            </w:pPr>
            <w:r>
              <w:t xml:space="preserve">jede Neuzulassung auf Fahrzeugebene</w:t>
            </w:r>
          </w:p>
        </w:tc>
        <w:tc>
          <w:p>
            <w:pPr>
              <w:pStyle w:val="Compact"/>
              <w:jc w:val="left"/>
            </w:pPr>
            <w:r>
              <w:t xml:space="preserve">DiscoData SQL-REST</w:t>
            </w:r>
          </w:p>
        </w:tc>
        <w:tc>
          <w:p>
            <w:pPr>
              <w:pStyle w:val="Compact"/>
              <w:jc w:val="left"/>
            </w:pPr>
            <w:r>
              <w:t xml:space="preserve">EEA Data Policy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EEA Real-world CO₂ (OBFCM), Art. 12</w:t>
            </w:r>
          </w:p>
        </w:tc>
        <w:tc>
          <w:p>
            <w:pPr>
              <w:pStyle w:val="Compact"/>
              <w:jc w:val="left"/>
            </w:pPr>
            <w:r>
              <w:t xml:space="preserve">Lebensdauer-Verbrauch je Fahrzeug inkl. WLTP-Referenz</w:t>
            </w:r>
          </w:p>
        </w:tc>
        <w:tc>
          <w:p>
            <w:pPr>
              <w:pStyle w:val="Compact"/>
              <w:jc w:val="left"/>
            </w:pPr>
            <w:r>
              <w:t xml:space="preserve">CSV-Direktdownload</w:t>
            </w:r>
          </w:p>
        </w:tc>
        <w:tc>
          <w:p>
            <w:pPr>
              <w:pStyle w:val="Compact"/>
              <w:jc w:val="left"/>
            </w:pPr>
            <w:r>
              <w:t xml:space="preserve">CC-BY-4.0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EEA Aggregatdatei OBFCM</w:t>
            </w:r>
          </w:p>
        </w:tc>
        <w:tc>
          <w:p>
            <w:pPr>
              <w:pStyle w:val="Compact"/>
              <w:jc w:val="left"/>
            </w:pPr>
            <w:r>
              <w:t xml:space="preserve">Verbrauchslücke je Hersteller und Kraftstoff, fertig gerechnet</w:t>
            </w:r>
          </w:p>
        </w:tc>
        <w:tc>
          <w:p>
            <w:pPr>
              <w:pStyle w:val="Compact"/>
              <w:jc w:val="left"/>
            </w:pPr>
            <w:r>
              <w:t xml:space="preserve">CSV</w:t>
            </w:r>
          </w:p>
        </w:tc>
        <w:tc>
          <w:p>
            <w:pPr>
              <w:pStyle w:val="Compact"/>
              <w:jc w:val="left"/>
            </w:pPr>
            <w:r>
              <w:t xml:space="preserve">CC-BY-4.0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SMARD, Bundesnetzagentur</w:t>
            </w:r>
          </w:p>
        </w:tc>
        <w:tc>
          <w:p>
            <w:pPr>
              <w:pStyle w:val="Compact"/>
              <w:jc w:val="left"/>
            </w:pPr>
            <w:r>
              <w:t xml:space="preserve">realisierte Stromerzeugung je Energieträger, stündlich</w:t>
            </w:r>
          </w:p>
        </w:tc>
        <w:tc>
          <w:p>
            <w:pPr>
              <w:pStyle w:val="Compact"/>
              <w:jc w:val="left"/>
            </w:pPr>
            <w:r>
              <w:t xml:space="preserve">JSON-API</w:t>
            </w:r>
          </w:p>
        </w:tc>
        <w:tc>
          <w:p>
            <w:pPr>
              <w:pStyle w:val="Compact"/>
              <w:jc w:val="left"/>
            </w:pPr>
            <w:r>
              <w:t xml:space="preserve">CC-BY-4.0</w:t>
            </w:r>
          </w:p>
        </w:tc>
      </w:tr>
    </w:tbl>
    <w:p>
      <w:pPr>
        <w:pStyle w:val="BodyText"/>
      </w:pPr>
      <w:r>
        <w:t xml:space="preserve">Vollständige Steckbriefe mit URLs, Tabellennamen und Feldlisten:</w:t>
      </w:r>
      <w:r>
        <w:t xml:space="preserve"> </w:t>
      </w:r>
      <w:r>
        <w:rPr>
          <w:rStyle w:val="VerbatimChar"/>
        </w:rPr>
        <w:t xml:space="preserve">00_doku/01_Datenquellen_Steckbriefe.md</w:t>
      </w:r>
    </w:p>
    <w:p>
      <w:pPr>
        <w:pStyle w:val="BodyText"/>
      </w:pPr>
      <w:r>
        <w:rPr>
          <w:b/>
        </w:rPr>
        <w:t xml:space="preserve">Die Beschaffung war der erste substanzielle Teil der Arbeit.</w:t>
      </w:r>
      <w:r>
        <w:t xml:space="preserve"> </w:t>
      </w:r>
      <w:r>
        <w:t xml:space="preserve">Für</w:t>
      </w:r>
      <w:r>
        <w:t xml:space="preserve"> </w:t>
      </w:r>
      <w:r>
        <w:rPr>
          <w:rStyle w:val="VerbatimChar"/>
        </w:rPr>
        <w:t xml:space="preserve">co2cars</w:t>
      </w:r>
      <w:r>
        <w:t xml:space="preserve"> </w:t>
      </w:r>
      <w:r>
        <w:t xml:space="preserve">existiert kein</w:t>
      </w:r>
      <w:r>
        <w:t xml:space="preserve"> </w:t>
      </w:r>
      <w:r>
        <w:t xml:space="preserve">CSV-Bulkdownload mehr. Der SQL-REST-Endpunkt von DiscoData ist die einzige Quelle für</w:t>
      </w:r>
      <w:r>
        <w:t xml:space="preserve"> </w:t>
      </w:r>
      <w:r>
        <w:t xml:space="preserve">Rohdaten auf Fahrzeugebene. Er läuft auf MS SQL Server, verbietet CTEs, sperrt die</w:t>
      </w:r>
      <w:r>
        <w:t xml:space="preserve"> </w:t>
      </w:r>
      <w:r>
        <w:t xml:space="preserve">Systemtabellen und begrenzt die Antwortgröße. Die Ladepipeline musste deshalb selbst gebaut</w:t>
      </w:r>
      <w:r>
        <w:t xml:space="preserve"> </w:t>
      </w:r>
      <w:r>
        <w:t xml:space="preserve">werden — siehe Abschnitt 7.1.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kurze-darstellung-des-themas"/>
      <w:r>
        <w:t xml:space="preserve">2 · Kurze Darstellung des Themas</w:t>
      </w:r>
      <w:bookmarkEnd w:id="22"/>
    </w:p>
    <w:p>
      <w:pPr>
        <w:pStyle w:val="FirstParagraph"/>
      </w:pPr>
      <w:r>
        <w:t xml:space="preserve">Seit 2021 hat jedes neue Auto in der EU einen Verbrauchszähler an Bord. Die Hersteller müssen</w:t>
      </w:r>
      <w:r>
        <w:t xml:space="preserve"> </w:t>
      </w:r>
      <w:r>
        <w:t xml:space="preserve">dessen Werte an die Kommission melden (On-Board Fuel Consumption Meter, OBFCM, Art. 12 der</w:t>
      </w:r>
      <w:r>
        <w:t xml:space="preserve"> </w:t>
      </w:r>
      <w:r>
        <w:t xml:space="preserve">VO (EU) 2019/631). Zum ersten Mal lässt sich damit für Millionen einzelner Fahrzeuge prüfen,</w:t>
      </w:r>
      <w:r>
        <w:t xml:space="preserve"> </w:t>
      </w:r>
      <w:r>
        <w:t xml:space="preserve">ob der Wert auf dem Typenschild etwas mit der Straße zu tun hat.</w:t>
      </w:r>
    </w:p>
    <w:p>
      <w:pPr>
        <w:pStyle w:val="BodyText"/>
      </w:pPr>
      <w:r>
        <w:t xml:space="preserve">Dieselben Fahrzeuge stehen mit ihrem Zertifizierungswert in der Zulassungsdatenbank nach</w:t>
      </w:r>
      <w:r>
        <w:t xml:space="preserve"> </w:t>
      </w:r>
      <w:r>
        <w:t xml:space="preserve">Art. 7. Beide Datensätze lassen sich über die Typgenehmigung verbinden. Genau diese</w:t>
      </w:r>
      <w:r>
        <w:t xml:space="preserve"> </w:t>
      </w:r>
      <w:r>
        <w:t xml:space="preserve">Gegenüberstellung ist der Gegenstand des Projekts.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datenbeschreibung"/>
      <w:r>
        <w:t xml:space="preserve">3 · Datenbeschreibung</w:t>
      </w:r>
      <w:bookmarkEnd w:id="23"/>
    </w:p>
    <w:p>
      <w:pPr>
        <w:pStyle w:val="FirstParagraph"/>
      </w:pPr>
      <w:r>
        <w:t xml:space="preserve">Vollständig in</w:t>
      </w:r>
      <w:r>
        <w:t xml:space="preserve"> </w:t>
      </w:r>
      <w:r>
        <w:rPr>
          <w:rStyle w:val="VerbatimChar"/>
        </w:rPr>
        <w:t xml:space="preserve">00_doku/05_Datenlandkarte.md</w:t>
      </w:r>
      <w:r>
        <w:t xml:space="preserve"> </w:t>
      </w:r>
      <w:r>
        <w:t xml:space="preserve">— jede der 30 geladenen Spalten mit Bedeutung,</w:t>
      </w:r>
      <w:r>
        <w:t xml:space="preserve"> </w:t>
      </w:r>
      <w:r>
        <w:t xml:space="preserve">Beispielwert, gemessenem Belegungsgrad und Wertebereich.</w:t>
      </w:r>
    </w:p>
    <w:p>
      <w:pPr>
        <w:pStyle w:val="BodyText"/>
      </w:pPr>
      <w:r>
        <w:rPr>
          <w:b/>
        </w:rPr>
        <w:t xml:space="preserve">Vier Befunde haben das Datenmodell verändert.</w:t>
      </w:r>
      <w:r>
        <w:t xml:space="preserve"> </w:t>
      </w:r>
      <w:r>
        <w:t xml:space="preserve">Sie stehen hier, weil sie erklären, warum</w:t>
      </w:r>
      <w:r>
        <w:t xml:space="preserve"> </w:t>
      </w:r>
      <w:r>
        <w:t xml:space="preserve">das Schema so aussieht, wie es aussieht: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/>
        </w:rPr>
        <w:t xml:space="preserve">Ft</w:t>
      </w:r>
      <w:r>
        <w:rPr>
          <w:b/>
        </w:rPr>
        <w:t xml:space="preserve"> </w:t>
      </w:r>
      <w:r>
        <w:rPr>
          <w:b/>
        </w:rPr>
        <w:t xml:space="preserve">allein taugt nicht als Antriebsdimension.</w:t>
      </w:r>
      <w:r>
        <w:t xml:space="preserve"> </w:t>
      </w:r>
      <w:r>
        <w:t xml:space="preserve">34,2 % der Flotte sind Hybride ohne</w:t>
      </w:r>
      <w:r>
        <w:t xml:space="preserve"> </w:t>
      </w:r>
      <w:r>
        <w:t xml:space="preserve">Stecker und verstecken sich unter</w:t>
      </w:r>
      <w:r>
        <w:t xml:space="preserve"> </w:t>
      </w:r>
      <w:r>
        <w:rPr>
          <w:rStyle w:val="VerbatimChar"/>
        </w:rPr>
        <w:t xml:space="preserve">petrol</w:t>
      </w:r>
      <w:r>
        <w:t xml:space="preserve">. Wer nach</w:t>
      </w:r>
      <w:r>
        <w:t xml:space="preserve"> </w:t>
      </w:r>
      <w:r>
        <w:rPr>
          <w:rStyle w:val="VerbatimChar"/>
        </w:rPr>
        <w:t xml:space="preserve">Ft</w:t>
      </w:r>
      <w:r>
        <w:t xml:space="preserve"> </w:t>
      </w:r>
      <w:r>
        <w:t xml:space="preserve">gruppiert, vergleicht Äpfel mit</w:t>
      </w:r>
      <w:r>
        <w:t xml:space="preserve"> </w:t>
      </w:r>
      <w:r>
        <w:t xml:space="preserve">Birnen. Die Antriebsklasse wird deshalb aus</w:t>
      </w:r>
      <w:r>
        <w:t xml:space="preserve"> </w:t>
      </w:r>
      <w:r>
        <w:rPr>
          <w:rStyle w:val="VerbatimChar"/>
        </w:rPr>
        <w:t xml:space="preserve">Ft × Fm</w:t>
      </w:r>
      <w:r>
        <w:t xml:space="preserve"> </w:t>
      </w:r>
      <w:r>
        <w:t xml:space="preserve">gebildet (</w:t>
      </w:r>
      <w:r>
        <w:rPr>
          <w:rStyle w:val="VerbatimChar"/>
        </w:rPr>
        <w:t xml:space="preserve">core.antriebsklasse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/>
        </w:rPr>
        <w:t xml:space="preserve">Mp</w:t>
      </w:r>
      <w:r>
        <w:rPr>
          <w:b/>
        </w:rPr>
        <w:t xml:space="preserve"> </w:t>
      </w:r>
      <w:r>
        <w:rPr>
          <w:b/>
        </w:rPr>
        <w:t xml:space="preserve">(Pool) ist nur bei 38,4 % gefüllt.</w:t>
      </w:r>
      <w:r>
        <w:t xml:space="preserve"> </w:t>
      </w:r>
      <w:r>
        <w:t xml:space="preserve">Ein Pool existiert nur bei tatsächlicher</w:t>
      </w:r>
      <w:r>
        <w:t xml:space="preserve"> </w:t>
      </w:r>
      <w:r>
        <w:t xml:space="preserve">gemeinsamer Abrechnung. Die Abrechnungseinheit ist deshalb</w:t>
      </w:r>
      <w:r>
        <w:t xml:space="preserve"> </w:t>
      </w:r>
      <w:r>
        <w:rPr>
          <w:rStyle w:val="VerbatimChar"/>
        </w:rPr>
        <w:t xml:space="preserve">coalesce(mp_pool, mh_name, man_name)</w:t>
      </w:r>
      <w:r>
        <w:t xml:space="preserve">, ergänzt um ein Kennzeichen</w:t>
      </w:r>
      <w:r>
        <w:t xml:space="preserve"> </w:t>
      </w:r>
      <w:r>
        <w:rPr>
          <w:rStyle w:val="VerbatimChar"/>
        </w:rPr>
        <w:t xml:space="preserve">ist_gepoolt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/>
        </w:rPr>
        <w:t xml:space="preserve">IT</w:t>
      </w:r>
      <w:r>
        <w:rPr>
          <w:b/>
        </w:rPr>
        <w:t xml:space="preserve"> </w:t>
      </w:r>
      <w:r>
        <w:rPr>
          <w:b/>
        </w:rPr>
        <w:t xml:space="preserve">(Öko-Innovation) ist nicht normalisiert.</w:t>
      </w:r>
      <w:r>
        <w:t xml:space="preserve"> </w:t>
      </w:r>
      <w:r>
        <w:t xml:space="preserve">Dieselbe Technologie erscheint als</w:t>
      </w:r>
      <w:r>
        <w:t xml:space="preserve"> </w:t>
      </w:r>
      <w:r>
        <w:rPr>
          <w:rStyle w:val="VerbatimChar"/>
        </w:rPr>
        <w:t xml:space="preserve">e5 29 37</w:t>
      </w:r>
      <w:r>
        <w:t xml:space="preserve">,</w:t>
      </w:r>
      <w:r>
        <w:t xml:space="preserve"> </w:t>
      </w:r>
      <w:r>
        <w:rPr>
          <w:rStyle w:val="VerbatimChar"/>
        </w:rPr>
        <w:t xml:space="preserve">e5 2937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e529  37</w:t>
      </w:r>
      <w:r>
        <w:t xml:space="preserve">. Ohne Tokenisierung zerfällt sie über Dutzende</w:t>
      </w:r>
      <w:r>
        <w:t xml:space="preserve"> </w:t>
      </w:r>
      <w:r>
        <w:t xml:space="preserve">Schreibweisen.</w:t>
      </w:r>
      <w:r>
        <w:t xml:space="preserve"> </w:t>
      </w:r>
      <w:r>
        <w:rPr>
          <w:rStyle w:val="VerbatimChar"/>
        </w:rPr>
        <w:t xml:space="preserve">core.oeko_codes</w:t>
      </w:r>
      <w:r>
        <w:t xml:space="preserve"> </w:t>
      </w:r>
      <w:r>
        <w:t xml:space="preserve">zerlegt den Rohtext gegen eine Positivliste; nicht</w:t>
      </w:r>
      <w:r>
        <w:t xml:space="preserve"> </w:t>
      </w:r>
      <w:r>
        <w:t xml:space="preserve">zuordenbare Muster werden verworfen statt geraten.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Fünf Spalten sind im Jahrgang 2025 vollständig leer:</w:t>
      </w:r>
      <w:r>
        <w:t xml:space="preserve"> </w:t>
      </w:r>
      <w:r>
        <w:rPr>
          <w:rStyle w:val="VerbatimChar"/>
        </w:rPr>
        <w:t xml:space="preserve">Enedc</w:t>
      </w:r>
      <w:r>
        <w:t xml:space="preserve">,</w:t>
      </w:r>
      <w:r>
        <w:t xml:space="preserve"> </w:t>
      </w:r>
      <w:r>
        <w:rPr>
          <w:rStyle w:val="VerbatimChar"/>
        </w:rPr>
        <w:t xml:space="preserve">Ernedc</w:t>
      </w:r>
      <w:r>
        <w:t xml:space="preserve">,</w:t>
      </w:r>
      <w:r>
        <w:t xml:space="preserve"> </w:t>
      </w:r>
      <w:r>
        <w:rPr>
          <w:rStyle w:val="VerbatimChar"/>
        </w:rPr>
        <w:t xml:space="preserve">W (mm)</w:t>
      </w:r>
      <w:r>
        <w:t xml:space="preserve">,</w:t>
      </w:r>
      <w:r>
        <w:t xml:space="preserve"> </w:t>
      </w:r>
      <w:r>
        <w:rPr>
          <w:rStyle w:val="VerbatimChar"/>
        </w:rPr>
        <w:t xml:space="preserve">At1 (mm)</w:t>
      </w:r>
      <w:r>
        <w:t xml:space="preserve">,</w:t>
      </w:r>
      <w:r>
        <w:t xml:space="preserve"> </w:t>
      </w:r>
      <w:r>
        <w:rPr>
          <w:rStyle w:val="VerbatimChar"/>
        </w:rPr>
        <w:t xml:space="preserve">MMS</w:t>
      </w:r>
      <w:r>
        <w:t xml:space="preserve">. Der NEDC-Zyklus ist ausgelaufen; das ist kein Datenfehler, sondern</w:t>
      </w:r>
      <w:r>
        <w:t xml:space="preserve"> </w:t>
      </w:r>
      <w:r>
        <w:t xml:space="preserve">Regulierungsgeschichte.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zielsetzung"/>
      <w:r>
        <w:t xml:space="preserve">4 · Zielsetzung</w:t>
      </w:r>
      <w:bookmarkEnd w:id="24"/>
    </w:p>
    <w:p>
      <w:pPr>
        <w:pStyle w:val="FirstParagraph"/>
      </w:pPr>
      <w:r>
        <w:t xml:space="preserve">Fünf Zielgrößen, jede als ausführbare Abfrage:</w:t>
      </w:r>
    </w:p>
    <w:p>
      <w:pPr>
        <w:numPr>
          <w:ilvl w:val="0"/>
          <w:numId w:val="1002"/>
        </w:numPr>
        <w:pStyle w:val="Compact"/>
      </w:pPr>
      <w:r>
        <w:t xml:space="preserve">Realverbrauchslücke je Antriebsklasse, Land und Zulassungsjahr (Median und P90)</w:t>
      </w:r>
    </w:p>
    <w:p>
      <w:pPr>
        <w:numPr>
          <w:ilvl w:val="0"/>
          <w:numId w:val="1002"/>
        </w:numPr>
        <w:pStyle w:val="Compact"/>
      </w:pPr>
      <w:r>
        <w:t xml:space="preserve">Der tatsächliche elektrische Fahranteil von Plug-in-Hybriden gegen die 84 %, die die</w:t>
      </w:r>
      <w:r>
        <w:t xml:space="preserve"> </w:t>
      </w:r>
      <w:r>
        <w:t xml:space="preserve">WLTP-Regel unterstellt</w:t>
      </w:r>
    </w:p>
    <w:p>
      <w:pPr>
        <w:numPr>
          <w:ilvl w:val="0"/>
          <w:numId w:val="1002"/>
        </w:numPr>
        <w:pStyle w:val="Compact"/>
      </w:pPr>
      <w:r>
        <w:t xml:space="preserve">Rangfolgenvergleich offiziell gegen real, auf Klassen- und auf Modellebene</w:t>
      </w:r>
    </w:p>
    <w:p>
      <w:pPr>
        <w:numPr>
          <w:ilvl w:val="0"/>
          <w:numId w:val="1002"/>
        </w:numPr>
        <w:pStyle w:val="Compact"/>
      </w:pPr>
      <w:r>
        <w:t xml:space="preserve">Zielerreichung der Hersteller mit und ohne Öko-Innovationsgutschrift</w:t>
      </w:r>
    </w:p>
    <w:p>
      <w:pPr>
        <w:numPr>
          <w:ilvl w:val="0"/>
          <w:numId w:val="1002"/>
        </w:numPr>
        <w:pStyle w:val="Compact"/>
      </w:pPr>
      <w:r>
        <w:t xml:space="preserve">Well-to-Wheel-Vergleich aller Antriebsarten mit dem realen deutschen Strommix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darstellung-der-relevanz"/>
      <w:r>
        <w:t xml:space="preserve">5 · Darstellung der Relevanz</w:t>
      </w:r>
      <w:bookmarkEnd w:id="25"/>
    </w:p>
    <w:p>
      <w:pPr>
        <w:pStyle w:val="FirstParagraph"/>
      </w:pPr>
      <w:r>
        <w:rPr>
          <w:b/>
        </w:rPr>
        <w:t xml:space="preserve">Die Regulierung reagiert bereits auf genau diesen Befund.</w:t>
      </w:r>
      <w:r>
        <w:t xml:space="preserve"> </w:t>
      </w:r>
      <w:r>
        <w:t xml:space="preserve">Die EU senkt den Utility Factor</w:t>
      </w:r>
      <w:r>
        <w:t xml:space="preserve"> </w:t>
      </w:r>
      <w:r>
        <w:t xml:space="preserve">für Plug-in-Hybride bis 2027/28 von 84 % auf rund 34 %. Diese Arbeit quantifiziert, wie groß</w:t>
      </w:r>
      <w:r>
        <w:t xml:space="preserve"> </w:t>
      </w:r>
      <w:r>
        <w:t xml:space="preserve">die Abweichung tatsächlich war — und liefert mit</w:t>
      </w:r>
      <w:r>
        <w:t xml:space="preserve"> </w:t>
      </w:r>
      <w:r>
        <w:rPr>
          <w:b/>
        </w:rPr>
        <w:t xml:space="preserve">25,8 bis 27,0 %</w:t>
      </w:r>
      <w:r>
        <w:t xml:space="preserve"> </w:t>
      </w:r>
      <w:r>
        <w:t xml:space="preserve">gemessenem elektrischem</w:t>
      </w:r>
      <w:r>
        <w:t xml:space="preserve"> </w:t>
      </w:r>
      <w:r>
        <w:t xml:space="preserve">Fahranteil in Deutschland einen Wert, der noch unter der abgesenkten Annahme liegt.</w:t>
      </w:r>
    </w:p>
    <w:p>
      <w:pPr>
        <w:pStyle w:val="BodyText"/>
      </w:pPr>
      <w:r>
        <w:rPr>
          <w:b/>
        </w:rPr>
        <w:t xml:space="preserve">Die Fehlbewertung hat einen Preis, der bezifferbar ist.</w:t>
      </w:r>
      <w:r>
        <w:t xml:space="preserve"> </w:t>
      </w:r>
      <w:r>
        <w:t xml:space="preserve">Flottenleasing und</w:t>
      </w:r>
      <w:r>
        <w:t xml:space="preserve"> </w:t>
      </w:r>
      <w:r>
        <w:t xml:space="preserve">B2B-Restwertkalkulation rechnen mit Laborwerten. Bei einem PHEV, dessen zertifizierter Wert</w:t>
      </w:r>
      <w:r>
        <w:t xml:space="preserve"> </w:t>
      </w:r>
      <w:r>
        <w:t xml:space="preserve">die Realität um den Faktor 5,2 unterschätzt, ist die Kraftstoffkostenrechnung über eine</w:t>
      </w:r>
      <w:r>
        <w:t xml:space="preserve"> </w:t>
      </w:r>
      <w:r>
        <w:t xml:space="preserve">Haltedauer von drei Jahren falsch — und damit die Restwertprognose.</w:t>
      </w:r>
    </w:p>
    <w:p>
      <w:pPr>
        <w:pStyle w:val="BodyText"/>
      </w:pPr>
      <w:r>
        <w:rPr>
          <w:b/>
        </w:rPr>
        <w:t xml:space="preserve">Der Verbrennerausstieg wird mit CO₂-Werten begründet, die zu einem erheblichen Teil aus dem</w:t>
      </w:r>
      <w:r>
        <w:rPr>
          <w:b/>
        </w:rPr>
        <w:t xml:space="preserve"> </w:t>
      </w:r>
      <w:r>
        <w:rPr>
          <w:b/>
        </w:rPr>
        <w:t xml:space="preserve">Labor stammen.</w:t>
      </w:r>
      <w:r>
        <w:t xml:space="preserve"> </w:t>
      </w:r>
      <w:r>
        <w:t xml:space="preserve">Diese Arbeit ersetzt sie, wo es die Datenlage erlaubt, durch gemessene.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persönliches-erkenntnisinteresse"/>
      <w:r>
        <w:t xml:space="preserve">6 · Persönliches Erkenntnisinteresse</w:t>
      </w:r>
      <w:bookmarkEnd w:id="26"/>
    </w:p>
    <w:p>
      <w:pPr>
        <w:pStyle w:val="FirstParagraph"/>
      </w:pPr>
      <w:r>
        <w:t xml:space="preserve">Ich komme aus der Automobilbranche — Energiekonzepte im Solarbereich, danach B2B-Handel mit</w:t>
      </w:r>
      <w:r>
        <w:t xml:space="preserve"> </w:t>
      </w:r>
      <w:r>
        <w:t xml:space="preserve">Gebrauchtfahrzeugen bei Auto1 und CarOnSale, dort unter anderem ein Fahrzeugscanner-Produkt</w:t>
      </w:r>
      <w:r>
        <w:t xml:space="preserve"> </w:t>
      </w:r>
      <w:r>
        <w:t xml:space="preserve">in Zusammenarbeit mit Herstellern. Wer Restwerte kalkuliert, arbeitet täglich mit</w:t>
      </w:r>
      <w:r>
        <w:t xml:space="preserve"> </w:t>
      </w:r>
      <w:r>
        <w:t xml:space="preserve">Verbrauchsangaben, die aus der Typprüfung stammen.</w:t>
      </w:r>
    </w:p>
    <w:p>
      <w:pPr>
        <w:pStyle w:val="BodyText"/>
      </w:pPr>
      <w:r>
        <w:t xml:space="preserve">Meine Ausgangsfrage war zugespitzt:</w:t>
      </w:r>
      <w:r>
        <w:t xml:space="preserve"> </w:t>
      </w:r>
      <w:r>
        <w:rPr>
          <w:b/>
        </w:rPr>
        <w:t xml:space="preserve">Ist der normale Verbrenner vielleicht gar nicht so</w:t>
      </w:r>
      <w:r>
        <w:rPr>
          <w:b/>
        </w:rPr>
        <w:t xml:space="preserve"> </w:t>
      </w:r>
      <w:r>
        <w:rPr>
          <w:b/>
        </w:rPr>
        <w:t xml:space="preserve">schlimm, wie er gemacht wird — und der Plug-in-Hybrid nicht so gut?</w:t>
      </w:r>
    </w:p>
    <w:p>
      <w:pPr>
        <w:pStyle w:val="BodyText"/>
      </w:pPr>
      <w:r>
        <w:t xml:space="preserve">Die Daten haben die erste Hälfte bestätigt und die zweite anders beantwortet, als ich</w:t>
      </w:r>
      <w:r>
        <w:t xml:space="preserve"> </w:t>
      </w:r>
      <w:r>
        <w:t xml:space="preserve">erwartet hatte. Der Verbrenner ist real 16 bis 19 % schlechter als auf dem Papier, also</w:t>
      </w:r>
      <w:r>
        <w:t xml:space="preserve"> </w:t>
      </w:r>
      <w:r>
        <w:t xml:space="preserve">schlechter als sein Ruf, aber nicht dramatisch. Der Plug-in-Hybrid ist real um den Faktor 5,2</w:t>
      </w:r>
      <w:r>
        <w:t xml:space="preserve"> </w:t>
      </w:r>
      <w:r>
        <w:t xml:space="preserve">schlechter als zertifiziert —</w:t>
      </w:r>
      <w:r>
        <w:t xml:space="preserve"> </w:t>
      </w:r>
      <w:r>
        <w:rPr>
          <w:b/>
        </w:rPr>
        <w:t xml:space="preserve">und bleibt trotzdem sparsamer als der reine Benziner.</w:t>
      </w:r>
      <w:r>
        <w:t xml:space="preserve"> </w:t>
      </w:r>
      <w:r>
        <w:t xml:space="preserve">Meine</w:t>
      </w:r>
      <w:r>
        <w:t xml:space="preserve"> </w:t>
      </w:r>
      <w:r>
        <w:t xml:space="preserve">zugespitzte Hypothese (H2) war auf Flottenebene falsch. Sie stimmt erst auf Modellebene, und</w:t>
      </w:r>
      <w:r>
        <w:t xml:space="preserve"> </w:t>
      </w:r>
      <w:r>
        <w:t xml:space="preserve">dort in genau 20,9 % der Fälle.</w:t>
      </w:r>
    </w:p>
    <w:p>
      <w:pPr>
        <w:pStyle w:val="BodyText"/>
      </w:pPr>
      <w:r>
        <w:t xml:space="preserve">Das ist der eigentliche Ertrag dieser Woche: Eine Hypothese, die sich beim Rechnen ändert,</w:t>
      </w:r>
      <w:r>
        <w:t xml:space="preserve"> </w:t>
      </w:r>
      <w:r>
        <w:t xml:space="preserve">und der Zwang, das offen zu berichten statt die Zahlen passend zu machen.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methodik"/>
      <w:r>
        <w:t xml:space="preserve">7 · Methodik</w:t>
      </w:r>
      <w:bookmarkEnd w:id="27"/>
    </w:p>
    <w:p>
      <w:pPr>
        <w:pStyle w:val="Heading3"/>
      </w:pPr>
      <w:bookmarkStart w:id="28" w:name="beschaffung"/>
      <w:r>
        <w:t xml:space="preserve">7.1 Beschaffung</w:t>
      </w:r>
      <w:bookmarkEnd w:id="28"/>
    </w:p>
    <w:p>
      <w:pPr>
        <w:pStyle w:val="FirstParagraph"/>
      </w:pPr>
      <w:r>
        <w:rPr>
          <w:b/>
        </w:rPr>
        <w:t xml:space="preserve">Keyset-Paginierung auf</w:t>
      </w:r>
      <w:r>
        <w:rPr>
          <w:b/>
        </w:rPr>
        <w:t xml:space="preserve"> </w:t>
      </w:r>
      <w:r>
        <w:rPr>
          <w:rStyle w:val="VerbatimChar"/>
          <w:b/>
        </w:rPr>
        <w:t xml:space="preserve">ID</w:t>
      </w:r>
      <w:r>
        <w:t xml:space="preserve"> </w:t>
      </w:r>
      <w:r>
        <w:t xml:space="preserve">statt Seitenparameter.</w:t>
      </w:r>
      <w:r>
        <w:t xml:space="preserve"> </w:t>
      </w:r>
      <w:r>
        <w:rPr>
          <w:rStyle w:val="VerbatimChar"/>
        </w:rPr>
        <w:t xml:space="preserve">OFFSET</w:t>
      </w:r>
      <w:r>
        <w:t xml:space="preserve"> </w:t>
      </w:r>
      <w:r>
        <w:t xml:space="preserve">ist bei rund 10 Mio. Zeilen je</w:t>
      </w:r>
      <w:r>
        <w:t xml:space="preserve"> </w:t>
      </w:r>
      <w:r>
        <w:t xml:space="preserve">Jahrgang unbrauchbar, weil der Server für Seite</w:t>
      </w:r>
      <w:r>
        <w:t xml:space="preserve"> </w:t>
      </w:r>
      <w:r>
        <w:rPr>
          <w:i/>
        </w:rPr>
        <w:t xml:space="preserve">n</w:t>
      </w:r>
      <w:r>
        <w:t xml:space="preserve"> </w:t>
      </w:r>
      <w:r>
        <w:t xml:space="preserve">alle vorherigen Zeilen erneut durchläuft.</w:t>
      </w:r>
    </w:p>
    <w:p>
      <w:pPr>
        <w:pStyle w:val="BodyText"/>
      </w:pPr>
      <w:r>
        <w:t xml:space="preserve">Das Abfragefenster justiert sich aus der</w:t>
      </w:r>
      <w:r>
        <w:t xml:space="preserve"> </w:t>
      </w:r>
      <w:r>
        <w:rPr>
          <w:b/>
        </w:rPr>
        <w:t xml:space="preserve">gemessenen ID-Dichte</w:t>
      </w:r>
      <w:r>
        <w:t xml:space="preserve">. Sie schwankt stark: 2,80</w:t>
      </w:r>
      <w:r>
        <w:t xml:space="preserve"> </w:t>
      </w:r>
      <w:r>
        <w:t xml:space="preserve">IDs je Zielzeile in 2025 gegen 20,89 in 2021, weil die IDs über alle Mitgliedstaaten hinweg</w:t>
      </w:r>
      <w:r>
        <w:t xml:space="preserve"> </w:t>
      </w:r>
      <w:r>
        <w:t xml:space="preserve">vergeben werden und wir auf sechs Fokusländer filtern. Ein fest gewähltes Fenster war für</w:t>
      </w:r>
      <w:r>
        <w:t xml:space="preserve"> </w:t>
      </w:r>
      <w:r>
        <w:t xml:space="preserve">2021 um den Faktor 10 zu klein.</w:t>
      </w:r>
    </w:p>
    <w:p>
      <w:pPr>
        <w:pStyle w:val="BodyText"/>
      </w:pPr>
      <w:r>
        <w:rPr>
          <w:b/>
        </w:rPr>
        <w:t xml:space="preserve">Wiederaufsetzpunkt nach jedem Fenster.</w:t>
      </w:r>
      <w:r>
        <w:t xml:space="preserve"> </w:t>
      </w:r>
      <w:r>
        <w:t xml:space="preserve">Beim Wiederaufsetzen wird die CSV auf den</w:t>
      </w:r>
      <w:r>
        <w:t xml:space="preserve"> </w:t>
      </w:r>
      <w:r>
        <w:t xml:space="preserve">gesicherten Stand zurückgeschnitten. Ohne diesen Schritt entstehen an der Nahtstelle</w:t>
      </w:r>
      <w:r>
        <w:t xml:space="preserve"> </w:t>
      </w:r>
      <w:r>
        <w:t xml:space="preserve">verschmolzene Zeilen und Dubletten — siehe Fehlerprotokoll Nr. 3 und 5.</w:t>
      </w:r>
    </w:p>
    <w:p>
      <w:pPr>
        <w:pStyle w:val="BodyText"/>
      </w:pPr>
      <w:r>
        <w:rPr>
          <w:b/>
        </w:rPr>
        <w:t xml:space="preserve">Ergebnis:</w:t>
      </w:r>
      <w:r>
        <w:t xml:space="preserve"> </w:t>
      </w:r>
      <w:r>
        <w:t xml:space="preserve">37.139.598 co2cars-Zeilen, jeder Jahrgang exakt auf der an der Quelle</w:t>
      </w:r>
      <w:r>
        <w:t xml:space="preserve"> </w:t>
      </w:r>
      <w:r>
        <w:t xml:space="preserve">gezählten Sollmenge. Dazu 7.791.120 OBFCM-Zeilen. Zusammen rund 45 Mio. Zeilen und 8,2 GB.</w:t>
      </w:r>
    </w:p>
    <w:p>
      <w:pPr>
        <w:pStyle w:val="BodyText"/>
      </w:pPr>
      <w:r>
        <w:t xml:space="preserve">Der PowerShell-Downloader schaffte 900 Zeilen/s. Die spätere Python-Implementierung mit</w:t>
      </w:r>
      <w:r>
        <w:t xml:space="preserve"> </w:t>
      </w:r>
      <w:r>
        <w:t xml:space="preserve">Session-Wiederverwendung erreichte</w:t>
      </w:r>
      <w:r>
        <w:t xml:space="preserve"> </w:t>
      </w:r>
      <w:r>
        <w:rPr>
          <w:b/>
        </w:rPr>
        <w:t xml:space="preserve">11.318 Zeilen/s</w:t>
      </w:r>
      <w:r>
        <w:t xml:space="preserve"> </w:t>
      </w:r>
      <w:r>
        <w:t xml:space="preserve">— Faktor 12,6. Der Unterschied liegt</w:t>
      </w:r>
      <w:r>
        <w:t xml:space="preserve"> </w:t>
      </w:r>
      <w:r>
        <w:t xml:space="preserve">nicht in der Sprache, sondern im Verbindungsaufbau je Anfrage.</w:t>
      </w:r>
    </w:p>
    <w:p>
      <w:pPr>
        <w:pStyle w:val="Heading3"/>
      </w:pPr>
      <w:bookmarkStart w:id="29" w:name="architektur"/>
      <w:r>
        <w:t xml:space="preserve">7.2 Architektur</w:t>
      </w:r>
      <w:bookmarkEnd w:id="29"/>
    </w:p>
    <w:p>
      <w:pPr>
        <w:pStyle w:val="FirstParagraph"/>
      </w:pPr>
      <w:r>
        <w:t xml:space="preserve">Vier Schichten in PostgreSQL 18:</w:t>
      </w:r>
    </w:p>
    <w:p>
      <w:pPr>
        <w:pStyle w:val="SourceCode"/>
      </w:pPr>
      <w:r>
        <w:rPr>
          <w:rStyle w:val="VerbatimChar"/>
        </w:rPr>
        <w:t xml:space="preserve">raw    TEXT, UNLOGGED        alles wie geliefert, keine Typprüfung</w:t>
      </w:r>
      <w:r>
        <w:br/>
      </w:r>
      <w:r>
        <w:rPr>
          <w:rStyle w:val="VerbatimChar"/>
        </w:rPr>
        <w:t xml:space="preserve">core   typisiert, gefiltert  Pkw-Filter, Antriebsklasse, Öko-Codes</w:t>
      </w:r>
      <w:r>
        <w:br/>
      </w:r>
      <w:r>
        <w:rPr>
          <w:rStyle w:val="VerbatimChar"/>
        </w:rPr>
        <w:t xml:space="preserve">star   Sternschema           fact_registration + 5 Dimensionen</w:t>
      </w:r>
      <w:r>
        <w:br/>
      </w:r>
      <w:r>
        <w:rPr>
          <w:rStyle w:val="VerbatimChar"/>
        </w:rPr>
        <w:t xml:space="preserve">mart   Auswertungsergebnisse eine Tabelle je Analyse</w:t>
      </w:r>
      <w:r>
        <w:br/>
      </w:r>
      <w:r>
        <w:rPr>
          <w:rStyle w:val="VerbatimChar"/>
        </w:rPr>
        <w:t xml:space="preserve">meta   Ladeprotokoll, DQ-Befunde</w:t>
      </w:r>
    </w:p>
    <w:p>
      <w:pPr>
        <w:pStyle w:val="FirstParagraph"/>
      </w:pPr>
      <w:r>
        <w:rPr>
          <w:rStyle w:val="VerbatimChar"/>
          <w:b/>
        </w:rPr>
        <w:t xml:space="preserve">fact_registration</w:t>
      </w:r>
      <w:r>
        <w:rPr>
          <w:b/>
        </w:rPr>
        <w:t xml:space="preserve"> </w:t>
      </w:r>
      <w:r>
        <w:rPr>
          <w:b/>
        </w:rPr>
        <w:t xml:space="preserve">ist</w:t>
      </w:r>
      <w:r>
        <w:rPr>
          <w:b/>
        </w:rPr>
        <w:t xml:space="preserve"> </w:t>
      </w:r>
      <w:r>
        <w:rPr>
          <w:rStyle w:val="VerbatimChar"/>
          <w:b/>
        </w:rPr>
        <w:t xml:space="preserve">PARTITION BY RANGE (jahr)</w:t>
      </w:r>
      <w:r>
        <w:rPr>
          <w:b/>
        </w:rPr>
        <w:t xml:space="preserve">.</w:t>
      </w:r>
      <w:r>
        <w:t xml:space="preserve"> </w:t>
      </w:r>
      <w:r>
        <w:t xml:space="preserve">Jede Analyse filtert auf Jahre;</w:t>
      </w:r>
      <w:r>
        <w:t xml:space="preserve"> </w:t>
      </w:r>
      <w:r>
        <w:t xml:space="preserve">Partition Pruning schaltet ganze Jahrgänge weg, bevor gelesen wird.</w:t>
      </w:r>
    </w:p>
    <w:p>
      <w:pPr>
        <w:pStyle w:val="BodyText"/>
      </w:pPr>
      <w:r>
        <w:rPr>
          <w:rStyle w:val="VerbatimChar"/>
          <w:b/>
        </w:rPr>
        <w:t xml:space="preserve">COPY</w:t>
      </w:r>
      <w:r>
        <w:rPr>
          <w:b/>
        </w:rPr>
        <w:t xml:space="preserve"> </w:t>
      </w:r>
      <w:r>
        <w:rPr>
          <w:b/>
        </w:rPr>
        <w:t xml:space="preserve">statt Import-Dialog:</w:t>
      </w:r>
      <w:r>
        <w:t xml:space="preserve"> </w:t>
      </w:r>
      <w:r>
        <w:t xml:space="preserve">gemessene 311.000 Zeilen/s.</w:t>
      </w:r>
    </w:p>
    <w:p>
      <w:pPr>
        <w:pStyle w:val="BodyText"/>
      </w:pPr>
      <w:r>
        <w:rPr>
          <w:b/>
        </w:rPr>
        <w:t xml:space="preserve">Indizes erst nach dem Laden</w:t>
      </w:r>
      <w:r>
        <w:t xml:space="preserve">, ebenso Primär- und Fremdschlüssel. Während des Ladens</w:t>
      </w:r>
      <w:r>
        <w:t xml:space="preserve"> </w:t>
      </w:r>
      <w:r>
        <w:t xml:space="preserve">geprüft, hätte jede der 37 Mio. Zeilen fünf Fremdschlüsselprüfungen ausgelöst.</w:t>
      </w:r>
    </w:p>
    <w:p>
      <w:pPr>
        <w:pStyle w:val="BodyText"/>
      </w:pPr>
      <w:r>
        <w:rPr>
          <w:b/>
        </w:rPr>
        <w:t xml:space="preserve">Fehlertolerante Typkonvertierung.</w:t>
      </w:r>
      <w:r>
        <w:t xml:space="preserve"> </w:t>
      </w:r>
      <w:r>
        <w:rPr>
          <w:rStyle w:val="VerbatimChar"/>
        </w:rPr>
        <w:t xml:space="preserve">core.zu_zahl()</w:t>
      </w:r>
      <w:r>
        <w:t xml:space="preserve"> </w:t>
      </w:r>
      <w:r>
        <w:t xml:space="preserve">gibt bei einem unbrauchbaren Wert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zurück statt eine Ausnahme zu werfen. Ein einziger kaputter Wert in 37 Mio. Zeilen</w:t>
      </w:r>
      <w:r>
        <w:t xml:space="preserve"> </w:t>
      </w:r>
      <w:r>
        <w:t xml:space="preserve">würde sonst den gesamten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abbrechen — nach 40 Minuten Laufzeit.</w:t>
      </w:r>
    </w:p>
    <w:p>
      <w:pPr>
        <w:pStyle w:val="BodyText"/>
      </w:pPr>
      <w:r>
        <w:rPr>
          <w:b/>
        </w:rPr>
        <w:t xml:space="preserve">Sitzungsparameter statt Serverkonfiguration.</w:t>
      </w:r>
      <w:r>
        <w:t xml:space="preserve"> </w:t>
      </w:r>
      <w:r>
        <w:rPr>
          <w:rStyle w:val="VerbatimChar"/>
        </w:rPr>
        <w:t xml:space="preserve">work_mem = 256MB</w:t>
      </w:r>
      <w:r>
        <w:t xml:space="preserve"> </w:t>
      </w:r>
      <w:r>
        <w:t xml:space="preserve">für die Ladeläufe. Der</w:t>
      </w:r>
      <w:r>
        <w:t xml:space="preserve"> </w:t>
      </w:r>
      <w:r>
        <w:t xml:space="preserve">Effekt ist mit</w:t>
      </w:r>
      <w:r>
        <w:t xml:space="preserve"> </w:t>
      </w:r>
      <w:r>
        <w:rPr>
          <w:rStyle w:val="VerbatimChar"/>
        </w:rPr>
        <w:t xml:space="preserve">EXPLAIN (ANALYZE, BUFFERS)</w:t>
      </w:r>
      <w:r>
        <w:t xml:space="preserve"> </w:t>
      </w:r>
      <w:r>
        <w:t xml:space="preserve">belegbar als Wechsel von</w:t>
      </w:r>
      <w:r>
        <w:t xml:space="preserve"> </w:t>
      </w:r>
      <w:r>
        <w:rPr>
          <w:i/>
        </w:rPr>
        <w:t xml:space="preserve">external merge Disk</w:t>
      </w:r>
      <w:r>
        <w:t xml:space="preserve"> </w:t>
      </w:r>
      <w:r>
        <w:t xml:space="preserve">zu</w:t>
      </w:r>
      <w:r>
        <w:t xml:space="preserve"> </w:t>
      </w:r>
      <w:r>
        <w:rPr>
          <w:i/>
        </w:rPr>
        <w:t xml:space="preserve">quicksort Memory</w:t>
      </w:r>
      <w:r>
        <w:t xml:space="preserve">.</w:t>
      </w:r>
    </w:p>
    <w:p>
      <w:pPr>
        <w:pStyle w:val="Heading3"/>
      </w:pPr>
      <w:bookmarkStart w:id="30" w:name="X0db55987d1b37db22fe716fe627418f3c12610c"/>
      <w:r>
        <w:t xml:space="preserve">7.3 Der Engpass, der die Architektur bestimmt hat</w:t>
      </w:r>
      <w:bookmarkEnd w:id="30"/>
    </w:p>
    <w:p>
      <w:pPr>
        <w:pStyle w:val="FirstParagraph"/>
      </w:pPr>
      <w:r>
        <w:t xml:space="preserve">Die erste Fassung des Sternschema-Aufbaus verband die Dimensionen mit</w:t>
      </w:r>
      <w:r>
        <w:t xml:space="preserve"> </w:t>
      </w:r>
      <w:r>
        <w:rPr>
          <w:rStyle w:val="VerbatimChar"/>
        </w:rPr>
        <w:t xml:space="preserve">IS NOT DISTINCT FROM</w:t>
      </w:r>
      <w:r>
        <w:t xml:space="preserve">, weil die Schlüsselspalten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enthalten können. Das ist logisch</w:t>
      </w:r>
      <w:r>
        <w:t xml:space="preserve"> </w:t>
      </w:r>
      <w:r>
        <w:t xml:space="preserve">korrekt und</w:t>
      </w:r>
      <w:r>
        <w:t xml:space="preserve"> </w:t>
      </w:r>
      <w:r>
        <w:rPr>
          <w:b/>
        </w:rPr>
        <w:t xml:space="preserve">praktisch unbrauchbar</w:t>
      </w:r>
      <w:r>
        <w:t xml:space="preserve">:</w:t>
      </w:r>
      <w:r>
        <w:t xml:space="preserve"> </w:t>
      </w:r>
      <w:r>
        <w:rPr>
          <w:rStyle w:val="VerbatimChar"/>
        </w:rPr>
        <w:t xml:space="preserve">IS NOT DISTINCT FROM</w:t>
      </w:r>
      <w:r>
        <w:t xml:space="preserve"> </w:t>
      </w:r>
      <w:r>
        <w:t xml:space="preserve">ist kein hashbarer</w:t>
      </w:r>
      <w:r>
        <w:t xml:space="preserve"> </w:t>
      </w:r>
      <w:r>
        <w:t xml:space="preserve">Gleichheitsoperator. PostgreSQL kann keinen Hash Join bilden und fällt auf Nested Loops</w:t>
      </w:r>
      <w:r>
        <w:t xml:space="preserve"> </w:t>
      </w:r>
      <w:r>
        <w:t xml:space="preserve">zurück.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vorher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nachher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Schreibrate</w:t>
            </w:r>
          </w:p>
        </w:tc>
        <w:tc>
          <w:p>
            <w:pPr>
              <w:pStyle w:val="Compact"/>
              <w:jc w:val="right"/>
            </w:pPr>
            <w:r>
              <w:t xml:space="preserve">15 MB/min</w:t>
            </w:r>
          </w:p>
        </w:tc>
        <w:tc>
          <w:p>
            <w:pPr>
              <w:pStyle w:val="Compact"/>
              <w:jc w:val="right"/>
            </w:pPr>
            <w:r>
              <w:t xml:space="preserve">~1,3 GB/min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Hochrechnung</w:t>
            </w:r>
          </w:p>
        </w:tc>
        <w:tc>
          <w:p>
            <w:pPr>
              <w:pStyle w:val="Compact"/>
              <w:jc w:val="right"/>
            </w:pPr>
            <w:r>
              <w:t xml:space="preserve">über 6 Stunden</w:t>
            </w:r>
          </w:p>
        </w:tc>
        <w:tc>
          <w:p>
            <w:pPr>
              <w:pStyle w:val="Compact"/>
              <w:jc w:val="right"/>
            </w:pPr>
            <w:r>
              <w:t xml:space="preserve">10 Minuten 6 Sekunden</w:t>
            </w:r>
          </w:p>
        </w:tc>
      </w:tr>
    </w:tbl>
    <w:p>
      <w:pPr>
        <w:pStyle w:val="BodyText"/>
      </w:pPr>
      <w:r>
        <w:rPr>
          <w:b/>
        </w:rPr>
        <w:t xml:space="preserve">Die Lösung:</w:t>
      </w:r>
      <w:r>
        <w:t xml:space="preserve"> </w:t>
      </w:r>
      <w:r>
        <w:t xml:space="preserve">eine zusätzliche Spalte</w:t>
      </w:r>
      <w:r>
        <w:t xml:space="preserve"> </w:t>
      </w:r>
      <w:r>
        <w:rPr>
          <w:rStyle w:val="VerbatimChar"/>
        </w:rPr>
        <w:t xml:space="preserve">schluessel text NOT NULL UNIQUE</w:t>
      </w:r>
      <w:r>
        <w:t xml:space="preserve"> </w:t>
      </w:r>
      <w:r>
        <w:t xml:space="preserve">je Dimension, in der</w:t>
      </w:r>
      <w:r>
        <w:t xml:space="preserve"> </w:t>
      </w:r>
      <w:r>
        <w:t xml:space="preserve">die Bestandteile verkettet und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durch Leerstring ersetzt sind. Der Join läuft dann über</w:t>
      </w:r>
      <w:r>
        <w:t xml:space="preserve"> </w:t>
      </w:r>
      <w:r>
        <w:t xml:space="preserve">einfache Gleichheit und ist hashbar.</w:t>
      </w:r>
    </w:p>
    <w:p>
      <w:pPr>
        <w:pStyle w:val="BodyText"/>
      </w:pPr>
      <w:r>
        <w:t xml:space="preserve">Das ist der Kern dessen, was ich in dieser Woche über Big Data gelernt habe: Der Unterschied</w:t>
      </w:r>
      <w:r>
        <w:t xml:space="preserve"> </w:t>
      </w:r>
      <w:r>
        <w:t xml:space="preserve">zwischen 15 MB/min und 1,3 GB/min war keine Frage der Hardware, sondern eine Eigenschaft</w:t>
      </w:r>
      <w:r>
        <w:t xml:space="preserve"> </w:t>
      </w:r>
      <w:r>
        <w:t xml:space="preserve">eines Operators.</w:t>
      </w:r>
    </w:p>
    <w:p>
      <w:pPr>
        <w:pStyle w:val="Heading3"/>
      </w:pPr>
      <w:bookmarkStart w:id="31" w:name="analysen"/>
      <w:r>
        <w:t xml:space="preserve">7.4 Analysen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Analyse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Verfahren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A1 Antriebsmix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SUM() OVER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LAG()</w:t>
            </w:r>
            <w:r>
              <w:t xml:space="preserve"> </w:t>
            </w:r>
            <w:r>
              <w:t xml:space="preserve">für den Vorjahresvergleich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A2 Deutschland gegen Referenzgruppe</w:t>
            </w:r>
          </w:p>
        </w:tc>
        <w:tc>
          <w:p>
            <w:pPr>
              <w:pStyle w:val="Compact"/>
              <w:jc w:val="left"/>
            </w:pPr>
            <w:r>
              <w:t xml:space="preserve">CTEs, Differenz in Prozentpunkten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A3 Flottenziel</w:t>
            </w:r>
          </w:p>
        </w:tc>
        <w:tc>
          <w:p>
            <w:pPr>
              <w:pStyle w:val="Compact"/>
              <w:jc w:val="left"/>
            </w:pPr>
            <w:r>
              <w:t xml:space="preserve">parametrisierte Zielfunktion aus</w:t>
            </w:r>
            <w:r>
              <w:t xml:space="preserve"> </w:t>
            </w:r>
            <w:r>
              <w:rPr>
                <w:rStyle w:val="VerbatimChar"/>
              </w:rPr>
              <w:t xml:space="preserve">star.ziel_parameter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A4 Realverbrauchslücke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PERCENTILE_CONT(0.5)</w:t>
            </w:r>
            <w:r>
              <w:t xml:space="preserve"> </w:t>
            </w:r>
            <w:r>
              <w:t xml:space="preserve">und</w:t>
            </w:r>
            <w:r>
              <w:t xml:space="preserve"> </w:t>
            </w:r>
            <w:r>
              <w:rPr>
                <w:rStyle w:val="VerbatimChar"/>
              </w:rPr>
              <w:t xml:space="preserve">(0.9)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A5 Rangfolgenumkehr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RANK() OVER</w:t>
            </w:r>
            <w:r>
              <w:t xml:space="preserve"> </w:t>
            </w:r>
            <w:r>
              <w:t xml:space="preserve">auf beiden Werten, Rangdifferenz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A6 Gewichtsspirale</w:t>
            </w:r>
          </w:p>
        </w:tc>
        <w:tc>
          <w:p>
            <w:pPr>
              <w:pStyle w:val="Compact"/>
              <w:jc w:val="left"/>
            </w:pPr>
            <w:r>
              <w:t xml:space="preserve">rollierendes Mittel über</w:t>
            </w:r>
            <w:r>
              <w:t xml:space="preserve"> </w:t>
            </w:r>
            <w:r>
              <w:rPr>
                <w:rStyle w:val="VerbatimChar"/>
              </w:rPr>
              <w:t xml:space="preserve">ROWS BETWEEN 2 PRECEDING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Well-to-Wheel</w:t>
            </w:r>
          </w:p>
        </w:tc>
        <w:tc>
          <w:p>
            <w:pPr>
              <w:pStyle w:val="Compact"/>
              <w:jc w:val="left"/>
            </w:pPr>
            <w:r>
              <w:t xml:space="preserve">SMARD-Strommix, Sensitivitätsrechnung über neun Mixwerte</w:t>
            </w:r>
          </w:p>
        </w:tc>
      </w:tr>
    </w:tbl>
    <w:p>
      <w:pPr>
        <w:pStyle w:val="BodyText"/>
      </w:pPr>
      <w:r>
        <w:rPr>
          <w:b/>
        </w:rPr>
        <w:t xml:space="preserve">Median statt Mittelwert, durchgängig.</w:t>
      </w:r>
      <w:r>
        <w:t xml:space="preserve"> </w:t>
      </w:r>
      <w:r>
        <w:t xml:space="preserve">Die Verteilung der Lücke ist rechtsschief: Einzelne</w:t>
      </w:r>
      <w:r>
        <w:t xml:space="preserve"> </w:t>
      </w:r>
      <w:r>
        <w:t xml:space="preserve">Fahrzeuge mit extremer Nutzung verschieben den Mittelwert erheblich. Der Median beschreibt</w:t>
      </w:r>
      <w:r>
        <w:t xml:space="preserve"> </w:t>
      </w:r>
      <w:r>
        <w:t xml:space="preserve">die Flotte, P90 zeigt das obere Ende.</w:t>
      </w:r>
    </w:p>
    <w:p>
      <w:pPr>
        <w:pStyle w:val="Heading3"/>
      </w:pPr>
      <w:bookmarkStart w:id="32" w:name="bewusst-verworfen"/>
      <w:r>
        <w:t xml:space="preserve">7.5 Bewusst verworfen</w:t>
      </w:r>
      <w:bookmarkEnd w:id="32"/>
    </w:p>
    <w:p>
      <w:pPr>
        <w:pStyle w:val="FirstParagraph"/>
      </w:pPr>
      <w:r>
        <w:rPr>
          <w:b/>
        </w:rPr>
        <w:t xml:space="preserve">MongoDB und Neo4j.</w:t>
      </w:r>
      <w:r>
        <w:t xml:space="preserve"> </w:t>
      </w:r>
      <w:r>
        <w:t xml:space="preserve">Die Daten sind durchgängig relational und tabellarisch; es gibt weder</w:t>
      </w:r>
      <w:r>
        <w:t xml:space="preserve"> </w:t>
      </w:r>
      <w:r>
        <w:t xml:space="preserve">schemalose Dokumente noch eine Graphstruktur, deren Traversierung einen Erkenntnisgewinn</w:t>
      </w:r>
      <w:r>
        <w:t xml:space="preserve"> </w:t>
      </w:r>
      <w:r>
        <w:t xml:space="preserve">brächte. Ein Einsatz wäre Selbstzweck. Begründung ausführlich im CAT unter (K).</w:t>
      </w:r>
    </w:p>
    <w:p>
      <w:pPr>
        <w:pStyle w:val="BodyText"/>
      </w:pPr>
      <w:r>
        <w:rPr>
          <w:b/>
        </w:rPr>
        <w:t xml:space="preserve">Kein Spark, kein Hadoop.</w:t>
      </w:r>
      <w:r>
        <w:t xml:space="preserve"> </w:t>
      </w:r>
      <w:r>
        <w:t xml:space="preserve">45 Mio. Zeilen laufen auf einem partitionierten PostgreSQL in</w:t>
      </w:r>
      <w:r>
        <w:t xml:space="preserve"> </w:t>
      </w:r>
      <w:r>
        <w:t xml:space="preserve">Minuten. Ein verteiltes System hätte hier mehr Betriebsaufwand als Nutzen.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a70f22e776f96b222317b773ebccf70bc6e2e81"/>
      <w:r>
        <w:t xml:space="preserve">8 · Datenaufbereitung und Filterentscheidungen</w:t>
      </w:r>
      <w:bookmarkEnd w:id="33"/>
    </w:p>
    <w:p>
      <w:pPr>
        <w:pStyle w:val="FirstParagraph"/>
      </w:pPr>
      <w:r>
        <w:t xml:space="preserve">Jede Filterentscheidung ist beziffert. Ein Ausschluss ist nur zulässig, wenn bekannt ist, was</w:t>
      </w:r>
      <w:r>
        <w:t xml:space="preserve"> </w:t>
      </w:r>
      <w:r>
        <w:t xml:space="preserve">er kostet und ob er die Stichprobe verzerrt.</w:t>
      </w:r>
    </w:p>
    <w:p>
      <w:pPr>
        <w:pStyle w:val="Heading3"/>
      </w:pPr>
      <w:bookmarkStart w:id="34" w:name="fachliche-filter"/>
      <w:r>
        <w:t xml:space="preserve">8.1 Fachliche Filter</w:t>
      </w:r>
      <w:bookmarkEnd w:id="3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Wirkung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Begründung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Fahrzeugklasse M1/M1G</w:t>
            </w:r>
          </w:p>
        </w:tc>
        <w:tc>
          <w:p>
            <w:pPr>
              <w:pStyle w:val="Compact"/>
              <w:jc w:val="left"/>
            </w:pPr>
            <w:r>
              <w:t xml:space="preserve">nur Pkw</w:t>
            </w:r>
          </w:p>
        </w:tc>
        <w:tc>
          <w:p>
            <w:pPr>
              <w:pStyle w:val="Compact"/>
              <w:jc w:val="left"/>
            </w:pPr>
            <w:r>
              <w:t xml:space="preserve">Nutzfahrzeuge folgen anderer Regulierung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eea_verwendbar</w:t>
            </w:r>
          </w:p>
        </w:tc>
        <w:tc>
          <w:p>
            <w:pPr>
              <w:pStyle w:val="Compact"/>
              <w:jc w:val="left"/>
            </w:pPr>
            <w:r>
              <w:t xml:space="preserve">wie die EEA in ihrer eigenen Aggregatdatei</w:t>
            </w:r>
          </w:p>
        </w:tc>
        <w:tc>
          <w:p>
            <w:pPr>
              <w:pStyle w:val="Compact"/>
              <w:jc w:val="left"/>
            </w:pPr>
            <w:r>
              <w:t xml:space="preserve">Vergleichbarkeit mit der Referenz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hat_mindestlauf</w:t>
            </w:r>
          </w:p>
        </w:tc>
        <w:tc>
          <w:p>
            <w:pPr>
              <w:pStyle w:val="Compact"/>
              <w:jc w:val="left"/>
            </w:pPr>
            <w:r>
              <w:t xml:space="preserve">Mindestlaufleistung</w:t>
            </w:r>
          </w:p>
        </w:tc>
        <w:tc>
          <w:p>
            <w:pPr>
              <w:pStyle w:val="Compact"/>
              <w:jc w:val="left"/>
            </w:pPr>
            <w:r>
              <w:t xml:space="preserve">Ein Fahrzeug mit 200 km Lebensdauer liefert keinen belastbaren Durchschnittsverbrauch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gap_pct</w:t>
            </w:r>
            <w:r>
              <w:t xml:space="preserve"> </w:t>
            </w:r>
            <w:r>
              <w:t xml:space="preserve">zwischen −50 und 900 %</w:t>
            </w:r>
          </w:p>
        </w:tc>
        <w:tc>
          <w:p>
            <w:pPr>
              <w:pStyle w:val="Compact"/>
              <w:jc w:val="left"/>
            </w:pPr>
            <w:r>
              <w:t xml:space="preserve">nur für die Regression</w:t>
            </w:r>
          </w:p>
        </w:tc>
        <w:tc>
          <w:p>
            <w:pPr>
              <w:pStyle w:val="Compact"/>
              <w:jc w:val="left"/>
            </w:pPr>
            <w:r>
              <w:t xml:space="preserve">Ein Modell auf einer Zielgröße mit extremen Ausreißern lernt die Ausreißer statt den Zusammenhang</w:t>
            </w:r>
          </w:p>
        </w:tc>
      </w:tr>
    </w:tbl>
    <w:p>
      <w:pPr>
        <w:pStyle w:val="Heading3"/>
      </w:pPr>
      <w:bookmarkStart w:id="35" w:name="was-die-vollständigkeitsfilter-kosten"/>
      <w:r>
        <w:t xml:space="preserve">8.2 Was die Vollständigkeitsfilter kosten</w:t>
      </w:r>
      <w:bookmarkEnd w:id="35"/>
    </w:p>
    <w:p>
      <w:pPr>
        <w:pStyle w:val="FirstParagraph"/>
      </w:pPr>
      <w:r>
        <w:t xml:space="preserve">Abfrage</w:t>
      </w:r>
      <w:r>
        <w:t xml:space="preserve"> </w:t>
      </w:r>
      <w:r>
        <w:rPr>
          <w:rStyle w:val="VerbatimChar"/>
        </w:rPr>
        <w:t xml:space="preserve">02_sql/43_knime_trainingsbasis.sql</w:t>
      </w:r>
      <w:r>
        <w:t xml:space="preserve">, ausgeführt 12.08.2026: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Sätze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Verlust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Grundgesamtheit</w:t>
            </w:r>
          </w:p>
        </w:tc>
        <w:tc>
          <w:p>
            <w:pPr>
              <w:pStyle w:val="Compact"/>
              <w:jc w:val="right"/>
            </w:pPr>
            <w:r>
              <w:t xml:space="preserve">5.891.869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nach Ausreißergrenze</w:t>
            </w:r>
          </w:p>
        </w:tc>
        <w:tc>
          <w:p>
            <w:pPr>
              <w:pStyle w:val="Compact"/>
              <w:jc w:val="right"/>
            </w:pPr>
            <w:r>
              <w:t xml:space="preserve">5.865.872</w:t>
            </w:r>
          </w:p>
        </w:tc>
        <w:tc>
          <w:p>
            <w:pPr>
              <w:pStyle w:val="Compact"/>
              <w:jc w:val="right"/>
            </w:pPr>
            <w:r>
              <w:t xml:space="preserve">25.997 (0,44 %)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Trainingsbasis</w:t>
            </w:r>
          </w:p>
        </w:tc>
        <w:tc>
          <w:p>
            <w:pPr>
              <w:pStyle w:val="Compact"/>
              <w:jc w:val="right"/>
            </w:pPr>
            <w:r>
              <w:t xml:space="preserve">5.857.803</w:t>
            </w:r>
          </w:p>
        </w:tc>
        <w:tc>
          <w:p>
            <w:pPr>
              <w:pStyle w:val="Compact"/>
              <w:jc w:val="right"/>
            </w:pPr>
            <w:r>
              <w:t xml:space="preserve">8.069 (0,14 %)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erhalten</w:t>
            </w:r>
          </w:p>
        </w:tc>
        <w:tc>
          <w:p/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99,42 %</w:t>
            </w:r>
          </w:p>
        </w:tc>
      </w:tr>
    </w:tbl>
    <w:p>
      <w:pPr>
        <w:pStyle w:val="BodyText"/>
      </w:pPr>
      <w:r>
        <w:t xml:space="preserve">Der gesamte Vollständigkeitsverlust hängt an einer Spalte:</w:t>
      </w:r>
      <w:r>
        <w:t xml:space="preserve"> </w:t>
      </w:r>
      <w:r>
        <w:rPr>
          <w:rStyle w:val="VerbatimChar"/>
        </w:rPr>
        <w:t xml:space="preserve">leistung_kw</w:t>
      </w:r>
      <w:r>
        <w:t xml:space="preserve"> </w:t>
      </w:r>
      <w:r>
        <w:t xml:space="preserve">fehlt in 8.070</w:t>
      </w:r>
      <w:r>
        <w:t xml:space="preserve"> </w:t>
      </w:r>
      <w:r>
        <w:t xml:space="preserve">Sätzen.</w:t>
      </w:r>
      <w:r>
        <w:t xml:space="preserve"> </w:t>
      </w:r>
      <w:r>
        <w:rPr>
          <w:rStyle w:val="VerbatimChar"/>
        </w:rPr>
        <w:t xml:space="preserve">masse_kg</w:t>
      </w:r>
      <w:r>
        <w:t xml:space="preserve">,</w:t>
      </w:r>
      <w:r>
        <w:t xml:space="preserve"> </w:t>
      </w:r>
      <w:r>
        <w:rPr>
          <w:rStyle w:val="VerbatimChar"/>
        </w:rPr>
        <w:t xml:space="preserve">fc_wltp</w:t>
      </w:r>
      <w:r>
        <w:t xml:space="preserve">,</w:t>
      </w:r>
      <w:r>
        <w:t xml:space="preserve"> </w:t>
      </w:r>
      <w:r>
        <w:rPr>
          <w:rStyle w:val="VerbatimChar"/>
        </w:rPr>
        <w:t xml:space="preserve">co2_wltp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dist_total_km</w:t>
      </w:r>
      <w:r>
        <w:t xml:space="preserve"> </w:t>
      </w:r>
      <w:r>
        <w:t xml:space="preserve">sind lückenlos.</w:t>
      </w:r>
    </w:p>
    <w:p>
      <w:pPr>
        <w:pStyle w:val="BodyText"/>
      </w:pPr>
      <w:r>
        <w:rPr>
          <w:b/>
        </w:rPr>
        <w:t xml:space="preserve">Der Antriebsmix verschiebt sich nicht: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Antrieb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Anteil vorher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Anteil nachher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ICE_BENZIN</w:t>
            </w:r>
          </w:p>
        </w:tc>
        <w:tc>
          <w:p>
            <w:pPr>
              <w:pStyle w:val="Compact"/>
              <w:jc w:val="right"/>
            </w:pPr>
            <w:r>
              <w:t xml:space="preserve">34,02 %</w:t>
            </w:r>
          </w:p>
        </w:tc>
        <w:tc>
          <w:p>
            <w:pPr>
              <w:pStyle w:val="Compact"/>
              <w:jc w:val="right"/>
            </w:pPr>
            <w:r>
              <w:t xml:space="preserve">34,02 %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HEV</w:t>
            </w:r>
          </w:p>
        </w:tc>
        <w:tc>
          <w:p>
            <w:pPr>
              <w:pStyle w:val="Compact"/>
              <w:jc w:val="right"/>
            </w:pPr>
            <w:r>
              <w:t xml:space="preserve">31,13 %</w:t>
            </w:r>
          </w:p>
        </w:tc>
        <w:tc>
          <w:p>
            <w:pPr>
              <w:pStyle w:val="Compact"/>
              <w:jc w:val="right"/>
            </w:pPr>
            <w:r>
              <w:t xml:space="preserve">31,12 %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ICE_DIESEL</w:t>
            </w:r>
          </w:p>
        </w:tc>
        <w:tc>
          <w:p>
            <w:pPr>
              <w:pStyle w:val="Compact"/>
              <w:jc w:val="right"/>
            </w:pPr>
            <w:r>
              <w:t xml:space="preserve">23,40 %</w:t>
            </w:r>
          </w:p>
        </w:tc>
        <w:tc>
          <w:p>
            <w:pPr>
              <w:pStyle w:val="Compact"/>
              <w:jc w:val="right"/>
            </w:pPr>
            <w:r>
              <w:t xml:space="preserve">23,40 %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PHEV</w:t>
            </w:r>
          </w:p>
        </w:tc>
        <w:tc>
          <w:p>
            <w:pPr>
              <w:pStyle w:val="Compact"/>
              <w:jc w:val="right"/>
            </w:pPr>
            <w:r>
              <w:t xml:space="preserve">11,45 %</w:t>
            </w:r>
          </w:p>
        </w:tc>
        <w:tc>
          <w:p>
            <w:pPr>
              <w:pStyle w:val="Compact"/>
              <w:jc w:val="right"/>
            </w:pPr>
            <w:r>
              <w:t xml:space="preserve">11,47 %</w:t>
            </w:r>
          </w:p>
        </w:tc>
      </w:tr>
    </w:tbl>
    <w:p>
      <w:pPr>
        <w:pStyle w:val="BodyText"/>
      </w:pPr>
      <w:r>
        <w:t xml:space="preserve">Das war die eigentliche Prüfung. Ein Filter, der 0,58 % entfernt, aber die Struktur verzerrt,</w:t>
      </w:r>
      <w:r>
        <w:t xml:space="preserve"> </w:t>
      </w:r>
      <w:r>
        <w:t xml:space="preserve">wäre trotzdem unbrauchbar.</w:t>
      </w:r>
    </w:p>
    <w:p>
      <w:pPr>
        <w:pStyle w:val="Heading3"/>
      </w:pPr>
      <w:bookmarkStart w:id="36" w:name="zwei-ersetzungen-die-keine-sind"/>
      <w:r>
        <w:t xml:space="preserve">8.3 Zwei Ersetzungen, die keine sind</w:t>
      </w:r>
      <w:bookmarkEnd w:id="36"/>
    </w:p>
    <w:p>
      <w:pPr>
        <w:pStyle w:val="FirstParagraph"/>
      </w:pPr>
      <w:r>
        <w:rPr>
          <w:rStyle w:val="VerbatimChar"/>
        </w:rPr>
        <w:t xml:space="preserve">e_reichweite_km</w:t>
      </w:r>
      <w:r>
        <w:t xml:space="preserve"> </w:t>
      </w:r>
      <w:r>
        <w:t xml:space="preserve">fehlt in 5.215.591 Sätzen (88,5 %),</w:t>
      </w:r>
      <w:r>
        <w:t xml:space="preserve"> </w:t>
      </w:r>
      <w:r>
        <w:rPr>
          <w:rStyle w:val="VerbatimChar"/>
        </w:rPr>
        <w:t xml:space="preserve">hubraum_cm3</w:t>
      </w:r>
      <w:r>
        <w:t xml:space="preserve"> </w:t>
      </w:r>
      <w:r>
        <w:t xml:space="preserve">in 124. Beide werden auf</w:t>
      </w:r>
      <w:r>
        <w:t xml:space="preserve"> </w:t>
      </w:r>
      <w:r>
        <w:rPr>
          <w:b/>
        </w:rPr>
        <w:t xml:space="preserve">0</w:t>
      </w:r>
      <w:r>
        <w:t xml:space="preserve"> </w:t>
      </w:r>
      <w:r>
        <w:t xml:space="preserve">gesetzt statt die Zeile zu verwerfen. Das ist keine Imputation: Ein reiner Verbrenner</w:t>
      </w:r>
      <w:r>
        <w:t xml:space="preserve"> </w:t>
      </w:r>
      <w:r>
        <w:rPr>
          <w:b/>
        </w:rPr>
        <w:t xml:space="preserve">hat</w:t>
      </w:r>
      <w:r>
        <w:t xml:space="preserve"> </w:t>
      </w:r>
      <w:r>
        <w:t xml:space="preserve">keine elektrische Reichweite, ein Elektroauto keinen Hubraum. Null ist die Sachlage.</w:t>
      </w:r>
    </w:p>
    <w:p>
      <w:pPr>
        <w:pStyle w:val="BodyText"/>
      </w:pPr>
      <w:r>
        <w:t xml:space="preserve">Bei der PHEV-Teilmenge werden</w:t>
      </w:r>
      <w:r>
        <w:t xml:space="preserve"> </w:t>
      </w:r>
      <w:r>
        <w:rPr>
          <w:rStyle w:val="VerbatimChar"/>
        </w:rPr>
        <w:t xml:space="preserve">anteil_elektrisch</w:t>
      </w:r>
      <w:r>
        <w:t xml:space="preserve"> </w:t>
      </w:r>
      <w:r>
        <w:t xml:space="preserve">(3.400 fehlend) und</w:t>
      </w:r>
      <w:r>
        <w:t xml:space="preserve"> </w:t>
      </w:r>
      <w:r>
        <w:rPr>
          <w:rStyle w:val="VerbatimChar"/>
        </w:rPr>
        <w:t xml:space="preserve">grid_kwh</w:t>
      </w:r>
      <w:r>
        <w:t xml:space="preserve"> </w:t>
      </w:r>
      <w:r>
        <w:t xml:space="preserve">(7.474</w:t>
      </w:r>
      <w:r>
        <w:t xml:space="preserve"> </w:t>
      </w:r>
      <w:r>
        <w:t xml:space="preserve">fehlend) dagegen</w:t>
      </w:r>
      <w:r>
        <w:t xml:space="preserve"> </w:t>
      </w:r>
      <w:r>
        <w:rPr>
          <w:b/>
        </w:rPr>
        <w:t xml:space="preserve">verlangt</w:t>
      </w:r>
      <w:r>
        <w:t xml:space="preserve">, nicht ersetzt. Sie sind die Erklärgrößen der Lücke — ein</w:t>
      </w:r>
      <w:r>
        <w:t xml:space="preserve"> </w:t>
      </w:r>
      <w:r>
        <w:t xml:space="preserve">eingesetzter Median würde genau die Frage beantworten, um die es geht. Kosten: 696.649 →</w:t>
      </w:r>
      <w:r>
        <w:t xml:space="preserve"> </w:t>
      </w:r>
      <w:r>
        <w:t xml:space="preserve">674.863 Sätze, also 3,1 %.</w:t>
      </w:r>
    </w:p>
    <w:p>
      <w:pPr>
        <w:pStyle w:val="Heading3"/>
      </w:pPr>
      <w:bookmarkStart w:id="37" w:name="X535ce6261448343f3fa9c662b4e0fa59d64dce5"/>
      <w:r>
        <w:t xml:space="preserve">8.4 Datenqualitätsbefunde, die nicht wegfiltert wurden</w:t>
      </w:r>
      <w:bookmarkEnd w:id="37"/>
    </w:p>
    <w:p>
      <w:pPr>
        <w:pStyle w:val="FirstParagraph"/>
      </w:pPr>
      <w:r>
        <w:t xml:space="preserve">Alle Befunde stehen in</w:t>
      </w:r>
      <w:r>
        <w:t xml:space="preserve"> </w:t>
      </w:r>
      <w:r>
        <w:rPr>
          <w:rStyle w:val="VerbatimChar"/>
        </w:rPr>
        <w:t xml:space="preserve">meta.dq_befund</w:t>
      </w:r>
      <w:r>
        <w:t xml:space="preserve"> </w:t>
      </w:r>
      <w:r>
        <w:t xml:space="preserve">und in</w:t>
      </w:r>
      <w:r>
        <w:t xml:space="preserve"> </w:t>
      </w:r>
      <w:r>
        <w:rPr>
          <w:rStyle w:val="VerbatimChar"/>
        </w:rPr>
        <w:t xml:space="preserve">00_doku/04_Qualitaetsbefunde_Quelle.md</w:t>
      </w:r>
      <w:r>
        <w:t xml:space="preserve">.</w:t>
      </w:r>
      <w:r>
        <w:t xml:space="preserve"> </w:t>
      </w:r>
      <w:r>
        <w:t xml:space="preserve">Zwei sind bemerkenswert:</w:t>
      </w:r>
    </w:p>
    <w:p>
      <w:pPr>
        <w:pStyle w:val="BodyText"/>
      </w:pPr>
      <w:r>
        <w:rPr>
          <w:b/>
        </w:rPr>
        <w:t xml:space="preserve">Ein 32-Bit-Zählerüberlauf im Bordmessgerät.</w:t>
      </w:r>
      <w:r>
        <w:t xml:space="preserve"> </w:t>
      </w:r>
      <w:r>
        <w:t xml:space="preserve">Der größte Wert in den Distanzspalten ist</w:t>
      </w:r>
      <w:r>
        <w:t xml:space="preserve"> </w:t>
      </w:r>
      <w:r>
        <w:t xml:space="preserve">exakt</w:t>
      </w:r>
      <w:r>
        <w:t xml:space="preserve"> </w:t>
      </w:r>
      <w:r>
        <w:rPr>
          <w:b/>
        </w:rPr>
        <w:t xml:space="preserve">429.496.740 km = 2³²/10</w:t>
      </w:r>
      <w:r>
        <w:t xml:space="preserve">. Das ist kein Ausreißer, sondern ein überlaufender</w:t>
      </w:r>
      <w:r>
        <w:t xml:space="preserve"> </w:t>
      </w:r>
      <w:r>
        <w:t xml:space="preserve">Zähler. Der erste Ladeversuch scheiterte an</w:t>
      </w:r>
      <w:r>
        <w:t xml:space="preserve"> </w:t>
      </w:r>
      <w:r>
        <w:rPr>
          <w:rStyle w:val="VerbatimChar"/>
        </w:rPr>
        <w:t xml:space="preserve">numeric(12,1)</w:t>
      </w:r>
      <w:r>
        <w:t xml:space="preserve">; die Spalten sind jetzt</w:t>
      </w:r>
      <w:r>
        <w:t xml:space="preserve"> </w:t>
      </w:r>
      <w:r>
        <w:t xml:space="preserve">unbegrenzt, und die absurden Werte werden</w:t>
      </w:r>
      <w:r>
        <w:t xml:space="preserve"> </w:t>
      </w:r>
      <w:r>
        <w:rPr>
          <w:b/>
        </w:rPr>
        <w:t xml:space="preserve">gezählt</w:t>
      </w:r>
      <w:r>
        <w:t xml:space="preserve"> </w:t>
      </w:r>
      <w:r>
        <w:t xml:space="preserve">statt entfernt.</w:t>
      </w:r>
    </w:p>
    <w:p>
      <w:pPr>
        <w:pStyle w:val="BodyText"/>
      </w:pPr>
      <w:r>
        <w:rPr>
          <w:b/>
        </w:rPr>
        <w:t xml:space="preserve">691 Zeilen mit falscher Fahrzeugklasse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R = 1</w:t>
      </w:r>
      <w:r>
        <w:t xml:space="preserve"> </w:t>
      </w:r>
      <w:r>
        <w:t xml:space="preserve">durchgängig — dokumentiert, nicht</w:t>
      </w:r>
      <w:r>
        <w:t xml:space="preserve"> </w:t>
      </w:r>
      <w:r>
        <w:t xml:space="preserve">korrigiert.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ergebnisse"/>
      <w:r>
        <w:t xml:space="preserve">9 · Ergebnisse</w:t>
      </w:r>
      <w:bookmarkEnd w:id="38"/>
    </w:p>
    <w:p>
      <w:pPr>
        <w:pStyle w:val="Heading3"/>
      </w:pPr>
      <w:bookmarkStart w:id="39" w:name="h1-realverbrauchslücke-bestätigt"/>
      <w:r>
        <w:t xml:space="preserve">9.1 H1 — Realverbrauchslücke (bestätigt)</w:t>
      </w:r>
      <w:bookmarkEnd w:id="39"/>
    </w:p>
    <w:p>
      <w:pPr>
        <w:pStyle w:val="FirstParagraph"/>
      </w:pPr>
      <w:r>
        <w:t xml:space="preserve">Deutschland, gepoolter Median über alle Zulassungsjahrgänge, 1.608.112 Fahrzeuge: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Antrieb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Fahrzeuge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real l/100 km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WLTP l/100 km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Lücke Median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Lücke P90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ICE Benzin</w:t>
            </w:r>
          </w:p>
        </w:tc>
        <w:tc>
          <w:p>
            <w:pPr>
              <w:pStyle w:val="Compact"/>
              <w:jc w:val="right"/>
            </w:pPr>
            <w:r>
              <w:t xml:space="preserve">564.918</w:t>
            </w:r>
          </w:p>
        </w:tc>
        <w:tc>
          <w:p>
            <w:pPr>
              <w:pStyle w:val="Compact"/>
              <w:jc w:val="right"/>
            </w:pPr>
            <w:r>
              <w:t xml:space="preserve">7,44</w:t>
            </w:r>
          </w:p>
        </w:tc>
        <w:tc>
          <w:p>
            <w:pPr>
              <w:pStyle w:val="Compact"/>
              <w:jc w:val="right"/>
            </w:pPr>
            <w:r>
              <w:t xml:space="preserve">6,40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+16,0 %</w:t>
            </w:r>
          </w:p>
        </w:tc>
        <w:tc>
          <w:p>
            <w:pPr>
              <w:pStyle w:val="Compact"/>
              <w:jc w:val="right"/>
            </w:pPr>
            <w:r>
              <w:t xml:space="preserve">+34,8 %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ICE Diesel</w:t>
            </w:r>
          </w:p>
        </w:tc>
        <w:tc>
          <w:p>
            <w:pPr>
              <w:pStyle w:val="Compact"/>
              <w:jc w:val="right"/>
            </w:pPr>
            <w:r>
              <w:t xml:space="preserve">410.135</w:t>
            </w:r>
          </w:p>
        </w:tc>
        <w:tc>
          <w:p>
            <w:pPr>
              <w:pStyle w:val="Compact"/>
              <w:jc w:val="right"/>
            </w:pPr>
            <w:r>
              <w:t xml:space="preserve">6,59</w:t>
            </w:r>
          </w:p>
        </w:tc>
        <w:tc>
          <w:p>
            <w:pPr>
              <w:pStyle w:val="Compact"/>
              <w:jc w:val="right"/>
            </w:pPr>
            <w:r>
              <w:t xml:space="preserve">5,60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+16,6 %</w:t>
            </w:r>
          </w:p>
        </w:tc>
        <w:tc>
          <w:p>
            <w:pPr>
              <w:pStyle w:val="Compact"/>
              <w:jc w:val="right"/>
            </w:pPr>
            <w:r>
              <w:t xml:space="preserve">+32,4 %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HEV</w:t>
            </w:r>
          </w:p>
        </w:tc>
        <w:tc>
          <w:p>
            <w:pPr>
              <w:pStyle w:val="Compact"/>
              <w:jc w:val="right"/>
            </w:pPr>
            <w:r>
              <w:t xml:space="preserve">409.090</w:t>
            </w:r>
          </w:p>
        </w:tc>
        <w:tc>
          <w:p>
            <w:pPr>
              <w:pStyle w:val="Compact"/>
              <w:jc w:val="right"/>
            </w:pPr>
            <w:r>
              <w:t xml:space="preserve">7,07</w:t>
            </w:r>
          </w:p>
        </w:tc>
        <w:tc>
          <w:p>
            <w:pPr>
              <w:pStyle w:val="Compact"/>
              <w:jc w:val="right"/>
            </w:pPr>
            <w:r>
              <w:t xml:space="preserve">5,90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+18,8 %</w:t>
            </w:r>
          </w:p>
        </w:tc>
        <w:tc>
          <w:p>
            <w:pPr>
              <w:pStyle w:val="Compact"/>
              <w:jc w:val="right"/>
            </w:pPr>
            <w:r>
              <w:t xml:space="preserve">+37,4 %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PHEV</w:t>
            </w:r>
          </w:p>
        </w:tc>
        <w:tc>
          <w:p>
            <w:pPr>
              <w:pStyle w:val="Compact"/>
              <w:jc w:val="right"/>
            </w:pPr>
            <w:r>
              <w:t xml:space="preserve">223.969</w:t>
            </w:r>
          </w:p>
        </w:tc>
        <w:tc>
          <w:p>
            <w:pPr>
              <w:pStyle w:val="Compact"/>
              <w:jc w:val="right"/>
            </w:pPr>
            <w:r>
              <w:t xml:space="preserve">6,06</w:t>
            </w:r>
          </w:p>
        </w:tc>
        <w:tc>
          <w:p>
            <w:pPr>
              <w:pStyle w:val="Compact"/>
              <w:jc w:val="right"/>
            </w:pPr>
            <w:r>
              <w:t xml:space="preserve">1,40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+320,7 %</w:t>
            </w:r>
          </w:p>
        </w:tc>
        <w:tc>
          <w:p>
            <w:pPr>
              <w:pStyle w:val="Compact"/>
              <w:jc w:val="right"/>
            </w:pPr>
            <w:r>
              <w:t xml:space="preserve">+666,5 %</w:t>
            </w:r>
          </w:p>
        </w:tc>
      </w:tr>
    </w:tbl>
    <w:p>
      <w:pPr>
        <w:pStyle w:val="BodyText"/>
      </w:pPr>
      <w:r>
        <w:rPr>
          <w:b/>
        </w:rPr>
        <w:t xml:space="preserve">H1 ist bestätigt.</w:t>
      </w:r>
    </w:p>
    <w:p>
      <w:pPr>
        <w:pStyle w:val="BodyText"/>
      </w:pPr>
      <w:r>
        <w:rPr>
          <w:b/>
        </w:rPr>
        <w:t xml:space="preserve">Methodenhinweis.</w:t>
      </w:r>
      <w:r>
        <w:t xml:space="preserve"> </w:t>
      </w:r>
      <w:r>
        <w:t xml:space="preserve">Die Zusammenfassung in</w:t>
      </w:r>
      <w:r>
        <w:t xml:space="preserve"> </w:t>
      </w:r>
      <w:r>
        <w:rPr>
          <w:rStyle w:val="VerbatimChar"/>
        </w:rPr>
        <w:t xml:space="preserve">mart.a4_luecke</w:t>
      </w:r>
      <w:r>
        <w:t xml:space="preserve"> </w:t>
      </w:r>
      <w:r>
        <w:t xml:space="preserve">bildet</w:t>
      </w:r>
      <w:r>
        <w:t xml:space="preserve"> </w:t>
      </w:r>
      <w:r>
        <w:rPr>
          <w:rStyle w:val="VerbatimChar"/>
        </w:rPr>
        <w:t xml:space="preserve">avg()</w:t>
      </w:r>
      <w:r>
        <w:t xml:space="preserve"> </w:t>
      </w:r>
      <w:r>
        <w:t xml:space="preserve">über die</w:t>
      </w:r>
      <w:r>
        <w:t xml:space="preserve"> </w:t>
      </w:r>
      <w:r>
        <w:t xml:space="preserve">Jahresmediane und liefert deshalb leicht abweichende Werte (+16,5 % bzw. +352,9 %). Dort</w:t>
      </w:r>
      <w:r>
        <w:t xml:space="preserve"> </w:t>
      </w:r>
      <w:r>
        <w:t xml:space="preserve">zählt jeder Zulassungsjahrgang gleich viel, obwohl 2022 rund 120.000 PHEV enthält und 2023</w:t>
      </w:r>
      <w:r>
        <w:t xml:space="preserve"> </w:t>
      </w:r>
      <w:r>
        <w:t xml:space="preserve">nur 27.000.</w:t>
      </w:r>
      <w:r>
        <w:t xml:space="preserve"> </w:t>
      </w:r>
      <w:r>
        <w:rPr>
          <w:b/>
        </w:rPr>
        <w:t xml:space="preserve">Maßgeblich ist der gepoolte Median oben</w:t>
      </w:r>
      <w:r>
        <w:t xml:space="preserve">, weil er jedes Fahrzeug gleich</w:t>
      </w:r>
      <w:r>
        <w:t xml:space="preserve"> </w:t>
      </w:r>
      <w:r>
        <w:t xml:space="preserve">gewichtet. Die Differenz wird offengelegt statt angeglichen.</w:t>
      </w:r>
    </w:p>
    <w:p>
      <w:pPr>
        <w:pStyle w:val="Heading3"/>
      </w:pPr>
      <w:bookmarkStart w:id="40" w:name="der-utility-factor-in-der-praxis"/>
      <w:r>
        <w:t xml:space="preserve">9.2 Der Utility Factor in der Praxis</w:t>
      </w:r>
      <w:bookmarkEnd w:id="40"/>
    </w:p>
    <w:p>
      <w:pPr>
        <w:pStyle w:val="FirstParagraph"/>
      </w:pPr>
      <w:r>
        <w:t xml:space="preserve">Die WLTP-Regel unterstellt rund</w:t>
      </w:r>
      <w:r>
        <w:t xml:space="preserve"> </w:t>
      </w:r>
      <w:r>
        <w:rPr>
          <w:b/>
        </w:rPr>
        <w:t xml:space="preserve">84 %</w:t>
      </w:r>
      <w:r>
        <w:t xml:space="preserve"> </w:t>
      </w:r>
      <w:r>
        <w:t xml:space="preserve">elektrische Fahrleistung für Plug-in-Hybride.</w:t>
      </w:r>
      <w:r>
        <w:t xml:space="preserve"> </w:t>
      </w:r>
      <w:r>
        <w:t xml:space="preserve">Gemessen wurde in Deutschland: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Jahrgang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PHEV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elektrisch gefahren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Netzstrom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Lücke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p>
            <w:pPr>
              <w:pStyle w:val="Compact"/>
              <w:jc w:val="right"/>
            </w:pPr>
            <w:r>
              <w:t xml:space="preserve">76.669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25,8 %</w:t>
            </w:r>
          </w:p>
        </w:tc>
        <w:tc>
          <w:p>
            <w:pPr>
              <w:pStyle w:val="Compact"/>
              <w:jc w:val="right"/>
            </w:pPr>
            <w:r>
              <w:t xml:space="preserve">1.744 kWh</w:t>
            </w:r>
          </w:p>
        </w:tc>
        <w:tc>
          <w:p>
            <w:pPr>
              <w:pStyle w:val="Compact"/>
              <w:jc w:val="right"/>
            </w:pPr>
            <w:r>
              <w:t xml:space="preserve">+275,7 %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p>
            <w:pPr>
              <w:pStyle w:val="Compact"/>
              <w:jc w:val="right"/>
            </w:pPr>
            <w:r>
              <w:t xml:space="preserve">120.165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27,0 %</w:t>
            </w:r>
          </w:p>
        </w:tc>
        <w:tc>
          <w:p>
            <w:pPr>
              <w:pStyle w:val="Compact"/>
              <w:jc w:val="right"/>
            </w:pPr>
            <w:r>
              <w:t xml:space="preserve">957 kWh</w:t>
            </w:r>
          </w:p>
        </w:tc>
        <w:tc>
          <w:p>
            <w:pPr>
              <w:pStyle w:val="Compact"/>
              <w:jc w:val="right"/>
            </w:pPr>
            <w:r>
              <w:t xml:space="preserve">+331,0 %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p>
            <w:pPr>
              <w:pStyle w:val="Compact"/>
              <w:jc w:val="right"/>
            </w:pPr>
            <w:r>
              <w:t xml:space="preserve">27.135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26,3 %</w:t>
            </w:r>
          </w:p>
        </w:tc>
        <w:tc>
          <w:p>
            <w:pPr>
              <w:pStyle w:val="Compact"/>
              <w:jc w:val="right"/>
            </w:pPr>
            <w:r>
              <w:t xml:space="preserve">437 kWh</w:t>
            </w:r>
          </w:p>
        </w:tc>
        <w:tc>
          <w:p>
            <w:pPr>
              <w:pStyle w:val="Compact"/>
              <w:jc w:val="right"/>
            </w:pPr>
            <w:r>
              <w:t xml:space="preserve">+452,0 %</w:t>
            </w:r>
          </w:p>
        </w:tc>
      </w:tr>
    </w:tbl>
    <w:p>
      <w:pPr>
        <w:pStyle w:val="BodyText"/>
      </w:pPr>
      <w:r>
        <w:rPr>
          <w:b/>
        </w:rPr>
        <w:t xml:space="preserve">Ein knappes Drittel des unterstellten Werts, stabil über alle 27 Mitgliedstaaten.</w:t>
      </w:r>
      <w:r>
        <w:t xml:space="preserve"> </w:t>
      </w:r>
      <w:r>
        <w:t xml:space="preserve">Die</w:t>
      </w:r>
      <w:r>
        <w:t xml:space="preserve"> </w:t>
      </w:r>
      <w:r>
        <w:t xml:space="preserve">Bandbreite reicht von 23,5 % (Dänemark 2022) bis 46,7 % (Zypern 2021) — kein einziges Land</w:t>
      </w:r>
      <w:r>
        <w:t xml:space="preserve"> </w:t>
      </w:r>
      <w:r>
        <w:t xml:space="preserve">kommt in die Nähe von 84 %.</w:t>
      </w:r>
    </w:p>
    <w:p>
      <w:pPr>
        <w:pStyle w:val="Heading3"/>
      </w:pPr>
      <w:bookmarkStart w:id="41" w:name="X0923ac6ed50e7dc495bb3b820e84ccf445383c6"/>
      <w:r>
        <w:t xml:space="preserve">9.3 H2 — auf Flottenebene widerlegt, auf Modellebene bestätigt</w:t>
      </w:r>
      <w:bookmarkEnd w:id="41"/>
    </w:p>
    <w:p>
      <w:pPr>
        <w:pStyle w:val="BlockText"/>
      </w:pPr>
      <w:r>
        <w:rPr>
          <w:b/>
        </w:rPr>
        <w:t xml:space="preserve">H2 (ursprünglich):</w:t>
      </w:r>
      <w:r>
        <w:t xml:space="preserve"> </w:t>
      </w:r>
      <w:r>
        <w:t xml:space="preserve">Ein moderner Diesel oder Benziner ist real ehrlicher als ein PHEV;</w:t>
      </w:r>
      <w:r>
        <w:t xml:space="preserve"> </w:t>
      </w:r>
      <w:r>
        <w:t xml:space="preserve">die offizielle Rangfolge kehrt sich teilweise um.</w:t>
      </w:r>
    </w:p>
    <w:p>
      <w:pPr>
        <w:pStyle w:val="FirstParagraph"/>
      </w:pPr>
      <w:r>
        <w:rPr>
          <w:b/>
        </w:rPr>
        <w:t xml:space="preserve">Auf Klassenebene ist das falsch.</w:t>
      </w:r>
      <w:r>
        <w:t xml:space="preserve"> </w:t>
      </w:r>
      <w:r>
        <w:t xml:space="preserve">Der Well-to-Wheel-Vergleich mit dem realen deutschen</w:t>
      </w:r>
      <w:r>
        <w:t xml:space="preserve"> </w:t>
      </w:r>
      <w:r>
        <w:t xml:space="preserve">Strommix (Jahresmittel 355,6 g/kWh):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Antrieb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Quelle Realwert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Papier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Auspuff real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Strom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Well-to-Wheel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vs. Papier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BEV</w:t>
            </w:r>
          </w:p>
        </w:tc>
        <w:tc>
          <w:p>
            <w:pPr>
              <w:pStyle w:val="Compact"/>
              <w:jc w:val="left"/>
            </w:pPr>
            <w:r>
              <w:t xml:space="preserve">WLTP Laborwert</w:t>
            </w:r>
          </w:p>
        </w:tc>
        <w:tc>
          <w:p>
            <w:pPr>
              <w:pStyle w:val="Compact"/>
              <w:jc w:val="right"/>
            </w:pPr>
            <w:r>
              <w:t xml:space="preserve">0,0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p>
            <w:pPr>
              <w:pStyle w:val="Compact"/>
              <w:jc w:val="right"/>
            </w:pPr>
            <w:r>
              <w:t xml:space="preserve">66,7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66,7</w:t>
            </w:r>
          </w:p>
        </w:tc>
        <w:tc>
          <w:p>
            <w:pPr>
              <w:pStyle w:val="Compact"/>
              <w:jc w:val="right"/>
            </w:pPr>
            <w:r>
              <w:rPr>
                <w:i/>
              </w:rPr>
              <w:t xml:space="preserve">nicht definiert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PHEV</w:t>
            </w:r>
          </w:p>
        </w:tc>
        <w:tc>
          <w:p>
            <w:pPr>
              <w:pStyle w:val="Compact"/>
              <w:jc w:val="left"/>
            </w:pPr>
            <w:r>
              <w:t xml:space="preserve">OBFCM gemessen</w:t>
            </w:r>
          </w:p>
        </w:tc>
        <w:tc>
          <w:p>
            <w:pPr>
              <w:pStyle w:val="Compact"/>
              <w:jc w:val="right"/>
            </w:pPr>
            <w:r>
              <w:t xml:space="preserve">31,0</w:t>
            </w:r>
          </w:p>
        </w:tc>
        <w:tc>
          <w:p>
            <w:pPr>
              <w:pStyle w:val="Compact"/>
              <w:jc w:val="right"/>
            </w:pPr>
            <w:r>
              <w:t xml:space="preserve">138,9</w:t>
            </w:r>
          </w:p>
        </w:tc>
        <w:tc>
          <w:p>
            <w:pPr>
              <w:pStyle w:val="Compact"/>
              <w:jc w:val="right"/>
            </w:pPr>
            <w:r>
              <w:t xml:space="preserve">21,9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160,8</w:t>
            </w:r>
          </w:p>
        </w:tc>
        <w:tc>
          <w:p>
            <w:pPr>
              <w:pStyle w:val="Compact"/>
              <w:jc w:val="right"/>
            </w:pPr>
            <w:r>
              <w:t xml:space="preserve">+419 %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ICE Benzin</w:t>
            </w:r>
          </w:p>
        </w:tc>
        <w:tc>
          <w:p>
            <w:pPr>
              <w:pStyle w:val="Compact"/>
              <w:jc w:val="left"/>
            </w:pPr>
            <w:r>
              <w:t xml:space="preserve">OBFCM gemessen</w:t>
            </w:r>
          </w:p>
        </w:tc>
        <w:tc>
          <w:p>
            <w:pPr>
              <w:pStyle w:val="Compact"/>
              <w:jc w:val="right"/>
            </w:pPr>
            <w:r>
              <w:t xml:space="preserve">144,0</w:t>
            </w:r>
          </w:p>
        </w:tc>
        <w:tc>
          <w:p>
            <w:pPr>
              <w:pStyle w:val="Compact"/>
              <w:jc w:val="right"/>
            </w:pPr>
            <w:r>
              <w:t xml:space="preserve">169,4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169,4</w:t>
            </w:r>
          </w:p>
        </w:tc>
        <w:tc>
          <w:p>
            <w:pPr>
              <w:pStyle w:val="Compact"/>
              <w:jc w:val="right"/>
            </w:pPr>
            <w:r>
              <w:t xml:space="preserve">+18 %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HEV</w:t>
            </w:r>
          </w:p>
        </w:tc>
        <w:tc>
          <w:p>
            <w:pPr>
              <w:pStyle w:val="Compact"/>
              <w:jc w:val="left"/>
            </w:pPr>
            <w:r>
              <w:t xml:space="preserve">OBFCM gemessen</w:t>
            </w:r>
          </w:p>
        </w:tc>
        <w:tc>
          <w:p>
            <w:pPr>
              <w:pStyle w:val="Compact"/>
              <w:jc w:val="right"/>
            </w:pPr>
            <w:r>
              <w:t xml:space="preserve">141,0</w:t>
            </w:r>
          </w:p>
        </w:tc>
        <w:tc>
          <w:p>
            <w:pPr>
              <w:pStyle w:val="Compact"/>
              <w:jc w:val="right"/>
            </w:pPr>
            <w:r>
              <w:t xml:space="preserve">171,4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171,4</w:t>
            </w:r>
          </w:p>
        </w:tc>
        <w:tc>
          <w:p>
            <w:pPr>
              <w:pStyle w:val="Compact"/>
              <w:jc w:val="right"/>
            </w:pPr>
            <w:r>
              <w:t xml:space="preserve">+22 %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ICE Diesel</w:t>
            </w:r>
          </w:p>
        </w:tc>
        <w:tc>
          <w:p>
            <w:pPr>
              <w:pStyle w:val="Compact"/>
              <w:jc w:val="left"/>
            </w:pPr>
            <w:r>
              <w:t xml:space="preserve">OBFCM gemessen</w:t>
            </w:r>
          </w:p>
        </w:tc>
        <w:tc>
          <w:p>
            <w:pPr>
              <w:pStyle w:val="Compact"/>
              <w:jc w:val="right"/>
            </w:pPr>
            <w:r>
              <w:t xml:space="preserve">146,0</w:t>
            </w:r>
          </w:p>
        </w:tc>
        <w:tc>
          <w:p>
            <w:pPr>
              <w:pStyle w:val="Compact"/>
              <w:jc w:val="right"/>
            </w:pPr>
            <w:r>
              <w:t xml:space="preserve">173,3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173,3</w:t>
            </w:r>
          </w:p>
        </w:tc>
        <w:tc>
          <w:p>
            <w:pPr>
              <w:pStyle w:val="Compact"/>
              <w:jc w:val="right"/>
            </w:pPr>
            <w:r>
              <w:t xml:space="preserve">+19 %</w:t>
            </w:r>
          </w:p>
        </w:tc>
      </w:tr>
    </w:tbl>
    <w:p>
      <w:pPr>
        <w:pStyle w:val="BodyText"/>
      </w:pPr>
      <w:r>
        <w:t xml:space="preserve">Der PHEV bleibt vorn. Die Sensitivitätsrechnung zeigt die Kippgrenze bei rund</w:t>
      </w:r>
      <w:r>
        <w:t xml:space="preserve"> </w:t>
      </w:r>
      <w:r>
        <w:rPr>
          <w:b/>
        </w:rPr>
        <w:t xml:space="preserve">500 g/kWh</w:t>
      </w:r>
      <w:r>
        <w:t xml:space="preserve">;</w:t>
      </w:r>
      <w:r>
        <w:t xml:space="preserve"> </w:t>
      </w:r>
      <w:r>
        <w:t xml:space="preserve">der deutsche Mix liegt bei 355,6 und fällt (371,8 in 2021 auf 321,9 in 2025).</w:t>
      </w:r>
    </w:p>
    <w:p>
      <w:pPr>
        <w:pStyle w:val="BodyText"/>
      </w:pPr>
      <w:r>
        <w:rPr>
          <w:b/>
        </w:rPr>
        <w:t xml:space="preserve">Auf Modellebene stimmt die Hypothese.</w:t>
      </w:r>
      <w:r>
        <w:t xml:space="preserve"> </w:t>
      </w:r>
      <w:r>
        <w:t xml:space="preserve">Analyse A5c zählt Modellpaare, bei denen der PHEV</w:t>
      </w:r>
      <w:r>
        <w:t xml:space="preserve"> </w:t>
      </w:r>
      <w:r>
        <w:t xml:space="preserve">auf dem Papier besser dasteht:</w:t>
      </w:r>
    </w:p>
    <w:p>
      <w:pPr>
        <w:pStyle w:val="BlockText"/>
      </w:pPr>
      <w:r>
        <w:rPr>
          <w:b/>
        </w:rPr>
        <w:t xml:space="preserve">7.960 Paare. In 1.665 davon (20,9 %) ist der Verbrenner real sparsamer.</w:t>
      </w:r>
    </w:p>
    <w:p>
      <w:pPr>
        <w:pStyle w:val="FirstParagraph"/>
      </w:pPr>
      <w:r>
        <w:t xml:space="preserve">Ein Beispiel aus A5d: BMW 116d, 4,60 l auf dem Papier,</w:t>
      </w:r>
      <w:r>
        <w:t xml:space="preserve"> </w:t>
      </w:r>
      <w:r>
        <w:rPr>
          <w:b/>
        </w:rPr>
        <w:t xml:space="preserve">5,44 l</w:t>
      </w:r>
      <w:r>
        <w:t xml:space="preserve"> </w:t>
      </w:r>
      <w:r>
        <w:t xml:space="preserve">auf der Straße. MG EHS</w:t>
      </w:r>
      <w:r>
        <w:t xml:space="preserve"> </w:t>
      </w:r>
      <w:r>
        <w:t xml:space="preserve">Plug-in-Hybrid, 1,80 l auf dem Papier,</w:t>
      </w:r>
      <w:r>
        <w:t xml:space="preserve"> </w:t>
      </w:r>
      <w:r>
        <w:rPr>
          <w:b/>
        </w:rPr>
        <w:t xml:space="preserve">8,58 l</w:t>
      </w:r>
      <w:r>
        <w:t xml:space="preserve"> </w:t>
      </w:r>
      <w:r>
        <w:t xml:space="preserve">auf der Straße. Der Diesel, der laut</w:t>
      </w:r>
      <w:r>
        <w:t xml:space="preserve"> </w:t>
      </w:r>
      <w:r>
        <w:t xml:space="preserve">Typprüfung 2,6-mal schlechter sein sollte, verbraucht real 3,14 l weniger.</w:t>
      </w:r>
    </w:p>
    <w:p>
      <w:pPr>
        <w:pStyle w:val="BodyText"/>
      </w:pPr>
      <w:r>
        <w:rPr>
          <w:b/>
        </w:rPr>
        <w:t xml:space="preserve">Das ist die präzise Fassung des Befunds:</w:t>
      </w:r>
      <w:r>
        <w:t xml:space="preserve"> </w:t>
      </w:r>
      <w:r>
        <w:t xml:space="preserve">Die Rangfolge kehrt sich nicht zwischen den</w:t>
      </w:r>
      <w:r>
        <w:t xml:space="preserve"> </w:t>
      </w:r>
      <w:r>
        <w:t xml:space="preserve">Antriebsarten um, sondern zwischen konkreten Fahrzeugen. Ein sparsamer Kompaktdiesel schlägt</w:t>
      </w:r>
      <w:r>
        <w:t xml:space="preserve"> </w:t>
      </w:r>
      <w:r>
        <w:t xml:space="preserve">einen schweren Plug-in-Hybrid-SUV — auf dem Papier nie, auf der Straße in jedem fünften Fall.</w:t>
      </w:r>
    </w:p>
    <w:p>
      <w:pPr>
        <w:pStyle w:val="Heading3"/>
      </w:pPr>
      <w:bookmarkStart w:id="42" w:name="der-befund-zum-batterieauto"/>
      <w:r>
        <w:t xml:space="preserve">9.4 Der Befund zum Batterieauto</w:t>
      </w:r>
      <w:bookmarkEnd w:id="42"/>
    </w:p>
    <w:p>
      <w:pPr>
        <w:pStyle w:val="FirstParagraph"/>
      </w:pPr>
      <w:r>
        <w:t xml:space="preserve">Für das BEV schreibt die Verordnung</w:t>
      </w:r>
      <w:r>
        <w:t xml:space="preserve"> </w:t>
      </w:r>
      <w:r>
        <w:rPr>
          <w:b/>
        </w:rPr>
        <w:t xml:space="preserve">0 g/km</w:t>
      </w:r>
      <w:r>
        <w:t xml:space="preserve"> </w:t>
      </w:r>
      <w:r>
        <w:t xml:space="preserve">vor. Mit dem realen deutschen Strommix sind es</w:t>
      </w:r>
      <w:r>
        <w:t xml:space="preserve"> </w:t>
      </w:r>
      <w:r>
        <w:rPr>
          <w:b/>
        </w:rPr>
        <w:t xml:space="preserve">66,7 g/km</w:t>
      </w:r>
      <w:r>
        <w:t xml:space="preserve">. Die Prozentspalte bleibt leer, weil sich durch null nicht teilen lässt.</w:t>
      </w:r>
    </w:p>
    <w:p>
      <w:pPr>
        <w:pStyle w:val="BodyText"/>
      </w:pPr>
      <w:r>
        <w:t xml:space="preserve">Über drei Aufschlagsszenarien (Laborwert, +15 %, +30 %) bewegt sich der Wert zwischen</w:t>
      </w:r>
      <w:r>
        <w:t xml:space="preserve"> </w:t>
      </w:r>
      <w:r>
        <w:rPr>
          <w:b/>
        </w:rPr>
        <w:t xml:space="preserve">58,0 und 75,4 g/km</w:t>
      </w:r>
      <w:r>
        <w:t xml:space="preserve">. Selbst im ungünstigsten Fall liegt das BEV bei 44 % des besten</w:t>
      </w:r>
      <w:r>
        <w:t xml:space="preserve"> </w:t>
      </w:r>
      <w:r>
        <w:t xml:space="preserve">Verbrenners.</w:t>
      </w:r>
      <w:r>
        <w:t xml:space="preserve"> </w:t>
      </w:r>
      <w:r>
        <w:rPr>
          <w:b/>
        </w:rPr>
        <w:t xml:space="preserve">Die Aussage hängt nicht an der Annahme</w:t>
      </w:r>
      <w:r>
        <w:t xml:space="preserve"> </w:t>
      </w:r>
      <w:r>
        <w:t xml:space="preserve">— das ist der Zweck der</w:t>
      </w:r>
      <w:r>
        <w:t xml:space="preserve"> </w:t>
      </w:r>
      <w:r>
        <w:t xml:space="preserve">Szenariorechnung.</w:t>
      </w:r>
    </w:p>
    <w:p>
      <w:pPr>
        <w:pStyle w:val="BodyText"/>
      </w:pPr>
      <w:r>
        <w:rPr>
          <w:b/>
        </w:rPr>
        <w:t xml:space="preserve">Einschränkung.</w:t>
      </w:r>
      <w:r>
        <w:t xml:space="preserve"> </w:t>
      </w:r>
      <w:r>
        <w:t xml:space="preserve">Die BEV-Zeile stammt aus der WLTP-Typprüfung, alle anderen aus gemessenem</w:t>
      </w:r>
      <w:r>
        <w:t xml:space="preserve"> </w:t>
      </w:r>
      <w:r>
        <w:t xml:space="preserve">Verbrauch. OBFCM ist ein Kraftstoff-Verbrauchsmesser; ein Batterieauto hat keinen und ist in</w:t>
      </w:r>
      <w:r>
        <w:t xml:space="preserve"> </w:t>
      </w:r>
      <w:r>
        <w:t xml:space="preserve">dieser Quelle nicht enthalten. Der Vergleich ist</w:t>
      </w:r>
      <w:r>
        <w:t xml:space="preserve"> </w:t>
      </w:r>
      <w:r>
        <w:rPr>
          <w:b/>
        </w:rPr>
        <w:t xml:space="preserve">nicht gleichwertig</w:t>
      </w:r>
      <w:r>
        <w:t xml:space="preserve">. Die Ergebnistabelle</w:t>
      </w:r>
      <w:r>
        <w:t xml:space="preserve"> </w:t>
      </w:r>
      <w:r>
        <w:t xml:space="preserve">führt dafür die Spalte</w:t>
      </w:r>
      <w:r>
        <w:t xml:space="preserve"> </w:t>
      </w:r>
      <w:r>
        <w:rPr>
          <w:rStyle w:val="VerbatimChar"/>
        </w:rPr>
        <w:t xml:space="preserve">quelle_real</w:t>
      </w:r>
      <w:r>
        <w:t xml:space="preserve">.</w:t>
      </w:r>
    </w:p>
    <w:p>
      <w:pPr>
        <w:pStyle w:val="Heading3"/>
      </w:pPr>
      <w:bookmarkStart w:id="43" w:name="X0dc5a3e55c0e50f21784c8993da43b6f1a94483"/>
      <w:r>
        <w:t xml:space="preserve">9.4a Hersteller: wer hält sein Versprechen? (A7)</w:t>
      </w:r>
      <w:bookmarkEnd w:id="43"/>
    </w:p>
    <w:p>
      <w:pPr>
        <w:pStyle w:val="FirstParagraph"/>
      </w:pPr>
      <w:r>
        <w:rPr>
          <w:b/>
        </w:rPr>
        <w:t xml:space="preserve">Die methodische Falle zuerst.</w:t>
      </w:r>
      <w:r>
        <w:t xml:space="preserve"> </w:t>
      </w:r>
      <w:r>
        <w:t xml:space="preserve">Eine Rangliste „Lücke je Hersteller" über die gesamte</w:t>
      </w:r>
      <w:r>
        <w:t xml:space="preserve"> </w:t>
      </w:r>
      <w:r>
        <w:t xml:space="preserve">Flotte misst nicht die Ehrlichkeit des Herstellers, sondern seinen Antriebsmix. Wer</w:t>
      </w:r>
      <w:r>
        <w:t xml:space="preserve"> </w:t>
      </w:r>
      <w:r>
        <w:t xml:space="preserve">viele Plug-in-Hybride verkauft, landet automatisch hinten. Die Prüfung belegt das: Die</w:t>
      </w:r>
      <w:r>
        <w:t xml:space="preserve"> </w:t>
      </w:r>
      <w:r>
        <w:t xml:space="preserve">Korrelation zwischen Plug-in-Hybrid-Anteil und Verzerrung beträgt</w:t>
      </w:r>
      <w:r>
        <w:t xml:space="preserve"> </w:t>
      </w:r>
      <w:r>
        <w:rPr>
          <w:b/>
        </w:rPr>
        <w:t xml:space="preserve">0,890</w:t>
      </w:r>
      <w:r>
        <w:t xml:space="preserve">.</w:t>
      </w:r>
    </w:p>
    <w:p>
      <w:pPr>
        <w:pStyle w:val="BodyText"/>
      </w:pPr>
      <w:r>
        <w:t xml:space="preserve">Mazda liegt über die gesamte Flotte bei 22,7 % — Mittelfeld. Auf reine Verbrenner</w:t>
      </w:r>
      <w:r>
        <w:t xml:space="preserve"> </w:t>
      </w:r>
      <w:r>
        <w:t xml:space="preserve">beschränkt bei</w:t>
      </w:r>
      <w:r>
        <w:t xml:space="preserve"> </w:t>
      </w:r>
      <w:r>
        <w:rPr>
          <w:b/>
        </w:rPr>
        <w:t xml:space="preserve">11,4 %</w:t>
      </w:r>
      <w:r>
        <w:t xml:space="preserve"> </w:t>
      </w:r>
      <w:r>
        <w:t xml:space="preserve">— Bestwert. Der Unterschied ist ausschließlich der</w:t>
      </w:r>
      <w:r>
        <w:t xml:space="preserve"> </w:t>
      </w:r>
      <w:r>
        <w:t xml:space="preserve">32,7-prozentige PHEV-Anteil. Eine unkorrigierte Rangliste bestraft genau die Hersteller,</w:t>
      </w:r>
      <w:r>
        <w:t xml:space="preserve"> </w:t>
      </w:r>
      <w:r>
        <w:t xml:space="preserve">die früh elektrifiziert haben.</w:t>
      </w:r>
    </w:p>
    <w:p>
      <w:pPr>
        <w:pStyle w:val="BodyText"/>
      </w:pPr>
      <w:r>
        <w:rPr>
          <w:b/>
        </w:rPr>
        <w:t xml:space="preserve">Zulässig ist deshalb nur der Vergleich innerhalb derselben Antriebsart.</w:t>
      </w:r>
    </w:p>
    <w:p>
      <w:pPr>
        <w:pStyle w:val="Heading4"/>
      </w:pPr>
      <w:bookmarkStart w:id="44" w:name="X79ef03f3cb7e26fcfd9f3ac3fc3af1c577a28e8"/>
      <w:r>
        <w:t xml:space="preserve">Reine Verbrenner, Deutschland, mindestens 3.000 Fahrzeuge</w:t>
      </w:r>
      <w:bookmarkEnd w:id="4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Platz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Hersteller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Fahrzeuge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WLTP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real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Lücke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Masse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Leistung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Mazda</w:t>
            </w:r>
          </w:p>
        </w:tc>
        <w:tc>
          <w:p>
            <w:pPr>
              <w:pStyle w:val="Compact"/>
              <w:jc w:val="right"/>
            </w:pPr>
            <w:r>
              <w:t xml:space="preserve">8.198</w:t>
            </w:r>
          </w:p>
        </w:tc>
        <w:tc>
          <w:p>
            <w:pPr>
              <w:pStyle w:val="Compact"/>
              <w:jc w:val="right"/>
            </w:pPr>
            <w:r>
              <w:t xml:space="preserve">6,90</w:t>
            </w:r>
          </w:p>
        </w:tc>
        <w:tc>
          <w:p>
            <w:pPr>
              <w:pStyle w:val="Compact"/>
              <w:jc w:val="right"/>
            </w:pPr>
            <w:r>
              <w:t xml:space="preserve">7,63</w:t>
            </w:r>
          </w:p>
        </w:tc>
        <w:tc>
          <w:p>
            <w:pPr>
              <w:pStyle w:val="Compact"/>
              <w:jc w:val="right"/>
            </w:pPr>
            <w:r>
              <w:t xml:space="preserve">+11,4 %</w:t>
            </w:r>
          </w:p>
        </w:tc>
        <w:tc>
          <w:p>
            <w:pPr>
              <w:pStyle w:val="Compact"/>
              <w:jc w:val="right"/>
            </w:pPr>
            <w:r>
              <w:t xml:space="preserve">1.555 kg</w:t>
            </w:r>
          </w:p>
        </w:tc>
        <w:tc>
          <w:p>
            <w:pPr>
              <w:pStyle w:val="Compact"/>
              <w:jc w:val="right"/>
            </w:pPr>
            <w:r>
              <w:t xml:space="preserve">135 kW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Porsche</w:t>
            </w:r>
          </w:p>
        </w:tc>
        <w:tc>
          <w:p>
            <w:pPr>
              <w:pStyle w:val="Compact"/>
              <w:jc w:val="right"/>
            </w:pPr>
            <w:r>
              <w:t xml:space="preserve">13.407</w:t>
            </w:r>
          </w:p>
        </w:tc>
        <w:tc>
          <w:p>
            <w:pPr>
              <w:pStyle w:val="Compact"/>
              <w:jc w:val="right"/>
            </w:pPr>
            <w:r>
              <w:t xml:space="preserve">11,00</w:t>
            </w:r>
          </w:p>
        </w:tc>
        <w:tc>
          <w:p>
            <w:pPr>
              <w:pStyle w:val="Compact"/>
              <w:jc w:val="right"/>
            </w:pPr>
            <w:r>
              <w:t xml:space="preserve">12,31</w:t>
            </w:r>
          </w:p>
        </w:tc>
        <w:tc>
          <w:p>
            <w:pPr>
              <w:pStyle w:val="Compact"/>
              <w:jc w:val="right"/>
            </w:pPr>
            <w:r>
              <w:t xml:space="preserve">+11,5 %</w:t>
            </w:r>
          </w:p>
        </w:tc>
        <w:tc>
          <w:p>
            <w:pPr>
              <w:pStyle w:val="Compact"/>
              <w:jc w:val="right"/>
            </w:pPr>
            <w:r>
              <w:t xml:space="preserve">1.870 kg</w:t>
            </w:r>
          </w:p>
        </w:tc>
        <w:tc>
          <w:p>
            <w:pPr>
              <w:pStyle w:val="Compact"/>
              <w:jc w:val="right"/>
            </w:pPr>
            <w:r>
              <w:t xml:space="preserve">294 kW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Volvo</w:t>
            </w:r>
          </w:p>
        </w:tc>
        <w:tc>
          <w:p>
            <w:pPr>
              <w:pStyle w:val="Compact"/>
              <w:jc w:val="right"/>
            </w:pPr>
            <w:r>
              <w:t xml:space="preserve">4.586</w:t>
            </w:r>
          </w:p>
        </w:tc>
        <w:tc>
          <w:p>
            <w:pPr>
              <w:pStyle w:val="Compact"/>
              <w:jc w:val="right"/>
            </w:pPr>
            <w:r>
              <w:t xml:space="preserve">7,30</w:t>
            </w:r>
          </w:p>
        </w:tc>
        <w:tc>
          <w:p>
            <w:pPr>
              <w:pStyle w:val="Compact"/>
              <w:jc w:val="right"/>
            </w:pPr>
            <w:r>
              <w:t xml:space="preserve">8,14</w:t>
            </w:r>
          </w:p>
        </w:tc>
        <w:tc>
          <w:p>
            <w:pPr>
              <w:pStyle w:val="Compact"/>
              <w:jc w:val="right"/>
            </w:pPr>
            <w:r>
              <w:t xml:space="preserve">+12,2 %</w:t>
            </w:r>
          </w:p>
        </w:tc>
        <w:tc>
          <w:p>
            <w:pPr>
              <w:pStyle w:val="Compact"/>
              <w:jc w:val="right"/>
            </w:pPr>
            <w:r>
              <w:t xml:space="preserve">1.625 kg</w:t>
            </w:r>
          </w:p>
        </w:tc>
        <w:tc>
          <w:p>
            <w:pPr>
              <w:pStyle w:val="Compact"/>
              <w:jc w:val="right"/>
            </w:pPr>
            <w:r>
              <w:t xml:space="preserve">120 kW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Volkswagen</w:t>
            </w:r>
          </w:p>
        </w:tc>
        <w:tc>
          <w:p>
            <w:pPr>
              <w:pStyle w:val="Compact"/>
              <w:jc w:val="right"/>
            </w:pPr>
            <w:r>
              <w:t xml:space="preserve">309.329</w:t>
            </w:r>
          </w:p>
        </w:tc>
        <w:tc>
          <w:p>
            <w:pPr>
              <w:pStyle w:val="Compact"/>
              <w:jc w:val="right"/>
            </w:pPr>
            <w:r>
              <w:t xml:space="preserve">6,00</w:t>
            </w:r>
          </w:p>
        </w:tc>
        <w:tc>
          <w:p>
            <w:pPr>
              <w:pStyle w:val="Compact"/>
              <w:jc w:val="right"/>
            </w:pPr>
            <w:r>
              <w:t xml:space="preserve">6,81</w:t>
            </w:r>
          </w:p>
        </w:tc>
        <w:tc>
          <w:p>
            <w:pPr>
              <w:pStyle w:val="Compact"/>
              <w:jc w:val="right"/>
            </w:pPr>
            <w:r>
              <w:t xml:space="preserve">+14,3 %</w:t>
            </w:r>
          </w:p>
        </w:tc>
        <w:tc>
          <w:p>
            <w:pPr>
              <w:pStyle w:val="Compact"/>
              <w:jc w:val="right"/>
            </w:pPr>
            <w:r>
              <w:t xml:space="preserve">1.520 kg</w:t>
            </w:r>
          </w:p>
        </w:tc>
        <w:tc>
          <w:p>
            <w:pPr>
              <w:pStyle w:val="Compact"/>
              <w:jc w:val="right"/>
            </w:pPr>
            <w:r>
              <w:t xml:space="preserve">110 kW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p>
            <w:pPr>
              <w:pStyle w:val="Compact"/>
              <w:jc w:val="left"/>
            </w:pPr>
            <w:r>
              <w:t xml:space="preserve">Dacia</w:t>
            </w:r>
          </w:p>
        </w:tc>
        <w:tc>
          <w:p>
            <w:pPr>
              <w:pStyle w:val="Compact"/>
              <w:jc w:val="right"/>
            </w:pPr>
            <w:r>
              <w:t xml:space="preserve">31.220</w:t>
            </w:r>
          </w:p>
        </w:tc>
        <w:tc>
          <w:p>
            <w:pPr>
              <w:pStyle w:val="Compact"/>
              <w:jc w:val="right"/>
            </w:pPr>
            <w:r>
              <w:t xml:space="preserve">5,60</w:t>
            </w:r>
          </w:p>
        </w:tc>
        <w:tc>
          <w:p>
            <w:pPr>
              <w:pStyle w:val="Compact"/>
              <w:jc w:val="right"/>
            </w:pPr>
            <w:r>
              <w:t xml:space="preserve">6,93</w:t>
            </w:r>
          </w:p>
        </w:tc>
        <w:tc>
          <w:p>
            <w:pPr>
              <w:pStyle w:val="Compact"/>
              <w:jc w:val="right"/>
            </w:pPr>
            <w:r>
              <w:t xml:space="preserve">+22,2 %</w:t>
            </w:r>
          </w:p>
        </w:tc>
        <w:tc>
          <w:p>
            <w:pPr>
              <w:pStyle w:val="Compact"/>
              <w:jc w:val="right"/>
            </w:pPr>
            <w:r>
              <w:t xml:space="preserve">1.181 kg</w:t>
            </w:r>
          </w:p>
        </w:tc>
        <w:tc>
          <w:p>
            <w:pPr>
              <w:pStyle w:val="Compact"/>
              <w:jc w:val="right"/>
            </w:pPr>
            <w:r>
              <w:t xml:space="preserve">67 kW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t xml:space="preserve">Renault</w:t>
            </w:r>
          </w:p>
        </w:tc>
        <w:tc>
          <w:p>
            <w:pPr>
              <w:pStyle w:val="Compact"/>
              <w:jc w:val="right"/>
            </w:pPr>
            <w:r>
              <w:t xml:space="preserve">64.237</w:t>
            </w:r>
          </w:p>
        </w:tc>
        <w:tc>
          <w:p>
            <w:pPr>
              <w:pStyle w:val="Compact"/>
              <w:jc w:val="right"/>
            </w:pPr>
            <w:r>
              <w:t xml:space="preserve">5,80</w:t>
            </w:r>
          </w:p>
        </w:tc>
        <w:tc>
          <w:p>
            <w:pPr>
              <w:pStyle w:val="Compact"/>
              <w:jc w:val="right"/>
            </w:pPr>
            <w:r>
              <w:t xml:space="preserve">7,13</w:t>
            </w:r>
          </w:p>
        </w:tc>
        <w:tc>
          <w:p>
            <w:pPr>
              <w:pStyle w:val="Compact"/>
              <w:jc w:val="right"/>
            </w:pPr>
            <w:r>
              <w:t xml:space="preserve">+22,5 %</w:t>
            </w:r>
          </w:p>
        </w:tc>
        <w:tc>
          <w:p>
            <w:pPr>
              <w:pStyle w:val="Compact"/>
              <w:jc w:val="right"/>
            </w:pPr>
            <w:r>
              <w:t xml:space="preserve">1.280 kg</w:t>
            </w:r>
          </w:p>
        </w:tc>
        <w:tc>
          <w:p>
            <w:pPr>
              <w:pStyle w:val="Compact"/>
              <w:jc w:val="right"/>
            </w:pPr>
            <w:r>
              <w:t xml:space="preserve">67 kW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BMW GmbH (M)</w:t>
            </w:r>
          </w:p>
        </w:tc>
        <w:tc>
          <w:p>
            <w:pPr>
              <w:pStyle w:val="Compact"/>
              <w:jc w:val="right"/>
            </w:pPr>
            <w:r>
              <w:t xml:space="preserve">4.866</w:t>
            </w:r>
          </w:p>
        </w:tc>
        <w:tc>
          <w:p>
            <w:pPr>
              <w:pStyle w:val="Compact"/>
              <w:jc w:val="right"/>
            </w:pPr>
            <w:r>
              <w:t xml:space="preserve">10,70</w:t>
            </w:r>
          </w:p>
        </w:tc>
        <w:tc>
          <w:p>
            <w:pPr>
              <w:pStyle w:val="Compact"/>
              <w:jc w:val="right"/>
            </w:pPr>
            <w:r>
              <w:t xml:space="preserve">13,46</w:t>
            </w:r>
          </w:p>
        </w:tc>
        <w:tc>
          <w:p>
            <w:pPr>
              <w:pStyle w:val="Compact"/>
              <w:jc w:val="right"/>
            </w:pPr>
            <w:r>
              <w:t xml:space="preserve">+24,5 %</w:t>
            </w:r>
          </w:p>
        </w:tc>
        <w:tc>
          <w:p>
            <w:pPr>
              <w:pStyle w:val="Compact"/>
              <w:jc w:val="right"/>
            </w:pPr>
            <w:r>
              <w:t xml:space="preserve">1.975 kg</w:t>
            </w:r>
          </w:p>
        </w:tc>
        <w:tc>
          <w:p>
            <w:pPr>
              <w:pStyle w:val="Compact"/>
              <w:jc w:val="right"/>
            </w:pPr>
            <w:r>
              <w:t xml:space="preserve">375 kW</w:t>
            </w:r>
          </w:p>
        </w:tc>
      </w:tr>
    </w:tbl>
    <w:p>
      <w:pPr>
        <w:pStyle w:val="BodyText"/>
      </w:pPr>
      <w:r>
        <w:t xml:space="preserve">25 Hersteller, Spannweite 13,1 Prozentpunkte, Mittel 17,0 %, Streuung 3,5 Prozentpunkte.</w:t>
      </w:r>
    </w:p>
    <w:p>
      <w:pPr>
        <w:pStyle w:val="Heading4"/>
      </w:pPr>
      <w:bookmarkStart w:id="45" w:name="der-befund-läuft-der-intuition-zuwider"/>
      <w:r>
        <w:t xml:space="preserve">Der Befund läuft der Intuition zuwider</w:t>
      </w:r>
      <w:bookmarkEnd w:id="45"/>
    </w:p>
    <w:p>
      <w:pPr>
        <w:pStyle w:val="FirstParagraph"/>
      </w:pPr>
      <w:r>
        <w:t xml:space="preserve">Porsche liegt auf Platz 2 — bei 11,0 l Laborwert und 294 kW. Dacia und Renault liegen</w:t>
      </w:r>
      <w:r>
        <w:t xml:space="preserve"> </w:t>
      </w:r>
      <w:r>
        <w:t xml:space="preserve">auf den Plätzen 22 und 23 — bei den leichtesten Fahrzeugen und den kleinsten Motoren</w:t>
      </w:r>
      <w:r>
        <w:t xml:space="preserve"> </w:t>
      </w:r>
      <w:r>
        <w:t xml:space="preserve">des Feldes.</w:t>
      </w:r>
    </w:p>
    <w:p>
      <w:pPr>
        <w:pStyle w:val="BodyText"/>
      </w:pPr>
      <w:r>
        <w:t xml:space="preserve">Die plausibelste Erklärung ist der</w:t>
      </w:r>
      <w:r>
        <w:t xml:space="preserve"> </w:t>
      </w:r>
      <w:r>
        <w:rPr>
          <w:b/>
        </w:rPr>
        <w:t xml:space="preserve">Downsizing-Effekt</w:t>
      </w:r>
      <w:r>
        <w:t xml:space="preserve">: Ein kleiner, aufgeladener</w:t>
      </w:r>
      <w:r>
        <w:t xml:space="preserve"> </w:t>
      </w:r>
      <w:r>
        <w:t xml:space="preserve">Motor arbeitet im sanften WLTP-Zyklus nahe seinem Bestpunkt und sieht dort hervorragend</w:t>
      </w:r>
      <w:r>
        <w:t xml:space="preserve"> </w:t>
      </w:r>
      <w:r>
        <w:t xml:space="preserve">aus. Im Alltag — Autobahn, Kaltstart, Zuladung — verlässt er diesen Bereich sofort. Ein</w:t>
      </w:r>
      <w:r>
        <w:t xml:space="preserve"> </w:t>
      </w:r>
      <w:r>
        <w:t xml:space="preserve">großer Motor ist im Labor nie am Limit und im Alltag ebenfalls nicht.</w:t>
      </w:r>
    </w:p>
    <w:p>
      <w:pPr>
        <w:pStyle w:val="BodyText"/>
      </w:pPr>
      <w:r>
        <w:rPr>
          <w:b/>
        </w:rPr>
        <w:t xml:space="preserve">Diese Erklärung ist plausibel, aber mit den vorliegenden Daten nicht bewiesen.</w:t>
      </w:r>
      <w:r>
        <w:t xml:space="preserve"> </w:t>
      </w:r>
      <w:r>
        <w:t xml:space="preserve">Sie</w:t>
      </w:r>
      <w:r>
        <w:t xml:space="preserve"> </w:t>
      </w:r>
      <w:r>
        <w:t xml:space="preserve">wäre über Motorkennfelder oder Fahrprofile zu prüfen, die hier nicht vorliegen. Das</w:t>
      </w:r>
      <w:r>
        <w:t xml:space="preserve"> </w:t>
      </w:r>
      <w:r>
        <w:t xml:space="preserve">gehört zur Ehrlichkeit des Befunds dazu.</w:t>
      </w:r>
    </w:p>
    <w:p>
      <w:pPr>
        <w:pStyle w:val="BodyText"/>
      </w:pPr>
      <w:r>
        <w:rPr>
          <w:b/>
        </w:rPr>
        <w:t xml:space="preserve">Zur Auslegung:</w:t>
      </w:r>
      <w:r>
        <w:t xml:space="preserve"> </w:t>
      </w:r>
      <w:r>
        <w:t xml:space="preserve">Die Lücke ist eine</w:t>
      </w:r>
      <w:r>
        <w:t xml:space="preserve"> </w:t>
      </w:r>
      <w:r>
        <w:rPr>
          <w:i/>
        </w:rPr>
        <w:t xml:space="preserve">relative</w:t>
      </w:r>
      <w:r>
        <w:t xml:space="preserve"> </w:t>
      </w:r>
      <w:r>
        <w:t xml:space="preserve">Größe. Renault verbraucht real 7,13 l,</w:t>
      </w:r>
      <w:r>
        <w:t xml:space="preserve"> </w:t>
      </w:r>
      <w:r>
        <w:t xml:space="preserve">Porsche 12,31 l. Der Renault bleibt das sparsamere Auto — er hält sein Versprechen nur</w:t>
      </w:r>
      <w:r>
        <w:t xml:space="preserve"> </w:t>
      </w:r>
      <w:r>
        <w:t xml:space="preserve">schlechter ein. Beides ist gleichzeitig richtig, und die Verwechslung wäre der</w:t>
      </w:r>
      <w:r>
        <w:t xml:space="preserve"> </w:t>
      </w:r>
      <w:r>
        <w:t xml:space="preserve">naheliegendste Fehler bei der Interpretation.</w:t>
      </w:r>
    </w:p>
    <w:p>
      <w:pPr>
        <w:pStyle w:val="Heading4"/>
      </w:pPr>
      <w:bookmarkStart w:id="46" w:name="Xcabb341eaa5fe3d21a8cf3ed6579126d9c65785"/>
      <w:r>
        <w:t xml:space="preserve">Plug-in-Hybride: die Batteriegröße erklärt es nicht</w:t>
      </w:r>
      <w:bookmarkEnd w:id="4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E-Reichweite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Hersteller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Fahrzeuge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Lücke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elektrisch gefahren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45 bis 60 km</w:t>
            </w:r>
          </w:p>
        </w:tc>
        <w:tc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p>
            <w:pPr>
              <w:pStyle w:val="Compact"/>
              <w:jc w:val="right"/>
            </w:pPr>
            <w:r>
              <w:t xml:space="preserve">56.546</w:t>
            </w:r>
          </w:p>
        </w:tc>
        <w:tc>
          <w:p>
            <w:pPr>
              <w:pStyle w:val="Compact"/>
              <w:jc w:val="right"/>
            </w:pPr>
            <w:r>
              <w:t xml:space="preserve">+274,6 %</w:t>
            </w:r>
          </w:p>
        </w:tc>
        <w:tc>
          <w:p>
            <w:pPr>
              <w:pStyle w:val="Compact"/>
              <w:jc w:val="right"/>
            </w:pPr>
            <w:r>
              <w:t xml:space="preserve">26,8 %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über 60 km</w:t>
            </w:r>
          </w:p>
        </w:tc>
        <w:tc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p>
            <w:pPr>
              <w:pStyle w:val="Compact"/>
              <w:jc w:val="right"/>
            </w:pPr>
            <w:r>
              <w:t xml:space="preserve">164.390</w:t>
            </w:r>
          </w:p>
        </w:tc>
        <w:tc>
          <w:p>
            <w:pPr>
              <w:pStyle w:val="Compact"/>
              <w:jc w:val="right"/>
            </w:pPr>
            <w:r>
              <w:t xml:space="preserve">+316,6 %</w:t>
            </w:r>
          </w:p>
        </w:tc>
        <w:tc>
          <w:p>
            <w:pPr>
              <w:pStyle w:val="Compact"/>
              <w:jc w:val="right"/>
            </w:pPr>
            <w:r>
              <w:t xml:space="preserve">29,5 %</w:t>
            </w:r>
          </w:p>
        </w:tc>
      </w:tr>
    </w:tbl>
    <w:p>
      <w:pPr>
        <w:pStyle w:val="BodyText"/>
      </w:pPr>
      <w:r>
        <w:t xml:space="preserve">Die naheliegende Vermutung wäre: größere Batterie → mehr elektrische Fahrt → kleinere</w:t>
      </w:r>
      <w:r>
        <w:t xml:space="preserve"> </w:t>
      </w:r>
      <w:r>
        <w:t xml:space="preserve">Lücke. Die Daten sagen das Gegenteil. Der elektrische Fahranteil steigt mit der</w:t>
      </w:r>
      <w:r>
        <w:t xml:space="preserve"> </w:t>
      </w:r>
      <w:r>
        <w:t xml:space="preserve">Reichweite kaum (26,8 → 29,5 %), die Lücke dagegen deutlich (274,6 → 316,6 %).</w:t>
      </w:r>
    </w:p>
    <w:p>
      <w:pPr>
        <w:pStyle w:val="BodyText"/>
      </w:pPr>
      <w:r>
        <w:t xml:space="preserve">Der Extremfall ist Jaguar Land Rover:</w:t>
      </w:r>
      <w:r>
        <w:t xml:space="preserve"> </w:t>
      </w:r>
      <w:r>
        <w:rPr>
          <w:b/>
        </w:rPr>
        <w:t xml:space="preserve">110 km elektrische Reichweite, aber nur 17,4 %</w:t>
      </w:r>
      <w:r>
        <w:rPr>
          <w:b/>
        </w:rPr>
        <w:t xml:space="preserve"> </w:t>
      </w:r>
      <w:r>
        <w:rPr>
          <w:b/>
        </w:rPr>
        <w:t xml:space="preserve">elektrisch gefahren</w:t>
      </w:r>
      <w:r>
        <w:t xml:space="preserve"> </w:t>
      </w:r>
      <w:r>
        <w:t xml:space="preserve">— die mit Abstand größte Batterie im Feld und der schlechteste</w:t>
      </w:r>
      <w:r>
        <w:t xml:space="preserve"> </w:t>
      </w:r>
      <w:r>
        <w:t xml:space="preserve">Ladeanteil.</w:t>
      </w:r>
    </w:p>
    <w:p>
      <w:pPr>
        <w:pStyle w:val="BlockText"/>
      </w:pPr>
      <w:r>
        <w:t xml:space="preserve">Eine größere Batterie verbessert den Laborwert, aber nicht das Verhalten. Sie</w:t>
      </w:r>
      <w:r>
        <w:t xml:space="preserve"> </w:t>
      </w:r>
      <w:r>
        <w:t xml:space="preserve">vergrößert die Lücke, statt sie zu schließen.</w:t>
      </w:r>
    </w:p>
    <w:p>
      <w:pPr>
        <w:pStyle w:val="FirstParagraph"/>
      </w:pPr>
      <w:r>
        <w:t xml:space="preserve">Das ist die konsequenteste Bestätigung des Utility-Factor-Befunds aus Abschnitt 9.2.</w:t>
      </w:r>
    </w:p>
    <w:p>
      <w:pPr>
        <w:pStyle w:val="Heading3"/>
      </w:pPr>
      <w:bookmarkStart w:id="47" w:name="h4-gewichtsspirale-bestätigt"/>
      <w:r>
        <w:t xml:space="preserve">9.5 H4 — Gewichtsspirale (bestätigt)</w:t>
      </w:r>
      <w:bookmarkEnd w:id="47"/>
    </w:p>
    <w:p>
      <w:pPr>
        <w:pStyle w:val="FirstParagraph"/>
      </w:pPr>
      <w:r>
        <w:t xml:space="preserve">Deutschland, Faktentabelle, rollierendes Dreijahresmittel: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Jahr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Zulassungen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⌀ Masse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Δ zum Start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⌀ CO₂ WLTP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p>
            <w:pPr>
              <w:pStyle w:val="Compact"/>
              <w:jc w:val="right"/>
            </w:pPr>
            <w:r>
              <w:t xml:space="preserve">2.530.022</w:t>
            </w:r>
          </w:p>
        </w:tc>
        <w:tc>
          <w:p>
            <w:pPr>
              <w:pStyle w:val="Compact"/>
              <w:jc w:val="right"/>
            </w:pPr>
            <w:r>
              <w:t xml:space="preserve">1.577,1 kg</w:t>
            </w:r>
          </w:p>
        </w:tc>
        <w:tc>
          <w:p>
            <w:pPr>
              <w:pStyle w:val="Compact"/>
              <w:jc w:val="right"/>
            </w:pPr>
            <w:r>
              <w:t xml:space="preserve">0,0</w:t>
            </w:r>
          </w:p>
        </w:tc>
        <w:tc>
          <w:p>
            <w:pPr>
              <w:pStyle w:val="Compact"/>
              <w:jc w:val="right"/>
            </w:pPr>
            <w:r>
              <w:t xml:space="preserve">113,7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p>
            <w:pPr>
              <w:pStyle w:val="Compact"/>
              <w:jc w:val="right"/>
            </w:pPr>
            <w:r>
              <w:t xml:space="preserve">2.765.099</w:t>
            </w:r>
          </w:p>
        </w:tc>
        <w:tc>
          <w:p>
            <w:pPr>
              <w:pStyle w:val="Compact"/>
              <w:jc w:val="right"/>
            </w:pPr>
            <w:r>
              <w:t xml:space="preserve">1.631,7 kg</w:t>
            </w:r>
          </w:p>
        </w:tc>
        <w:tc>
          <w:p>
            <w:pPr>
              <w:pStyle w:val="Compact"/>
              <w:jc w:val="right"/>
            </w:pPr>
            <w:r>
              <w:t xml:space="preserve">+54,6</w:t>
            </w:r>
          </w:p>
        </w:tc>
        <w:tc>
          <w:p>
            <w:pPr>
              <w:pStyle w:val="Compact"/>
              <w:jc w:val="right"/>
            </w:pPr>
            <w:r>
              <w:t xml:space="preserve">113,1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p>
            <w:pPr>
              <w:pStyle w:val="Compact"/>
              <w:jc w:val="right"/>
            </w:pPr>
            <w:r>
              <w:t xml:space="preserve">2.772.126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1.701,0 kg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+123,9</w:t>
            </w:r>
          </w:p>
        </w:tc>
        <w:tc>
          <w:p>
            <w:pPr>
              <w:pStyle w:val="Compact"/>
              <w:jc w:val="right"/>
            </w:pPr>
            <w:r>
              <w:t xml:space="preserve">102,6</w:t>
            </w:r>
          </w:p>
        </w:tc>
      </w:tr>
    </w:tbl>
    <w:p>
      <w:pPr>
        <w:pStyle w:val="BodyText"/>
      </w:pPr>
      <w:r>
        <w:t xml:space="preserve">Das durchschnittliche Neufahrzeug ist in fünf Jahren um 124 kg schwerer geworden. Der</w:t>
      </w:r>
      <w:r>
        <w:t xml:space="preserve"> </w:t>
      </w:r>
      <w:r>
        <w:t xml:space="preserve">zertifizierte CO₂-Wert sank gleichzeitig um 11,1 g/km — überwiegend durch den steigenden</w:t>
      </w:r>
      <w:r>
        <w:t xml:space="preserve"> </w:t>
      </w:r>
      <w:r>
        <w:t xml:space="preserve">BEV-Anteil, der mit 0 g/km angerechnet wird.</w:t>
      </w:r>
    </w:p>
    <w:p>
      <w:pPr>
        <w:pStyle w:val="Heading3"/>
      </w:pPr>
      <w:bookmarkStart w:id="48" w:name="h5-pooling-und-zielerreichung"/>
      <w:r>
        <w:t xml:space="preserve">9.6 H5 — Pooling und Zielerreichung</w:t>
      </w:r>
      <w:bookmarkEnd w:id="4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Jahr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Abrechnungseinheiten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Ziel erreicht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verfehlt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nur dank Öko-Gutschrift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16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24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Der Umschwung in 2025 ist deutlich: Erstmals verfehlt die Mehrheit der Einheiten das Ziel.</w:t>
      </w:r>
    </w:p>
    <w:p>
      <w:pPr>
        <w:pStyle w:val="BodyText"/>
      </w:pPr>
      <w:r>
        <w:t xml:space="preserve">Der Tesla-Pool umfasst 2025</w:t>
      </w:r>
      <w:r>
        <w:t xml:space="preserve"> </w:t>
      </w:r>
      <w:r>
        <w:rPr>
          <w:b/>
        </w:rPr>
        <w:t xml:space="preserve">1.711.929 Zulassungen (15,80 %)</w:t>
      </w:r>
      <w:r>
        <w:t xml:space="preserve"> </w:t>
      </w:r>
      <w:r>
        <w:t xml:space="preserve">— ein Vielfaches dessen, was</w:t>
      </w:r>
      <w:r>
        <w:t xml:space="preserve"> </w:t>
      </w:r>
      <w:r>
        <w:t xml:space="preserve">Tesla selbst verkauft. Pooling ist damit kein Randphänomen, sondern ein wesentlicher</w:t>
      </w:r>
      <w:r>
        <w:t xml:space="preserve"> </w:t>
      </w:r>
      <w:r>
        <w:t xml:space="preserve">Mechanismus der Zielerreichung.</w:t>
      </w:r>
    </w:p>
    <w:p>
      <w:pPr>
        <w:pStyle w:val="Heading3"/>
      </w:pPr>
      <w:bookmarkStart w:id="49" w:name="modellgüte-knime"/>
      <w:r>
        <w:t xml:space="preserve">9.7 Modellgüte (KNIME)</w:t>
      </w:r>
      <w:bookmarkEnd w:id="49"/>
    </w:p>
    <w:p>
      <w:pPr>
        <w:pStyle w:val="FirstParagraph"/>
      </w:pPr>
      <w:r>
        <w:t xml:space="preserve">Lineare Regression, 70/30-Aufteilung, Seed 1234, Zielgröße</w:t>
      </w:r>
      <w:r>
        <w:t xml:space="preserve"> </w:t>
      </w:r>
      <w:r>
        <w:rPr>
          <w:rStyle w:val="VerbatimChar"/>
        </w:rPr>
        <w:t xml:space="preserve">gap_pct</w:t>
      </w:r>
      <w:r>
        <w:t xml:space="preserve">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Modell 1 — alle Antriebe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Modell 2 — nur PHEV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R²</w:t>
            </w:r>
          </w:p>
        </w:tc>
        <w:tc>
          <w:p>
            <w:pPr>
              <w:pStyle w:val="Compact"/>
              <w:jc w:val="right"/>
            </w:pPr>
            <w:r>
              <w:t xml:space="preserve">0,736</w:t>
            </w:r>
          </w:p>
        </w:tc>
        <w:tc>
          <w:p>
            <w:pPr>
              <w:pStyle w:val="Compact"/>
              <w:jc w:val="right"/>
            </w:pPr>
            <w:r>
              <w:t xml:space="preserve">0,581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adjustiertes R²</w:t>
            </w:r>
          </w:p>
        </w:tc>
        <w:tc>
          <w:p>
            <w:pPr>
              <w:pStyle w:val="Compact"/>
              <w:jc w:val="right"/>
            </w:pPr>
            <w:r>
              <w:t xml:space="preserve">0,736</w:t>
            </w:r>
          </w:p>
        </w:tc>
        <w:tc>
          <w:p>
            <w:pPr>
              <w:pStyle w:val="Compact"/>
              <w:jc w:val="right"/>
            </w:pPr>
            <w:r>
              <w:t xml:space="preserve">0,581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MAE</w:t>
            </w:r>
          </w:p>
        </w:tc>
        <w:tc>
          <w:p>
            <w:pPr>
              <w:pStyle w:val="Compact"/>
              <w:jc w:val="right"/>
            </w:pPr>
            <w:r>
              <w:t xml:space="preserve">27,8 PP</w:t>
            </w:r>
          </w:p>
        </w:tc>
        <w:tc>
          <w:p>
            <w:pPr>
              <w:pStyle w:val="Compact"/>
              <w:jc w:val="right"/>
            </w:pPr>
            <w:r>
              <w:t xml:space="preserve">103,8 PP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RMSE</w:t>
            </w:r>
          </w:p>
        </w:tc>
        <w:tc>
          <w:p>
            <w:pPr>
              <w:pStyle w:val="Compact"/>
              <w:jc w:val="right"/>
            </w:pPr>
            <w:r>
              <w:t xml:space="preserve">58,3 PP</w:t>
            </w:r>
          </w:p>
        </w:tc>
        <w:tc>
          <w:p>
            <w:pPr>
              <w:pStyle w:val="Compact"/>
              <w:jc w:val="right"/>
            </w:pPr>
            <w:r>
              <w:t xml:space="preserve">147,3 PP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mittlere vorzeichenbehaftete Abweichung</w:t>
            </w:r>
          </w:p>
        </w:tc>
        <w:tc>
          <w:p>
            <w:pPr>
              <w:pStyle w:val="Compact"/>
              <w:jc w:val="right"/>
            </w:pPr>
            <w:r>
              <w:t xml:space="preserve">−0,128</w:t>
            </w:r>
          </w:p>
        </w:tc>
        <w:tc>
          <w:p>
            <w:pPr>
              <w:pStyle w:val="Compact"/>
              <w:jc w:val="right"/>
            </w:pPr>
            <w:r>
              <w:t xml:space="preserve">+0,954</w:t>
            </w:r>
          </w:p>
        </w:tc>
      </w:tr>
    </w:tbl>
    <w:p>
      <w:pPr>
        <w:pStyle w:val="BodyText"/>
      </w:pPr>
      <w:r>
        <w:rPr>
          <w:b/>
        </w:rPr>
        <w:t xml:space="preserve">Modell 1 ist der weniger interessante Fall.</w:t>
      </w:r>
      <w:r>
        <w:t xml:space="preserve"> </w:t>
      </w:r>
      <w:r>
        <w:t xml:space="preserve">R² = 0,736 über alle Antriebe sagt vor allem:</w:t>
      </w:r>
      <w:r>
        <w:t xml:space="preserve"> </w:t>
      </w:r>
      <w:r>
        <w:t xml:space="preserve">Die Antriebsklasse allein erklärt die Lücke fast. Das war absehbar.</w:t>
      </w:r>
    </w:p>
    <w:p>
      <w:pPr>
        <w:pStyle w:val="BodyText"/>
      </w:pPr>
      <w:r>
        <w:rPr>
          <w:b/>
        </w:rPr>
        <w:t xml:space="preserve">Modell 2 ist die Aussage.</w:t>
      </w:r>
      <w:r>
        <w:t xml:space="preserve"> </w:t>
      </w:r>
      <w:r>
        <w:t xml:space="preserve">Innerhalb der Plug-in-Hybride — kontrolliert für Masse,</w:t>
      </w:r>
      <w:r>
        <w:t xml:space="preserve"> </w:t>
      </w:r>
      <w:r>
        <w:t xml:space="preserve">Leistung, Hubraum, elektrische Reichweite, geladenen Netzstrom und elektrischen Fahranteil —</w:t>
      </w:r>
      <w:r>
        <w:t xml:space="preserve"> </w:t>
      </w:r>
      <w:r>
        <w:t xml:space="preserve">bleiben</w:t>
      </w:r>
      <w:r>
        <w:t xml:space="preserve"> </w:t>
      </w:r>
      <w:r>
        <w:rPr>
          <w:b/>
        </w:rPr>
        <w:t xml:space="preserve">42 % der Streuung unerklärt</w:t>
      </w:r>
      <w:r>
        <w:t xml:space="preserve">:</w:t>
      </w:r>
    </w:p>
    <w:p>
      <w:pPr>
        <w:pStyle w:val="BlockText"/>
      </w:pPr>
      <w:r>
        <w:t xml:space="preserve">Die PHEV-Lücke ist zu einem erheblichen Teil</w:t>
      </w:r>
      <w:r>
        <w:t xml:space="preserve"> </w:t>
      </w:r>
      <w:r>
        <w:rPr>
          <w:b/>
        </w:rPr>
        <w:t xml:space="preserve">keine Fahrzeugeigenschaft</w:t>
      </w:r>
      <w:r>
        <w:t xml:space="preserve">. Was das Modell</w:t>
      </w:r>
      <w:r>
        <w:t xml:space="preserve"> </w:t>
      </w:r>
      <w:r>
        <w:t xml:space="preserve">nicht sieht, ist das Ladeverhalten der Halterin oder des Halters — und diese Größe steht in</w:t>
      </w:r>
      <w:r>
        <w:t xml:space="preserve"> </w:t>
      </w:r>
      <w:r>
        <w:t xml:space="preserve">keiner Zulassungsdatenbank.</w:t>
      </w:r>
    </w:p>
    <w:p>
      <w:pPr>
        <w:pStyle w:val="FirstParagraph"/>
      </w:pPr>
      <w:r>
        <w:t xml:space="preserve">Die mittlere vorzeichenbehaftete Abweichung liegt in beiden Modellen nahe null. Der Fehler</w:t>
      </w:r>
      <w:r>
        <w:t xml:space="preserve"> </w:t>
      </w:r>
      <w:r>
        <w:t xml:space="preserve">ist Streuung, keine Verzerrung.</w:t>
      </w:r>
    </w:p>
    <w:p>
      <w:pPr>
        <w:pStyle w:val="BodyText"/>
      </w:pPr>
      <w:r>
        <w:rPr>
          <w:b/>
        </w:rPr>
        <w:t xml:space="preserve">MAPE ist in Modell 1 nicht berechenbar</w:t>
      </w:r>
      <w:r>
        <w:t xml:space="preserve"> </w:t>
      </w:r>
      <w:r>
        <w:t xml:space="preserve">(</w:t>
      </w:r>
      <w:r>
        <w:rPr>
          <w:rStyle w:val="VerbatimChar"/>
        </w:rPr>
        <w:t xml:space="preserve">NaN</w:t>
      </w:r>
      <w:r>
        <w:t xml:space="preserve">), weil einzelne Testzeilen eine Lücke von</w:t>
      </w:r>
      <w:r>
        <w:t xml:space="preserve"> </w:t>
      </w:r>
      <w:r>
        <w:t xml:space="preserve">exakt 0 % haben und die Kennzahl durch den Istwert teilt. Keine Fehlfunktion, sondern eine</w:t>
      </w:r>
      <w:r>
        <w:t xml:space="preserve"> </w:t>
      </w:r>
      <w:r>
        <w:t xml:space="preserve">Eigenschaft der Kennzahl.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verifikation-gegen-die-quelle"/>
      <w:r>
        <w:t xml:space="preserve">10 · Verifikation gegen die Quelle</w:t>
      </w:r>
      <w:bookmarkEnd w:id="50"/>
    </w:p>
    <w:p>
      <w:pPr>
        <w:pStyle w:val="FirstParagraph"/>
      </w:pPr>
      <w:r>
        <w:t xml:space="preserve">Zwei Annahmen wurden gegen die EEA-Aggregatdatei geprüft — eine hat sich als falsch erwiesen: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Annahme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Ergebnis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Beleg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Kraftstofffaktor Benzin 2330 g/l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widerlegt → 2278</w:t>
            </w:r>
          </w:p>
        </w:tc>
        <w:tc>
          <w:p>
            <w:pPr>
              <w:pStyle w:val="Compact"/>
              <w:jc w:val="left"/>
            </w:pPr>
            <w:r>
              <w:t xml:space="preserve">EEA rechnet über 94 Fahrzeuggruppen mit 2278, identisch für OBFCM und WLTP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Kraftstofffaktor Diesel 2640 g/l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korrigiert → 2631</w:t>
            </w:r>
          </w:p>
        </w:tc>
        <w:tc>
          <w:p>
            <w:pPr>
              <w:pStyle w:val="Compact"/>
              <w:jc w:val="left"/>
            </w:pPr>
            <w:r>
              <w:t xml:space="preserve">57 Gruppen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Strommix 300–450 g/kWh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bestätigt</w:t>
            </w:r>
          </w:p>
        </w:tc>
        <w:tc>
          <w:p>
            <w:pPr>
              <w:pStyle w:val="Compact"/>
              <w:jc w:val="left"/>
            </w:pPr>
            <w:r>
              <w:t xml:space="preserve">371,8 → 321,9 g/kWh, erneuerbar 41,6 → 58,3 %</w:t>
            </w:r>
          </w:p>
        </w:tc>
      </w:tr>
    </w:tbl>
    <w:p>
      <w:pPr>
        <w:pStyle w:val="BodyText"/>
      </w:pPr>
      <w:r>
        <w:t xml:space="preserve">Der Faktor wird aus</w:t>
      </w:r>
      <w:r>
        <w:t xml:space="preserve"> </w:t>
      </w:r>
      <w:r>
        <w:rPr>
          <w:rStyle w:val="VerbatimChar"/>
        </w:rPr>
        <w:t xml:space="preserve">obfcm_co2 / obfcm_fc × 100</w:t>
      </w:r>
      <w:r>
        <w:t xml:space="preserve"> </w:t>
      </w:r>
      <w:r>
        <w:t xml:space="preserve">zurückgerechnet — die EEA veröffentlicht</w:t>
      </w:r>
      <w:r>
        <w:t xml:space="preserve"> </w:t>
      </w:r>
      <w:r>
        <w:t xml:space="preserve">beide Größen nebeneinander. Übernommen wurden die EEA-Werte, weil unsere Verbrauchszahlen aus</w:t>
      </w:r>
      <w:r>
        <w:t xml:space="preserve"> </w:t>
      </w:r>
      <w:r>
        <w:t xml:space="preserve">derselben Quelle stammen; eine fremde Literaturkonstante darauf zu rechnen hätte einen Bruch</w:t>
      </w:r>
      <w:r>
        <w:t xml:space="preserve"> </w:t>
      </w:r>
      <w:r>
        <w:t xml:space="preserve">in der Systemgrenze erzeugt.</w:t>
      </w:r>
    </w:p>
    <w:p>
      <w:pPr>
        <w:pStyle w:val="BodyText"/>
      </w:pPr>
      <w:r>
        <w:rPr>
          <w:b/>
        </w:rPr>
        <w:t xml:space="preserve">Zeilenkontrolle core gegen star: Differenz 0</w:t>
      </w:r>
      <w:r>
        <w:t xml:space="preserve"> </w:t>
      </w:r>
      <w:r>
        <w:t xml:space="preserve">bei 37.092.376 Zeilen.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fehler-und-was-sie-gelehrt-haben"/>
      <w:r>
        <w:t xml:space="preserve">11 · Fehler und was sie gelehrt haben</w:t>
      </w:r>
      <w:bookmarkEnd w:id="51"/>
    </w:p>
    <w:p>
      <w:pPr>
        <w:pStyle w:val="FirstParagraph"/>
      </w:pPr>
      <w:r>
        <w:t xml:space="preserve">Vollständiges Protokoll:</w:t>
      </w:r>
      <w:r>
        <w:t xml:space="preserve"> </w:t>
      </w:r>
      <w:r>
        <w:rPr>
          <w:rStyle w:val="VerbatimChar"/>
        </w:rPr>
        <w:t xml:space="preserve">00_doku/07_Fehlerprotokoll.md</w:t>
      </w:r>
      <w:r>
        <w:t xml:space="preserve"> </w:t>
      </w:r>
      <w:r>
        <w:t xml:space="preserve">— 17 Fehler, davon</w:t>
      </w:r>
      <w:r>
        <w:t xml:space="preserve"> </w:t>
      </w:r>
      <w:r>
        <w:rPr>
          <w:b/>
        </w:rPr>
        <w:t xml:space="preserve">sechs stumme</w:t>
      </w:r>
      <w:r>
        <w:t xml:space="preserve">.</w:t>
      </w:r>
    </w:p>
    <w:p>
      <w:pPr>
        <w:pStyle w:val="BodyText"/>
      </w:pPr>
      <w:r>
        <w:t xml:space="preserve">Stumme Fehler brechen kein Programm ab. Sie liefern falsche oder leere Ergebnisse, während</w:t>
      </w:r>
      <w:r>
        <w:t xml:space="preserve"> </w:t>
      </w:r>
      <w:r>
        <w:t xml:space="preserve">jeder Schritt „ok" meldet. Vier von ihnen liefen durch eine Kette, die an keiner Stelle rot</w:t>
      </w:r>
      <w:r>
        <w:t xml:space="preserve"> </w:t>
      </w:r>
      <w:r>
        <w:t xml:space="preserve">wurde. Die drei folgenreichsten:</w:t>
      </w:r>
    </w:p>
    <w:p>
      <w:pPr>
        <w:pStyle w:val="BodyText"/>
      </w:pPr>
      <w:r>
        <w:rPr>
          <w:b/>
        </w:rPr>
        <w:t xml:space="preserve">Die SMARD-Datei wurde nie geladen.</w:t>
      </w:r>
      <w:r>
        <w:t xml:space="preserve"> </w:t>
      </w:r>
      <w:r>
        <w:t xml:space="preserve">Downloader und Auswertung existierten, der Ladeschritt</w:t>
      </w:r>
      <w:r>
        <w:t xml:space="preserve"> </w:t>
      </w:r>
      <w:r>
        <w:t xml:space="preserve">dazwischen fehlte. Die Auswertung rechnete auf einer leeren Tabelle weiter und lieferte einen</w:t>
      </w:r>
      <w:r>
        <w:t xml:space="preserve"> </w:t>
      </w:r>
      <w:r>
        <w:t xml:space="preserve">Well-to-Wheel-Vergleich aus lauter Leerwerten. Alle vier Kettenschritte meldeten Erfolg.</w:t>
      </w:r>
      <w:r>
        <w:t xml:space="preserve"> </w:t>
      </w:r>
      <w:r>
        <w:t xml:space="preserve">→</w:t>
      </w:r>
      <w:r>
        <w:t xml:space="preserve"> </w:t>
      </w:r>
      <w:r>
        <w:rPr>
          <w:i/>
        </w:rPr>
        <w:t xml:space="preserve">Konsequenz:</w:t>
      </w:r>
      <w:r>
        <w:t xml:space="preserve"> </w:t>
      </w:r>
      <w:r>
        <w:t xml:space="preserve">Ein leerer Eingang ist jetzt ein Abbruch, kein Ergebnis.</w:t>
      </w:r>
    </w:p>
    <w:p>
      <w:pPr>
        <w:pStyle w:val="BodyText"/>
      </w:pPr>
      <w:r>
        <w:rPr>
          <w:rStyle w:val="VerbatimChar"/>
          <w:b/>
        </w:rPr>
        <w:t xml:space="preserve">min(ft)</w:t>
      </w:r>
      <w:r>
        <w:rPr>
          <w:b/>
        </w:rPr>
        <w:t xml:space="preserve"> </w:t>
      </w:r>
      <w:r>
        <w:rPr>
          <w:b/>
        </w:rPr>
        <w:t xml:space="preserve">wählt alphabetisch.</w:t>
      </w:r>
      <w:r>
        <w:t xml:space="preserve"> </w:t>
      </w:r>
      <w:r>
        <w:t xml:space="preserve">Der Kraftstofffaktor wurde je Antriebsklasse über</w:t>
      </w:r>
      <w:r>
        <w:t xml:space="preserve"> </w:t>
      </w:r>
      <w:r>
        <w:rPr>
          <w:rStyle w:val="VerbatimChar"/>
        </w:rPr>
        <w:t xml:space="preserve">min()</w:t>
      </w:r>
      <w:r>
        <w:t xml:space="preserve"> </w:t>
      </w:r>
      <w:r>
        <w:t xml:space="preserve">gezogen. In der PHEV-Klasse liefert das</w:t>
      </w:r>
      <w:r>
        <w:t xml:space="preserve"> </w:t>
      </w:r>
      <w:r>
        <w:rPr>
          <w:rStyle w:val="VerbatimChar"/>
        </w:rPr>
        <w:t xml:space="preserve">diesel/electric</w:t>
      </w:r>
      <w:r>
        <w:t xml:space="preserve">, weshalb die gesamte Flotte mit dem</w:t>
      </w:r>
      <w:r>
        <w:t xml:space="preserve"> </w:t>
      </w:r>
      <w:r>
        <w:t xml:space="preserve">Dieselfaktor bepreist wurde. Aufgefallen ist es nur, weil dieselbe Flotte in zwei Ausgaben</w:t>
      </w:r>
      <w:r>
        <w:t xml:space="preserve"> </w:t>
      </w:r>
      <w:r>
        <w:t xml:space="preserve">mit unterschiedlichen Werten erschien (157,7 gegen 139,6 g/km).</w:t>
      </w:r>
      <w:r>
        <w:t xml:space="preserve"> </w:t>
      </w:r>
      <w:r>
        <w:t xml:space="preserve">→</w:t>
      </w:r>
      <w:r>
        <w:t xml:space="preserve"> </w:t>
      </w:r>
      <w:r>
        <w:rPr>
          <w:i/>
        </w:rPr>
        <w:t xml:space="preserve">Konsequenz:</w:t>
      </w:r>
      <w:r>
        <w:t xml:space="preserve"> </w:t>
      </w:r>
      <w:r>
        <w:t xml:space="preserve">Zwei Zahlen für denselben Sachverhalt sind immer ein Fehler.</w:t>
      </w:r>
    </w:p>
    <w:p>
      <w:pPr>
        <w:pStyle w:val="BodyText"/>
      </w:pPr>
      <w:r>
        <w:rPr>
          <w:b/>
        </w:rPr>
        <w:t xml:space="preserve">Die Spaltenreihenfolge der SMARD-CSV weicht von der Tabellendefinition ab.</w:t>
      </w:r>
      <w:r>
        <w:t xml:space="preserve"> </w:t>
      </w:r>
      <w:r>
        <w:rPr>
          <w:rStyle w:val="VerbatimChar"/>
        </w:rPr>
        <w:t xml:space="preserve">wind_offshore</w:t>
      </w:r>
      <w:r>
        <w:t xml:space="preserve"> </w:t>
      </w:r>
      <w:r>
        <w:t xml:space="preserve">steht vor</w:t>
      </w:r>
      <w:r>
        <w:t xml:space="preserve"> </w:t>
      </w:r>
      <w:r>
        <w:rPr>
          <w:rStyle w:val="VerbatimChar"/>
        </w:rPr>
        <w:t xml:space="preserve">wasserkraft</w:t>
      </w:r>
      <w:r>
        <w:t xml:space="preserve">. Ein positionelles</w:t>
      </w:r>
      <w:r>
        <w:t xml:space="preserve"> </w:t>
      </w:r>
      <w:r>
        <w:rPr>
          <w:rStyle w:val="VerbatimChar"/>
        </w:rPr>
        <w:t xml:space="preserve">\copy</w:t>
      </w:r>
      <w:r>
        <w:t xml:space="preserve"> </w:t>
      </w:r>
      <w:r>
        <w:t xml:space="preserve">hätte Windstrom als Wasserkraft verbucht —</w:t>
      </w:r>
      <w:r>
        <w:t xml:space="preserve"> </w:t>
      </w:r>
      <w:r>
        <w:t xml:space="preserve">und das wäre nie aufgefallen, weil beide den Emissionsfaktor 0 g/kWh tragen.</w:t>
      </w:r>
      <w:r>
        <w:t xml:space="preserve"> </w:t>
      </w:r>
      <w:r>
        <w:t xml:space="preserve">→</w:t>
      </w:r>
      <w:r>
        <w:t xml:space="preserve"> </w:t>
      </w:r>
      <w:r>
        <w:rPr>
          <w:i/>
        </w:rPr>
        <w:t xml:space="preserve">Konsequenz:</w:t>
      </w:r>
      <w:r>
        <w:t xml:space="preserve"> </w:t>
      </w:r>
      <w:r>
        <w:t xml:space="preserve">Die Spaltenliste wird aus der Kopfzeile gelesen, nicht angenommen.</w:t>
      </w:r>
    </w:p>
    <w:p>
      <w:pPr>
        <w:pStyle w:val="BodyText"/>
      </w:pPr>
      <w:r>
        <w:rPr>
          <w:b/>
        </w:rPr>
        <w:t xml:space="preserve">Was ich mitnehme:</w:t>
      </w:r>
      <w:r>
        <w:t xml:space="preserve"> </w:t>
      </w:r>
      <w:r>
        <w:t xml:space="preserve">Ein Schritt, der „ok" meldet, hat nichts bewiesen. Annahmen gehören in</w:t>
      </w:r>
      <w:r>
        <w:t xml:space="preserve"> </w:t>
      </w:r>
      <w:r>
        <w:t xml:space="preserve">Parametertabellen mit einer Spalte</w:t>
      </w:r>
      <w:r>
        <w:t xml:space="preserve"> </w:t>
      </w:r>
      <w:r>
        <w:rPr>
          <w:rStyle w:val="VerbatimChar"/>
        </w:rPr>
        <w:t xml:space="preserve">geprueft</w:t>
      </w:r>
      <w:r>
        <w:t xml:space="preserve">, nicht als Konstanten ins SQL — und die Prüfung</w:t>
      </w:r>
      <w:r>
        <w:t xml:space="preserve"> </w:t>
      </w:r>
      <w:r>
        <w:t xml:space="preserve">hat zwei meiner Werte tatsächlich korrigiert.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was-offen-bleibt"/>
      <w:r>
        <w:t xml:space="preserve">12 · Was offen bleibt</w:t>
      </w:r>
      <w:bookmarkEnd w:id="52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Emissionsfaktoren der Kraftwerke</w:t>
      </w:r>
      <w:r>
        <w:t xml:space="preserve"> </w:t>
      </w:r>
      <w:r>
        <w:t xml:space="preserve">sind Größenordnungen, keine zitierten Werte</w:t>
      </w:r>
      <w:r>
        <w:t xml:space="preserve"> </w:t>
      </w:r>
      <w:r>
        <w:t xml:space="preserve">(</w:t>
      </w:r>
      <w:r>
        <w:rPr>
          <w:rStyle w:val="VerbatimChar"/>
        </w:rPr>
        <w:t xml:space="preserve">core.emissionsfaktor.geprueft = false</w:t>
      </w:r>
      <w:r>
        <w:t xml:space="preserve">). Sie liegen als Parametertabelle vor; ein</w:t>
      </w:r>
      <w:r>
        <w:t xml:space="preserve"> </w:t>
      </w:r>
      <w:r>
        <w:t xml:space="preserve">Austausch gegen die UBA-Emissionsbilanz rechnet die Kennzahl neu, ohne eine Abfrage</w:t>
      </w:r>
      <w:r>
        <w:t xml:space="preserve"> </w:t>
      </w:r>
      <w:r>
        <w:t xml:space="preserve">anzufassen.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Biomasse steht bilanziell auf 0 g/kWh.</w:t>
      </w:r>
      <w:r>
        <w:t xml:space="preserve"> </w:t>
      </w:r>
      <w:r>
        <w:t xml:space="preserve">Konsistent mit der Systemgrenze „nur</w:t>
      </w:r>
      <w:r>
        <w:t xml:space="preserve"> </w:t>
      </w:r>
      <w:r>
        <w:t xml:space="preserve">Verbrennung am Ort", die auch für den Auspuffwert gilt — aber eine Wahl.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Keine Vorkette auf beiden Seiten.</w:t>
      </w:r>
      <w:r>
        <w:t xml:space="preserve"> </w:t>
      </w:r>
      <w:r>
        <w:t xml:space="preserve">Weder Raffinerie noch Kraftwerksbau. Für den</w:t>
      </w:r>
      <w:r>
        <w:t xml:space="preserve"> </w:t>
      </w:r>
      <w:r>
        <w:rPr>
          <w:i/>
        </w:rPr>
        <w:t xml:space="preserve">Vergleich</w:t>
      </w:r>
      <w:r>
        <w:t xml:space="preserve"> </w:t>
      </w:r>
      <w:r>
        <w:t xml:space="preserve">sauber, für eine absolute Klimabilanz nicht ausreichend.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Der BEV-Realverbrauch bleibt ungemessen.</w:t>
      </w:r>
      <w:r>
        <w:t xml:space="preserve"> </w:t>
      </w:r>
      <w:r>
        <w:t xml:space="preserve">Diese Lücke lässt sich mit den vorliegenden</w:t>
      </w:r>
      <w:r>
        <w:t xml:space="preserve"> </w:t>
      </w:r>
      <w:r>
        <w:t xml:space="preserve">Quellen nicht schließen; sie wäre der nächste Datenbedarf.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/>
        </w:rPr>
        <w:t xml:space="preserve">star.ziel_parameter</w:t>
      </w:r>
      <w:r>
        <w:t xml:space="preserve"> </w:t>
      </w:r>
      <w:r>
        <w:t xml:space="preserve">trägt durchgängig</w:t>
      </w:r>
      <w:r>
        <w:t xml:space="preserve"> </w:t>
      </w:r>
      <w:r>
        <w:rPr>
          <w:rStyle w:val="VerbatimChar"/>
        </w:rPr>
        <w:t xml:space="preserve">geprueft = false</w:t>
      </w:r>
      <w:r>
        <w:t xml:space="preserve">. Die Zielfunktion der</w:t>
      </w:r>
      <w:r>
        <w:t xml:space="preserve"> </w:t>
      </w:r>
      <w:r>
        <w:t xml:space="preserve">Flottenregulierung ist als Näherung implementiert.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ausblick"/>
      <w:r>
        <w:t xml:space="preserve">13 · Ausblick</w:t>
      </w:r>
      <w:bookmarkEnd w:id="53"/>
    </w:p>
    <w:p>
      <w:pPr>
        <w:numPr>
          <w:ilvl w:val="0"/>
          <w:numId w:val="1004"/>
        </w:numPr>
        <w:pStyle w:val="Compact"/>
      </w:pPr>
      <w:r>
        <w:t xml:space="preserve">Der Utility Factor wird bis 2027/28 auf rund 34 % abgesenkt. Die Messung sollte danach</w:t>
      </w:r>
      <w:r>
        <w:t xml:space="preserve"> </w:t>
      </w:r>
      <w:r>
        <w:t xml:space="preserve">wiederholt werden, um die Wirkung der Regeländerung zu prüfen. Der gemessene Istwert von</w:t>
      </w:r>
      <w:r>
        <w:t xml:space="preserve"> </w:t>
      </w:r>
      <w:r>
        <w:t xml:space="preserve">25,8 bis 27,0 % liegt</w:t>
      </w:r>
      <w:r>
        <w:t xml:space="preserve"> </w:t>
      </w:r>
      <w:r>
        <w:rPr>
          <w:b/>
        </w:rPr>
        <w:t xml:space="preserve">unter</w:t>
      </w:r>
      <w:r>
        <w:t xml:space="preserve"> </w:t>
      </w:r>
      <w:r>
        <w:t xml:space="preserve">der neuen Annahme — die Absenkung könnte nicht ausreichen.</w:t>
      </w:r>
    </w:p>
    <w:p>
      <w:pPr>
        <w:numPr>
          <w:ilvl w:val="0"/>
          <w:numId w:val="1004"/>
        </w:numPr>
        <w:pStyle w:val="Compact"/>
      </w:pPr>
      <w:r>
        <w:t xml:space="preserve">Ab 2023 fließen auch Daten aus der Hauptuntersuchung ein. Der vorliegende Datensatz enthält</w:t>
      </w:r>
      <w:r>
        <w:t xml:space="preserve"> </w:t>
      </w:r>
      <w:r>
        <w:t xml:space="preserve">ausschließlich OEM-Meldungen; ein Vergleich beider Meldewege wäre aufschlussreich.</w:t>
      </w:r>
    </w:p>
    <w:p>
      <w:pPr>
        <w:numPr>
          <w:ilvl w:val="0"/>
          <w:numId w:val="1004"/>
        </w:numPr>
        <w:pStyle w:val="Compact"/>
      </w:pPr>
      <w:r>
        <w:t xml:space="preserve">Das Regressionsmodell ist der Anschlusspunkt für weitere Arbeit: saubere Zielgröße,</w:t>
      </w:r>
      <w:r>
        <w:t xml:space="preserve"> </w:t>
      </w:r>
      <w:r>
        <w:t xml:space="preserve">erklärbare Merkmale, SHAP direkt aufsetzbar. Der interessante Weg führt aber nicht über</w:t>
      </w:r>
      <w:r>
        <w:t xml:space="preserve"> </w:t>
      </w:r>
      <w:r>
        <w:t xml:space="preserve">ein stärkeres Modell, sondern über</w:t>
      </w:r>
      <w:r>
        <w:t xml:space="preserve"> </w:t>
      </w:r>
      <w:r>
        <w:rPr>
          <w:b/>
        </w:rPr>
        <w:t xml:space="preserve">bessere Merkmale</w:t>
      </w:r>
      <w:r>
        <w:t xml:space="preserve"> </w:t>
      </w:r>
      <w:r>
        <w:t xml:space="preserve">— Ladehäufigkeit, Fahrprofil,</w:t>
      </w:r>
      <w:r>
        <w:t xml:space="preserve"> </w:t>
      </w:r>
      <w:r>
        <w:t xml:space="preserve">Halterstruktur. Diese Daten existieren, nur nicht öffentlich.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reproduzierbarkeit"/>
      <w:r>
        <w:t xml:space="preserve">14 · Reproduzierbarkeit</w:t>
      </w:r>
      <w:bookmarkEnd w:id="54"/>
    </w:p>
    <w:p>
      <w:pPr>
        <w:pStyle w:val="FirstParagraph"/>
      </w:pPr>
      <w:r>
        <w:t xml:space="preserve">Ein Aufruf baut das gesamte Projekt neu:</w:t>
      </w:r>
    </w:p>
    <w:p>
      <w:pPr>
        <w:pStyle w:val="SourceCode"/>
      </w:pPr>
      <w:r>
        <w:rPr>
          <w:rStyle w:val="VerbatimChar"/>
        </w:rPr>
        <w:t xml:space="preserve">.\03_skripte\99_run_all.ps1</w:t>
      </w:r>
    </w:p>
    <w:p>
      <w:pPr>
        <w:pStyle w:val="FirstParagraph"/>
      </w:pPr>
      <w:r>
        <w:t xml:space="preserve">Zwölf Schritte, jeder mit eigener Ausgabedatei in</w:t>
      </w:r>
      <w:r>
        <w:t xml:space="preserve"> </w:t>
      </w:r>
      <w:r>
        <w:rPr>
          <w:rStyle w:val="VerbatimChar"/>
        </w:rPr>
        <w:t xml:space="preserve">00_doku/</w:t>
      </w:r>
      <w:r>
        <w:t xml:space="preserve">. Die Laufzeiten landen in</w:t>
      </w:r>
      <w:r>
        <w:t xml:space="preserve"> </w:t>
      </w:r>
      <w:r>
        <w:rPr>
          <w:rStyle w:val="VerbatimChar"/>
        </w:rPr>
        <w:t xml:space="preserve">00_doku/_laufzeiten.csv</w:t>
      </w:r>
      <w:r>
        <w:t xml:space="preserve"> </w:t>
      </w:r>
      <w:r>
        <w:t xml:space="preserve">und stehen in Abschnitt 7 dieses Dokuments. Bricht ein Schritt ab,</w:t>
      </w:r>
      <w:r>
        <w:t xml:space="preserve"> </w:t>
      </w:r>
      <w:r>
        <w:t xml:space="preserve">hält die Kette an und nennt die fehlerhafte Datei; mit</w:t>
      </w:r>
      <w:r>
        <w:t xml:space="preserve"> </w:t>
      </w:r>
      <w:r>
        <w:rPr>
          <w:rStyle w:val="VerbatimChar"/>
        </w:rPr>
        <w:t xml:space="preserve">-Ab &lt;Schritt&gt;</w:t>
      </w:r>
      <w:r>
        <w:t xml:space="preserve"> </w:t>
      </w:r>
      <w:r>
        <w:t xml:space="preserve">wird fortgesetzt.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de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2026-08-12T15:20:50Z</dcterms:created>
  <dcterms:modified xsi:type="dcterms:W3CDTF">2026-08-12T15:20:50Z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