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20"/>
      </w:pPr>
      <w:r>
        <w:rPr>
          <w:b/>
          <w:bCs/>
        </w:rPr>
        <w:t xml:space="preserve">Regulatory Reference Library for the FDA Troponin IVD RTM</w:t>
      </w:r>
      <w:r>
        <w:t xml:space="preserve"> — Revision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 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Draft — Revision 2 (supersedes Draft Revision 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Product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Reference Library, a component of the RTM Knowledge Graph Agent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Primary use case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AI-assisted Requirements Traceability Matrix (RTM) generation, change impact analysis, and compliance review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Initial device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Cardiac troponin immunoassay — FDA product code MMI, 21 CFR 862.1215, Class II, 510(k) pathway (to be confirmed per §6.1)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Primary jurisdiction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United States / FDA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Target users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Affairs, Quality Assurance, Design Assurance, Clinical/Scientific Affairs, Software/Systems Engineering, Verification &amp; Validation</w:t>
            </w:r>
          </w:p>
        </w:tc>
      </w:tr>
    </w:tbl>
    <w:p>
      <w:pPr>
        <w:spacing w:after="60"/>
      </w:pPr>
    </w:p>
    <w:p>
      <w:pPr>
        <w:pBdr>
          <w:left w:val="single" w:color="E08A00" w:sz="18" w:space="8"/>
        </w:pBdr>
        <w:shd w:fill="FFF4E5" w:color="auto" w:val="clear"/>
        <w:spacing w:after="160" w:before="120"/>
        <w:ind w:left="200"/>
      </w:pPr>
      <w:r>
        <w:rPr>
          <w:b/>
          <w:bCs/>
        </w:rPr>
        <w:t xml:space="preserve">Copyright notice for this document.</w:t>
      </w:r>
      <w:r>
        <w:t xml:space="preserve"> This PRD cites ISO, IEC, CLSI and AAMI standards by designation and clause number only. It does not reproduce their text. Where an inspection element is named (for example, "Design and Development Verification"), the name is taken from FDA Compliance Program 7382.850, a U.S. government work. Section 8 sets the licensing rules the product itself must follow. This document is not legal advice; the licensing approach requires review by counsel before release (see §26).</w:t>
      </w:r>
    </w:p>
    <w:p>
      <w:pPr>
        <w:pStyle w:val="Heading1"/>
      </w:pPr>
      <w:r>
        <w:t xml:space="preserve">0. Revision 2 Summary</w:t>
      </w:r>
    </w:p>
    <w:p>
      <w:pPr>
        <w:spacing w:after="120"/>
      </w:pPr>
      <w:r>
        <w:t xml:space="preserve">Revision 2 incorporates the findings of the Revision 1 review. The principal changes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Area</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Change in Revision 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Copyright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§8 Content Licensing and Copyright. Copyrighted standards are held as metadata and clause references only; no standard text is stored, shown, sent to an AI model, or exported unless a verified license permits that specific use. New agent rule, data-model fields, quality gate, metric, and acceptance criterion enforce this.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Device definition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Device classification (MMI / 21 CFR 862.1215 / Class II / 510(k)) is now a required, verified input (§6.1).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Worked example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 corrected: ISO 13485 clause 7.3.6 is cited as the source of the verification obligation, not of the product performance requirement.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scope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Simplified to eight critical sources for design-control traceability, change impact, and the 510(k) change decision (§6.2). Lower-priority sources (labeling, reporting, UDI, PMA, Part 11 content, precedent, other guidance) are listed in §6.3 for later releases.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hierarchy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Authority level and status are now separate dimensions. Added levels for FDA regulatory interpretation and FDA compliance programs. ISO 14971 explicitly classified as A3 (not incorporated by reference).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Traceability model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Lineage aligned with the existing RTM graph (User Need → Design Input → Design Output → V&amp;V Protocol → Test Result; Hazard → Risk Control → Design Input).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Acceptance criteria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RTM field may be "TBD — to be defined by team"; the AI never invents a 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Rule enforcement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rules are enforced by code checks (claim check, citation check, copyright check), not by prompt wording alone.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Search vs. grounding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 grounding stays deterministic and auditable; user search is a separate metadata and keyword search over the library.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state and MVP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§5 records what the RTM application already provides. The MVP is narrowed to the gaps.</w:t>
            </w:r>
          </w:p>
        </w:tc>
      </w:tr>
    </w:tbl>
    <w:p>
      <w:pPr>
        <w:pStyle w:val="Heading1"/>
      </w:pPr>
      <w:r>
        <w:t xml:space="preserve">1. Executive Summary</w:t>
      </w:r>
    </w:p>
    <w:p>
      <w:pPr>
        <w:spacing w:after="120"/>
      </w:pPr>
      <w:r>
        <w:t xml:space="preserve">Build a controlled, searchable regulatory reference library that gives the RTM AI agent authoritative, version-pinned sources for generating, reviewing, and maintaining a Requirements Traceability Matrix for an FDA-regulated cardiac troponin IVD.</w:t>
      </w:r>
    </w:p>
    <w:p>
      <w:pPr>
        <w:spacing w:after="120"/>
      </w:pPr>
      <w:r>
        <w:t xml:space="preserve">The library must distinguish between:</w:t>
      </w:r>
    </w:p>
    <w:p>
      <w:pPr>
        <w:pStyle w:val="ListParagraph"/>
        <w:numPr>
          <w:ilvl w:val="0"/>
          <w:numId w:val="2"/>
        </w:numPr>
        <w:spacing w:after="60"/>
      </w:pPr>
      <w:r>
        <w:t xml:space="preserve">Legally binding requirements (statute and regulation)</w:t>
      </w:r>
    </w:p>
    <w:p>
      <w:pPr>
        <w:pStyle w:val="ListParagraph"/>
        <w:numPr>
          <w:ilvl w:val="0"/>
          <w:numId w:val="2"/>
        </w:numPr>
        <w:spacing w:after="60"/>
      </w:pPr>
      <w:r>
        <w:t xml:space="preserve">Standards incorporated by reference into regulation</w:t>
      </w:r>
    </w:p>
    <w:p>
      <w:pPr>
        <w:pStyle w:val="ListParagraph"/>
        <w:numPr>
          <w:ilvl w:val="0"/>
          <w:numId w:val="2"/>
        </w:numPr>
        <w:spacing w:after="60"/>
      </w:pPr>
      <w:r>
        <w:t xml:space="preserve">FDA-recognized consensus standards</w:t>
      </w:r>
    </w:p>
    <w:p>
      <w:pPr>
        <w:pStyle w:val="ListParagraph"/>
        <w:numPr>
          <w:ilvl w:val="0"/>
          <w:numId w:val="2"/>
        </w:numPr>
        <w:spacing w:after="60"/>
      </w:pPr>
      <w:r>
        <w:t xml:space="preserve">FDA regulatory interpretation (for example, Federal Register preambles)</w:t>
      </w:r>
    </w:p>
    <w:p>
      <w:pPr>
        <w:pStyle w:val="ListParagraph"/>
        <w:numPr>
          <w:ilvl w:val="0"/>
          <w:numId w:val="2"/>
        </w:numPr>
        <w:spacing w:after="60"/>
      </w:pPr>
      <w:r>
        <w:t xml:space="preserve">FDA guidance (final and draft)</w:t>
      </w:r>
    </w:p>
    <w:p>
      <w:pPr>
        <w:pStyle w:val="ListParagraph"/>
        <w:numPr>
          <w:ilvl w:val="0"/>
          <w:numId w:val="2"/>
        </w:numPr>
        <w:spacing w:after="60"/>
      </w:pPr>
      <w:r>
        <w:t xml:space="preserve">FDA compliance programs and enforcement material</w:t>
      </w:r>
    </w:p>
    <w:p>
      <w:pPr>
        <w:pStyle w:val="ListParagraph"/>
        <w:numPr>
          <w:ilvl w:val="0"/>
          <w:numId w:val="2"/>
        </w:numPr>
        <w:spacing w:after="60"/>
      </w:pPr>
      <w:r>
        <w:t xml:space="preserve">Regulatory precedent</w:t>
      </w:r>
    </w:p>
    <w:p>
      <w:pPr>
        <w:pStyle w:val="ListParagraph"/>
        <w:numPr>
          <w:ilvl w:val="0"/>
          <w:numId w:val="2"/>
        </w:numPr>
        <w:spacing w:after="60"/>
      </w:pPr>
      <w:r>
        <w:t xml:space="preserve">Scientific and technical supporting evidence</w:t>
      </w:r>
    </w:p>
    <w:p>
      <w:pPr>
        <w:pStyle w:val="ListParagraph"/>
        <w:numPr>
          <w:ilvl w:val="0"/>
          <w:numId w:val="2"/>
        </w:numPr>
        <w:spacing w:after="60"/>
      </w:pPr>
      <w:r>
        <w:t xml:space="preserve">Internal company requirements</w:t>
      </w:r>
    </w:p>
    <w:p>
      <w:pPr>
        <w:spacing w:after="120"/>
      </w:pPr>
      <w:r>
        <w:t xml:space="preserve">The system must prevent the AI agent from presenting guidance, precedent, or scientific literature as a mandatory requirement, and must never reproduce copyrighted standard text without a verified license for that use.</w:t>
      </w:r>
    </w:p>
    <w:p>
      <w:pPr>
        <w:spacing w:after="120"/>
      </w:pPr>
      <w:r>
        <w:t xml:space="preserve">The library extends the existing RTM Knowledge Graph Agent, which already grounds its AI prompts in a version-pinned, reviewer-approved regulatory snapshot (§5). The architecture must support later expansion to other IVDs, biomarkers, jurisdictions, and pathways.</w:t>
      </w:r>
    </w:p>
    <w:p>
      <w:pPr>
        <w:pStyle w:val="Heading1"/>
      </w:pPr>
      <w:r>
        <w:t xml:space="preserve">2. Problem Statement</w:t>
      </w:r>
    </w:p>
    <w:p>
      <w:pPr>
        <w:spacing w:after="120"/>
      </w:pPr>
      <w:r>
        <w:t xml:space="preserve">An RTM for a regulated IVD requires more than a collection of regulations. The AI agent must determine:</w:t>
      </w:r>
    </w:p>
    <w:p>
      <w:pPr>
        <w:spacing w:after="120"/>
      </w:pPr>
      <w:r>
        <w:rPr>
          <w:b/>
          <w:bCs/>
        </w:rPr>
        <w:t xml:space="preserve">What requirement applies → why it applies → where it originates → how it becomes a product or design requirement → how compliance is demonstrated → what evidence supports compliance.</w:t>
      </w:r>
    </w:p>
    <w:p>
      <w:pPr>
        <w:spacing w:after="120"/>
      </w:pPr>
      <w:r>
        <w:t xml:space="preserve">Regulatory information is spread across the CFR, incorporated standards, FDA guidance, FDA databases, consensus standards, device-specific review documents, and technical literature. Without a structured library, an AI agent may:</w:t>
      </w:r>
    </w:p>
    <w:p>
      <w:pPr>
        <w:pStyle w:val="ListParagraph"/>
        <w:numPr>
          <w:ilvl w:val="0"/>
          <w:numId w:val="3"/>
        </w:numPr>
        <w:spacing w:after="60"/>
      </w:pPr>
      <w:r>
        <w:t xml:space="preserve">Cite obsolete or superseded requirements (for example, the pre-2026 QS regulation).</w:t>
      </w:r>
    </w:p>
    <w:p>
      <w:pPr>
        <w:pStyle w:val="ListParagraph"/>
        <w:numPr>
          <w:ilvl w:val="0"/>
          <w:numId w:val="3"/>
        </w:numPr>
        <w:spacing w:after="60"/>
      </w:pPr>
      <w:r>
        <w:t xml:space="preserve">Confuse guidance or draft guidance with regulation.</w:t>
      </w:r>
    </w:p>
    <w:p>
      <w:pPr>
        <w:pStyle w:val="ListParagraph"/>
        <w:numPr>
          <w:ilvl w:val="0"/>
          <w:numId w:val="3"/>
        </w:numPr>
        <w:spacing w:after="60"/>
      </w:pPr>
      <w:r>
        <w:t xml:space="preserve">Treat a previously cleared device's characteristics as mandatory.</w:t>
      </w:r>
    </w:p>
    <w:p>
      <w:pPr>
        <w:pStyle w:val="ListParagraph"/>
        <w:numPr>
          <w:ilvl w:val="0"/>
          <w:numId w:val="3"/>
        </w:numPr>
        <w:spacing w:after="60"/>
      </w:pPr>
      <w:r>
        <w:t xml:space="preserve">Use an obsolete edition of a standard.</w:t>
      </w:r>
    </w:p>
    <w:p>
      <w:pPr>
        <w:pStyle w:val="ListParagraph"/>
        <w:numPr>
          <w:ilvl w:val="0"/>
          <w:numId w:val="3"/>
        </w:numPr>
        <w:spacing w:after="60"/>
      </w:pPr>
      <w:r>
        <w:t xml:space="preserve">Miss applicable requirements.</w:t>
      </w:r>
    </w:p>
    <w:p>
      <w:pPr>
        <w:pStyle w:val="ListParagraph"/>
        <w:numPr>
          <w:ilvl w:val="0"/>
          <w:numId w:val="3"/>
        </w:numPr>
        <w:spacing w:after="60"/>
      </w:pPr>
      <w:r>
        <w:t xml:space="preserve">Generate unsupported acceptance criteria.</w:t>
      </w:r>
    </w:p>
    <w:p>
      <w:pPr>
        <w:pStyle w:val="ListParagraph"/>
        <w:numPr>
          <w:ilvl w:val="0"/>
          <w:numId w:val="3"/>
        </w:numPr>
        <w:spacing w:after="60"/>
      </w:pPr>
      <w:r>
        <w:t xml:space="preserve">Fail to distinguish U.S. requirements from international standards.</w:t>
      </w:r>
    </w:p>
    <w:p>
      <w:pPr>
        <w:pStyle w:val="ListParagraph"/>
        <w:numPr>
          <w:ilvl w:val="0"/>
          <w:numId w:val="3"/>
        </w:numPr>
        <w:spacing w:after="60"/>
      </w:pPr>
      <w:r>
        <w:t xml:space="preserve">Lose traceability between requirements and source documents.</w:t>
      </w:r>
    </w:p>
    <w:p>
      <w:pPr>
        <w:pStyle w:val="ListParagraph"/>
        <w:numPr>
          <w:ilvl w:val="0"/>
          <w:numId w:val="3"/>
        </w:numPr>
        <w:spacing w:after="60"/>
      </w:pPr>
      <w:r>
        <w:t xml:space="preserve">Reproduce copyrighted standard text, from ingested content or from its own training data.</w:t>
      </w:r>
    </w:p>
    <w:p>
      <w:pPr>
        <w:pStyle w:val="Heading1"/>
      </w:pPr>
      <w:r>
        <w:t xml:space="preserve">3. Goals</w:t>
      </w:r>
    </w:p>
    <w:p>
      <w:pPr>
        <w:pStyle w:val="Heading3"/>
      </w:pPr>
      <w:r>
        <w:t xml:space="preserve">G1 — Authoritative regulatory grounding</w:t>
      </w:r>
    </w:p>
    <w:p>
      <w:pPr>
        <w:spacing w:after="120"/>
      </w:pPr>
      <w:r>
        <w:t xml:space="preserve">Give the AI agent controlled access to the sources needed to evaluate an FDA troponin IVD.</w:t>
      </w:r>
    </w:p>
    <w:p>
      <w:pPr>
        <w:pStyle w:val="Heading3"/>
      </w:pPr>
      <w:r>
        <w:t xml:space="preserve">G2 — Source hierarchy</w:t>
      </w:r>
    </w:p>
    <w:p>
      <w:pPr>
        <w:spacing w:after="120"/>
      </w:pPr>
      <w:r>
        <w:t xml:space="preserve">Classify every reference by authority level and, separately, by status.</w:t>
      </w:r>
    </w:p>
    <w:p>
      <w:pPr>
        <w:pStyle w:val="Heading3"/>
      </w:pPr>
      <w:r>
        <w:t xml:space="preserve">G3 — Clause-level reference</w:t>
      </w:r>
    </w:p>
    <w:p>
      <w:pPr>
        <w:spacing w:after="120"/>
      </w:pPr>
      <w:r>
        <w:t xml:space="preserve">Let the agent cite a specific requirement, clause, section, definition, or paragraph. For copyrighted standards, clause-level reference means the clause identifier and metadata, not the clause text (§8).</w:t>
      </w:r>
    </w:p>
    <w:p>
      <w:pPr>
        <w:pStyle w:val="Heading3"/>
      </w:pPr>
      <w:r>
        <w:t xml:space="preserve">G4 — Version control</w:t>
      </w:r>
    </w:p>
    <w:p>
      <w:pPr>
        <w:spacing w:after="120"/>
      </w:pPr>
      <w:r>
        <w:t xml:space="preserve">Identify the version, effective date, status, and supersession relationship of every reference.</w:t>
      </w:r>
    </w:p>
    <w:p>
      <w:pPr>
        <w:pStyle w:val="Heading3"/>
      </w:pPr>
      <w:r>
        <w:t xml:space="preserve">G5 — Traceable citations</w:t>
      </w:r>
    </w:p>
    <w:p>
      <w:pPr>
        <w:spacing w:after="120"/>
      </w:pPr>
      <w:r>
        <w:t xml:space="preserve">Trace every AI-generated requirement to one or more source references.</w:t>
      </w:r>
    </w:p>
    <w:p>
      <w:pPr>
        <w:pStyle w:val="Heading3"/>
      </w:pPr>
      <w:r>
        <w:t xml:space="preserve">G6 — Separate requirement from interpretation</w:t>
      </w:r>
    </w:p>
    <w:p>
      <w:pPr>
        <w:spacing w:after="120"/>
      </w:pPr>
      <w:r>
        <w:t xml:space="preserve">Distinguish Requirement → Interpretation → Guidance → Precedent → Supporting evidence.</w:t>
      </w:r>
    </w:p>
    <w:p>
      <w:pPr>
        <w:pStyle w:val="Heading3"/>
      </w:pPr>
      <w:r>
        <w:t xml:space="preserve">G7 — Support RTM generation</w:t>
      </w:r>
    </w:p>
    <w:p>
      <w:pPr>
        <w:spacing w:after="120"/>
      </w:pPr>
      <w:r>
        <w:t xml:space="preserve">Provide enough metadata and content for the agent to generate an auditable RTM.</w:t>
      </w:r>
    </w:p>
    <w:p>
      <w:pPr>
        <w:pStyle w:val="Heading3"/>
      </w:pPr>
      <w:r>
        <w:t xml:space="preserve">G8 — Copyright compliance</w:t>
      </w:r>
    </w:p>
    <w:p>
      <w:pPr>
        <w:spacing w:after="120"/>
      </w:pPr>
      <w:r>
        <w:t xml:space="preserve">Use copyrighted content only as its license permits. Public-domain U.S. government text is the default source of readable regulatory content.</w:t>
      </w:r>
    </w:p>
    <w:p>
      <w:pPr>
        <w:pStyle w:val="Heading1"/>
      </w:pPr>
      <w:r>
        <w:t xml:space="preserve">4. Non-Goals</w:t>
      </w:r>
    </w:p>
    <w:p>
      <w:pPr>
        <w:spacing w:after="120"/>
      </w:pPr>
      <w:r>
        <w:t xml:space="preserve">The initial release will not:</w:t>
      </w:r>
    </w:p>
    <w:p>
      <w:pPr>
        <w:pStyle w:val="ListParagraph"/>
        <w:numPr>
          <w:ilvl w:val="0"/>
          <w:numId w:val="3"/>
        </w:numPr>
        <w:spacing w:after="60"/>
      </w:pPr>
      <w:r>
        <w:t xml:space="preserve">Make a final regulatory submission determination.</w:t>
      </w:r>
    </w:p>
    <w:p>
      <w:pPr>
        <w:pStyle w:val="ListParagraph"/>
        <w:numPr>
          <w:ilvl w:val="0"/>
          <w:numId w:val="3"/>
        </w:numPr>
        <w:spacing w:after="60"/>
      </w:pPr>
      <w:r>
        <w:t xml:space="preserve">Determine product classification without human review.</w:t>
      </w:r>
    </w:p>
    <w:p>
      <w:pPr>
        <w:pStyle w:val="ListParagraph"/>
        <w:numPr>
          <w:ilvl w:val="0"/>
          <w:numId w:val="3"/>
        </w:numPr>
        <w:spacing w:after="60"/>
      </w:pPr>
      <w:r>
        <w:t xml:space="preserve">Replace Regulatory Affairs judgment or provide legal advice.</w:t>
      </w:r>
    </w:p>
    <w:p>
      <w:pPr>
        <w:pStyle w:val="ListParagraph"/>
        <w:numPr>
          <w:ilvl w:val="0"/>
          <w:numId w:val="3"/>
        </w:numPr>
        <w:spacing w:after="60"/>
      </w:pPr>
      <w:r>
        <w:t xml:space="preserve">Automatically determine that a device is compliant.</w:t>
      </w:r>
    </w:p>
    <w:p>
      <w:pPr>
        <w:pStyle w:val="ListParagraph"/>
        <w:numPr>
          <w:ilvl w:val="0"/>
          <w:numId w:val="3"/>
        </w:numPr>
        <w:spacing w:after="60"/>
      </w:pPr>
      <w:r>
        <w:t xml:space="preserve">Automatically establish analytical acceptance criteria.</w:t>
      </w:r>
    </w:p>
    <w:p>
      <w:pPr>
        <w:pStyle w:val="ListParagraph"/>
        <w:numPr>
          <w:ilvl w:val="0"/>
          <w:numId w:val="3"/>
        </w:numPr>
        <w:spacing w:after="60"/>
      </w:pPr>
      <w:r>
        <w:t xml:space="preserve">Replace the organization's controlled copies of standards.</w:t>
      </w:r>
    </w:p>
    <w:p>
      <w:pPr>
        <w:pStyle w:val="ListParagraph"/>
        <w:numPr>
          <w:ilvl w:val="0"/>
          <w:numId w:val="3"/>
        </w:numPr>
        <w:spacing w:after="60"/>
      </w:pPr>
      <w:r>
        <w:t xml:space="preserve">Store, display, summarize at length, or redistribute the text of copyrighted standards without a verified license for that use.</w:t>
      </w:r>
    </w:p>
    <w:p>
      <w:pPr>
        <w:pStyle w:val="ListParagraph"/>
        <w:numPr>
          <w:ilvl w:val="0"/>
          <w:numId w:val="3"/>
        </w:numPr>
        <w:spacing w:after="60"/>
      </w:pPr>
      <w:r>
        <w:t xml:space="preserve">Automatically interpret ambiguous regulatory language as definitive.</w:t>
      </w:r>
    </w:p>
    <w:p>
      <w:pPr>
        <w:pStyle w:val="ListParagraph"/>
        <w:numPr>
          <w:ilvl w:val="0"/>
          <w:numId w:val="3"/>
        </w:numPr>
        <w:spacing w:after="60"/>
      </w:pPr>
      <w:r>
        <w:t xml:space="preserve">Treat FDA-cleared products as regulatory requirements.</w:t>
      </w:r>
    </w:p>
    <w:p>
      <w:pPr>
        <w:pStyle w:val="Heading1"/>
      </w:pPr>
      <w:r>
        <w:t xml:space="preserve">5. Current State</w:t>
      </w:r>
    </w:p>
    <w:p>
      <w:pPr>
        <w:spacing w:after="120"/>
      </w:pPr>
      <w:r>
        <w:t xml:space="preserve">The RTM Knowledge Graph Agent already implements part of this PRD. The MVP (§21) builds on it rather than starting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PRD capability</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Current state (2026-09-23)</w:t>
            </w:r>
          </w:p>
        </w:tc>
        <w:tc>
          <w:tcPr>
            <w:tcW w:type="dxa" w:w="2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Remaining gap</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Version-pinned regulatory text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Committed snapshot of public-domain text (eCFR, Federal Register, FDA) with source URL, version date, content fingerprint, and retrieval date; includes 21 CFR 862.1215</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Authority level, content class, status (§7, §8)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section and source tagged (A1/A4/A5/A6; class P; current or superseded); prompts show the tag; only class P text can reach a prompt</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Standards metadata (§6.2 items 2, 6, 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13485:2016, ISO 14971:2019 (5-125), CLSI EP17-A2 (7-233), CLSI EP05-A3 (7-251), CLSI EP07 3rd Edition (7-275) held as metadata only; recognition numbers verified in the FDA database; a test ensures every standard the seed data cites is registered</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license records on file; controlled-copy locations not recorded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control and supersession (FR-007/008)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or superseded status; former QS regulation pinned as superseded, for comparison only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clause-to-clause supersession links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 monitoring (§14)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 check compares live eCFR and FDA sources with the snapshot, shows diffs, re-verifies the device definition against FDA's classification record, and requires a named reviewer to apply changes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notification; affected RTM entries not identified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Device definition (§6.1)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MMI / 862.1215 / Class II / 510(k) pinned and verified against openFDA (every cleared high-sensitivity troponin I assay is MMI / Class II / 510(k); no troponin PMAs); library scoped to the Class II 510(k) pathway; demo dataset corrected</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Affairs approval not yet recorded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 citation, and copyright check (FR-012/013)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Deterministic check on every AI output (chat, risk rationale, compliance summary, team briefings); findings shown for human review</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Heuristic only; no overlap check against licensed text (none is held)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rules (§10)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Rules 2, 3, 7 and 8 are stated in every prompt and backed by the claim check</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Rules 1, 4, 5 and 6 rely on prompts and existing product behavior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Inspection alignment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RTM gaps mapped to CP 7382.850 QMS Area elements, with the relevant public-domain text per element</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Evaluation set (AC-001 to AC-009)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Offline tests cover the check logic; AC-008 and a regulatory-claim question verified manually against the live model</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automated evaluation harness against the live model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Requirement and applicability objects (FR-004/006)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built</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2</w:t>
            </w:r>
          </w:p>
        </w:tc>
      </w:tr>
    </w:tbl>
    <w:p>
      <w:pPr>
        <w:pStyle w:val="Heading1"/>
      </w:pPr>
      <w:r>
        <w:t xml:space="preserve">6. Device Definition and Regulatory Scope</w:t>
      </w:r>
    </w:p>
    <w:p>
      <w:pPr>
        <w:pStyle w:val="Heading2"/>
      </w:pPr>
      <w:r>
        <w:t xml:space="preserve">6.1 Device definition (required input)</w:t>
      </w:r>
    </w:p>
    <w:p>
      <w:pPr>
        <w:spacing w:after="120"/>
      </w:pPr>
      <w:r>
        <w:t xml:space="preserve">Applicability decisions depend on the device definition. The following are required, verified inputs, confirmed against the FDA Product Classification database and approved by Regulatory Affairs before any RTM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Attribute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Initial value</w:t>
            </w:r>
          </w:p>
        </w:tc>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Verification source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Product code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MMI — Immunoassay Method, Troponin Subunit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Product Classification database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Classification regulation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862.1215</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eCFR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Device class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II</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Product Classification database; eCFR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Premarket pathway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510(k); changes assessed under 21 CFR 807.81(a)(3) and FDA's 510(k) change guidance</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Affairs determination; consistent with all cleared high-sensitivity troponin I assays (for example K191595, K171274, K202525)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Intended use and indications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Defined by the manufacturer</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Controlled labeling</w:t>
            </w:r>
          </w:p>
        </w:tc>
      </w:tr>
    </w:tbl>
    <w:p>
      <w:pPr>
        <w:pBdr>
          <w:left w:val="single" w:color="E08A00" w:sz="18" w:space="8"/>
        </w:pBdr>
        <w:shd w:fill="FFF4E5" w:color="auto" w:val="clear"/>
        <w:spacing w:after="160" w:before="120"/>
        <w:ind w:left="200"/>
      </w:pPr>
      <w:r>
        <w:t xml:space="preserve">The existing demo dataset describes the device as "Class III" with a PMA-style identifier (P240052). This conflicts with the classification above and must be corrected before the demo is used to illustrate this product.</w:t>
      </w:r>
    </w:p>
    <w:p>
      <w:pPr>
        <w:pStyle w:val="Heading2"/>
      </w:pPr>
      <w:r>
        <w:t xml:space="preserve">6.2 Critical regulatory sources (initial scope)</w:t>
      </w:r>
    </w:p>
    <w:p>
      <w:pPr>
        <w:spacing w:after="120"/>
      </w:pPr>
      <w:r>
        <w:t xml:space="preserve">The initial scope is limited to the sources the product needs for its core jobs: design-control traceability, change impact analysis, and the decision whether a design change requires a new 510(k). Each source is listed with its authority level (§7), content class (§8), and the form in which the library holds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3000"/>
        <w:gridCol w:w="900"/>
        <w:gridCol w:w="700"/>
        <w:gridCol w:w="180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Source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Why it is critical</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Authority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Class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Held as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Part 820 (QMSR): 820.10, 820.35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Binding design-control and record requirements; incorporates ISO 13485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Verbatim text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13485:2016, clauses 7.3 (design and development) and 8.5.2 (corrective action)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design-control and CAPA requirements incorporated by reference (21 CFR 820.7, 820.10)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Clause identifiers and metadata only</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862.1215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Classification regulation for troponin assays (product code MMI, Class II); basis of the device definition (§6.1)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Verbatim text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807.81(a)(3) and FDA guidance "Deciding When to Submit a 510(k) for a Change to an Existing Device"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Determine whether a design change requires a new 510(k)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A1 / A5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Verbatim text / excerpts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QMSR final rule preamble, 89 FR 7496 (selected passages)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FDA's interpretation of the incorporated clauses, including the design history file to design and development file mapping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Excerpts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14971:2019 (FDA recognition 5-125)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 management behind the Hazard → Risk Control chain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Metadata only</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CLSI EP17-A2 (7-233), CLSI EP05-A3 (7-251), and CLSI EP07 3rd Edition (7-275)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methods for detection capability (LoD), precision, and interference (cited by risk control RC-002)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Metadata only</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Compliance Program 7382.850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FDA inspects design and development and change control under the QMSR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Excerpts</w:t>
            </w:r>
          </w:p>
        </w:tc>
      </w:tr>
    </w:tbl>
    <w:p>
      <w:pPr>
        <w:spacing w:after="120"/>
      </w:pPr>
      <w:r>
        <w:t xml:space="preserve">FDA recognition numbers were confirmed in the FDA Recognized Consensus Standards database. ISO 13485 is not listed there because it is incorporated by reference into the QMSR rather than recognized.</w:t>
      </w:r>
    </w:p>
    <w:p>
      <w:pPr>
        <w:pStyle w:val="Heading3"/>
      </w:pPr>
      <w:r>
        <w:t xml:space="preserve">Retained because already implemented</w:t>
      </w:r>
    </w:p>
    <w:p>
      <w:pPr>
        <w:pStyle w:val="ListParagraph"/>
        <w:numPr>
          <w:ilvl w:val="0"/>
          <w:numId w:val="3"/>
        </w:numPr>
        <w:spacing w:after="60"/>
      </w:pPr>
      <w:r>
        <w:t xml:space="preserve">42 CFR 493.1253 and 493.1255 (CLIA, A1): laboratory re-verification of performance after a change; used by the SME briefings.</w:t>
      </w:r>
    </w:p>
    <w:p>
      <w:pPr>
        <w:pStyle w:val="ListParagraph"/>
        <w:numPr>
          <w:ilvl w:val="0"/>
          <w:numId w:val="3"/>
        </w:numPr>
        <w:spacing w:after="60"/>
      </w:pPr>
      <w:r>
        <w:t xml:space="preserve">FDA QMSR web page and FAQ (A6) and the superseded QS regulation (A1, superseded): small, already pinned, and used for display and comparison only.</w:t>
      </w:r>
    </w:p>
    <w:p>
      <w:pPr>
        <w:pStyle w:val="Heading2"/>
      </w:pPr>
      <w:r>
        <w:t xml:space="preserve">6.3 Deferred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Source</w:t>
            </w:r>
          </w:p>
        </w:tc>
        <w:tc>
          <w:tcPr>
            <w:tcW w:type="dxa" w:w="5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Reason deferred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809.10 (IVD labeling)</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 candidate. Performance changes can alter labeling claims, but the RTM does not yet model labeling artifacts.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Parts 801, 803, 806, 830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Labeling, medical device reporting, corrections and removals, and UDI are outside the design and change-control scope.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Part 814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PMA pathway; not the pathway for this device.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Part 860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Classification procedures; the classification itself is established in §6.1.</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Part 11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Governs validation of the tool itself (§19.1). A governance decision, not library content.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device-specific precedent (510(k) summaries)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Adds a new data type; useful later for Rule 4 comparisons.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Other FDA guidance (software, cybersecurity, human factors)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relevant to the current RTM node types.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IMDRF documents; FDA Recognized Consensus Standards database integration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Nice to have. Metadata for the three recognized standards is maintained by hand in the MVP.</w:t>
            </w:r>
          </w:p>
        </w:tc>
      </w:tr>
    </w:tbl>
    <w:p>
      <w:pPr>
        <w:pStyle w:val="Heading1"/>
      </w:pPr>
      <w:r>
        <w:t xml:space="preserve">7. Source Hierarchy</w:t>
      </w:r>
    </w:p>
    <w:p>
      <w:pPr>
        <w:spacing w:after="120"/>
      </w:pPr>
      <w:r>
        <w:t xml:space="preserve">Every source receives an </w:t>
      </w:r>
      <w:r>
        <w:rPr>
          <w:b/>
          <w:bCs/>
        </w:rPr>
        <w:t xml:space="preserve">authority level</w:t>
      </w:r>
      <w:r>
        <w:t xml:space="preserve"> and, separately, a </w:t>
      </w:r>
      <w:r>
        <w:rPr>
          <w:b/>
          <w:bCs/>
        </w:rPr>
        <w:t xml:space="preserve">status</w:t>
      </w:r>
      <w:r>
        <w:t xml:space="preserve">. Status never changes the authority level, and the agent never silently upgrades a lower level to A1 or A2.</w:t>
      </w:r>
    </w:p>
    <w:p>
      <w:pPr>
        <w:pStyle w:val="Heading2"/>
      </w:pPr>
      <w:r>
        <w:t xml:space="preserve">7.1 Authority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00"/>
        <w:gridCol w:w="32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Level</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Source type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Examples</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Agent treatment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Statute or regulation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CFR 820, 862, 807; 42 CFR 493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Binding requirement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 incorporated by reference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13485:2016; ISO 9000:2015 cl. 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Binding within the scope set by the incorporating regulation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FDA-recognized consensus standard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14971:2019; CLSI EP-series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Recognized method; applicability must be established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regulatory interpretation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QMSR final rule preamble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FDA's stated interpretation; not independently binding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guidance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510(k) change guidance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recommends"; draft guidance labeled "draft — not for implementation"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compliance program or FAQ</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 7382.850; QMSR FAQ</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FDA inspects and enforces; not a requirement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FDA device-specific precedent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510(k) summaries for MMI devices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Supporting precedent, dated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Scientific literature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Peer-reviewed studies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Supporting evidence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Internal procedure or specification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Company SOPs, design specifications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Internal requirement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Expert interpretation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Consultant or SME opinion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Non-authoritative interpretation</w:t>
            </w:r>
          </w:p>
        </w:tc>
      </w:tr>
    </w:tbl>
    <w:p>
      <w:pPr>
        <w:pStyle w:val="Heading2"/>
      </w:pPr>
      <w:r>
        <w:t xml:space="preserve">7.2 Status values</w:t>
      </w:r>
    </w:p>
    <w:p>
      <w:pPr>
        <w:spacing w:after="120"/>
      </w:pPr>
      <w:r>
        <w:t xml:space="preserve">Current · Future-effective (binding from a stated date; the QMSR was future-effective from 2024-02-02 to 2026-02-02) · Draft · Superseded · Withdrawn · Historical.</w:t>
      </w:r>
    </w:p>
    <w:p>
      <w:pPr>
        <w:spacing w:after="120"/>
      </w:pPr>
      <w:r>
        <w:t xml:space="preserve">The agent uses current, effective sources by default. Superseded or historical sources are shown only for comparison and are always labeled; they never ground a requirement.</w:t>
      </w:r>
    </w:p>
    <w:p>
      <w:pPr>
        <w:pStyle w:val="Heading1"/>
      </w:pPr>
      <w:r>
        <w:t xml:space="preserve">8. Content Licensing and Copyright</w:t>
      </w:r>
    </w:p>
    <w:p>
      <w:pPr>
        <w:spacing w:after="120"/>
      </w:pPr>
      <w:r>
        <w:t xml:space="preserve">This section governs what the library may store, display, send to an AI model, and export. It applies to ingested content and to AI output.</w:t>
      </w:r>
    </w:p>
    <w:p>
      <w:pPr>
        <w:pStyle w:val="Heading2"/>
      </w:pPr>
      <w:r>
        <w:t xml:space="preserve">8.1 Content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60"/>
        <w:gridCol w:w="1400"/>
        <w:gridCol w:w="1400"/>
        <w:gridCol w:w="1400"/>
        <w:gridCol w:w="14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Class</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Examples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Store full text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Display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Send to AI model</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Export in RTM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 — Public domain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 government works: CFR, Federal Register, FDA guidance, compliance programs, FAQs, 510(k) summaries (17 U.S.C. §105)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with source and date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with citation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quoted with citation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L — Licensed standard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IEC, CLSI, AAMI standards and technical reports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unless §8.3 is satisfied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Clause identifier, edition, and metadata only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Clause identifier and metadata only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Clause identifier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 — Read-only access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ANSI Incorporated by Reference portal (FDA QMSR FAQ Q12)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Never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Link only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Never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Never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 — Third-party, openly available</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IMDRF/GHTF documents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after the document's own terms are checked and recorded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recorded terms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recorded terms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recorded terms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 — Internal</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Company SOPs, specifications, test reports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in controlled storage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role-based access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the data-governance rule allows (§19.2)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document control</w:t>
            </w:r>
          </w:p>
        </w:tc>
      </w:tr>
    </w:tbl>
    <w:p>
      <w:pPr>
        <w:pStyle w:val="Heading2"/>
      </w:pPr>
      <w:r>
        <w:t xml:space="preserve">8.2 Rules</w:t>
      </w:r>
    </w:p>
    <w:p>
      <w:pPr>
        <w:pStyle w:val="ListParagraph"/>
        <w:numPr>
          <w:ilvl w:val="0"/>
          <w:numId w:val="3"/>
        </w:numPr>
        <w:spacing w:after="60"/>
      </w:pPr>
      <w:r>
        <w:rPr>
          <w:b/>
          <w:bCs/>
        </w:rPr>
        <w:t xml:space="preserve">C1 — No standard text by default.</w:t>
      </w:r>
      <w:r>
        <w:t xml:space="preserve"> Class L sources are held as metadata: designation, edition, clause identifier, FDA recognition number, license record, and a pointer to the organization's controlled copy. The requirement-text field is empty.</w:t>
      </w:r>
    </w:p>
    <w:p>
      <w:pPr>
        <w:pStyle w:val="ListParagraph"/>
        <w:numPr>
          <w:ilvl w:val="0"/>
          <w:numId w:val="3"/>
        </w:numPr>
        <w:spacing w:after="60"/>
      </w:pPr>
      <w:r>
        <w:rPr>
          <w:b/>
          <w:bCs/>
        </w:rPr>
        <w:t xml:space="preserve">C2 — Public-domain names for clauses.</w:t>
      </w:r>
      <w:r>
        <w:t xml:space="preserve"> Where a readable name is needed for a clause, use a public-domain name, such as the element names in CP 7382.850 Attachment A. Do not reproduce clause titles or headings from the standard itself.</w:t>
      </w:r>
    </w:p>
    <w:p>
      <w:pPr>
        <w:pStyle w:val="ListParagraph"/>
        <w:numPr>
          <w:ilvl w:val="0"/>
          <w:numId w:val="3"/>
        </w:numPr>
        <w:spacing w:after="60"/>
      </w:pPr>
      <w:r>
        <w:rPr>
          <w:b/>
          <w:bCs/>
        </w:rPr>
        <w:t xml:space="preserve">C3 — Readable content comes from public-domain interpretation.</w:t>
      </w:r>
      <w:r>
        <w:t xml:space="preserve"> To explain what a clause requires, use FDA's public-domain material: the QMSR final rule preamble, guidance, and the FAQ. The former QS regulation may be shown for comparison, labeled as superseded.</w:t>
      </w:r>
    </w:p>
    <w:p>
      <w:pPr>
        <w:pStyle w:val="ListParagraph"/>
        <w:numPr>
          <w:ilvl w:val="0"/>
          <w:numId w:val="3"/>
        </w:numPr>
        <w:spacing w:after="60"/>
      </w:pPr>
      <w:r>
        <w:rPr>
          <w:b/>
          <w:bCs/>
        </w:rPr>
        <w:t xml:space="preserve">C4 — No paraphrase substitutes.</w:t>
      </w:r>
      <w:r>
        <w:t xml:space="preserve"> Close paraphrase of standard text is treated the same as reproduction. Internal requirement statements (A9) describe the organization's own obligations in its own terms; they are not restatements of a clause.</w:t>
      </w:r>
    </w:p>
    <w:p>
      <w:pPr>
        <w:pStyle w:val="ListParagraph"/>
        <w:numPr>
          <w:ilvl w:val="0"/>
          <w:numId w:val="3"/>
        </w:numPr>
        <w:spacing w:after="60"/>
      </w:pPr>
      <w:r>
        <w:rPr>
          <w:b/>
          <w:bCs/>
        </w:rPr>
        <w:t xml:space="preserve">C5 — Read-only portals.</w:t>
      </w:r>
      <w:r>
        <w:t xml:space="preserve"> Content from read-only portals is never copied, downloaded, screen-captured, or ingested. The product links to the portal only.</w:t>
      </w:r>
    </w:p>
    <w:p>
      <w:pPr>
        <w:pStyle w:val="ListParagraph"/>
        <w:numPr>
          <w:ilvl w:val="0"/>
          <w:numId w:val="3"/>
        </w:numPr>
        <w:spacing w:after="60"/>
      </w:pPr>
      <w:r>
        <w:rPr>
          <w:b/>
          <w:bCs/>
        </w:rPr>
        <w:t xml:space="preserve">C6 — AI output guardrail.</w:t>
      </w:r>
      <w:r>
        <w:t xml:space="preserve"> The agent must not reproduce or closely paraphrase copyrighted standard text, including text it may have learned during training. It cites the clause identifier and the public-domain interpretation instead. Output is checked automatically (FR-013).</w:t>
      </w:r>
    </w:p>
    <w:p>
      <w:pPr>
        <w:pStyle w:val="ListParagraph"/>
        <w:numPr>
          <w:ilvl w:val="0"/>
          <w:numId w:val="3"/>
        </w:numPr>
        <w:spacing w:after="60"/>
      </w:pPr>
      <w:r>
        <w:rPr>
          <w:b/>
          <w:bCs/>
        </w:rPr>
        <w:t xml:space="preserve">C7 — No reliance on fair use.</w:t>
      </w:r>
      <w:r>
        <w:t xml:space="preserve"> The product's design does not rely on a fair-use argument for quoting standards.</w:t>
      </w:r>
    </w:p>
    <w:p>
      <w:pPr>
        <w:pStyle w:val="ListParagraph"/>
        <w:numPr>
          <w:ilvl w:val="0"/>
          <w:numId w:val="3"/>
        </w:numPr>
        <w:spacing w:after="60"/>
      </w:pPr>
      <w:r>
        <w:rPr>
          <w:b/>
          <w:bCs/>
        </w:rPr>
        <w:t xml:space="preserve">C8 — Third-party material inside government documents.</w:t>
      </w:r>
      <w:r>
        <w:t xml:space="preserve"> Some FDA documents include third-party material (for example, figures or excerpts from standards). Such material is treated by its own class, not as public domain.</w:t>
      </w:r>
    </w:p>
    <w:p>
      <w:pPr>
        <w:pStyle w:val="ListParagraph"/>
        <w:numPr>
          <w:ilvl w:val="0"/>
          <w:numId w:val="3"/>
        </w:numPr>
        <w:spacing w:after="60"/>
      </w:pPr>
      <w:r>
        <w:rPr>
          <w:b/>
          <w:bCs/>
        </w:rPr>
        <w:t xml:space="preserve">C9 — Attribution.</w:t>
      </w:r>
      <w:r>
        <w:t xml:space="preserve"> Every displayed or exported passage carries its source, citation, version, and retrieval date.</w:t>
      </w:r>
    </w:p>
    <w:p>
      <w:pPr>
        <w:pStyle w:val="Heading2"/>
      </w:pPr>
      <w:r>
        <w:t xml:space="preserve">8.3 Licensed full text (exception path)</w:t>
      </w:r>
    </w:p>
    <w:p>
      <w:pPr>
        <w:spacing w:after="120"/>
      </w:pPr>
      <w:r>
        <w:t xml:space="preserve">Class L full text may be stored only when all of the following are true:</w:t>
      </w:r>
    </w:p>
    <w:p>
      <w:pPr>
        <w:pStyle w:val="ListParagraph"/>
        <w:numPr>
          <w:ilvl w:val="0"/>
          <w:numId w:val="4"/>
        </w:numPr>
        <w:spacing w:after="60"/>
      </w:pPr>
      <w:r>
        <w:t xml:space="preserve">A license covering the specific uses is on file: storage, multi-user display, AI-model processing, and any export.</w:t>
      </w:r>
    </w:p>
    <w:p>
      <w:pPr>
        <w:pStyle w:val="ListParagraph"/>
        <w:numPr>
          <w:ilvl w:val="0"/>
          <w:numId w:val="4"/>
        </w:numPr>
        <w:spacing w:after="60"/>
      </w:pPr>
      <w:r>
        <w:t xml:space="preserve">Counsel has confirmed the license terms in writing.</w:t>
      </w:r>
    </w:p>
    <w:p>
      <w:pPr>
        <w:pStyle w:val="ListParagraph"/>
        <w:numPr>
          <w:ilvl w:val="0"/>
          <w:numId w:val="4"/>
        </w:numPr>
        <w:spacing w:after="60"/>
      </w:pPr>
      <w:r>
        <w:t xml:space="preserve">The text is held in a separate access-controlled store, not in the shared snapshot.</w:t>
      </w:r>
    </w:p>
    <w:p>
      <w:pPr>
        <w:pStyle w:val="ListParagraph"/>
        <w:numPr>
          <w:ilvl w:val="0"/>
          <w:numId w:val="4"/>
        </w:numPr>
        <w:spacing w:after="60"/>
      </w:pPr>
      <w:r>
        <w:t xml:space="preserve">Access is limited to licensed users, and every access is logged.</w:t>
      </w:r>
    </w:p>
    <w:p>
      <w:pPr>
        <w:pStyle w:val="ListParagraph"/>
        <w:numPr>
          <w:ilvl w:val="0"/>
          <w:numId w:val="4"/>
        </w:numPr>
        <w:spacing w:after="60"/>
      </w:pPr>
      <w:r>
        <w:t xml:space="preserve">The license record (licensee, scope, seats, expiry) is linked to the reference, and access ends automatically at expiry.</w:t>
      </w:r>
    </w:p>
    <w:p>
      <w:pPr>
        <w:pBdr>
          <w:left w:val="single" w:color="E08A00" w:sz="18" w:space="8"/>
        </w:pBdr>
        <w:shd w:fill="FFF4E5" w:color="auto" w:val="clear"/>
        <w:spacing w:after="160" w:before="120"/>
        <w:ind w:left="200"/>
      </w:pPr>
      <w:r>
        <w:t xml:space="preserve">Standards publishers' licenses commonly restrict use in software tools, sharing across users, and processing by third-party services. Assume the exception path is unavailable until counsel confirms otherwise.</w:t>
      </w:r>
    </w:p>
    <w:p>
      <w:pPr>
        <w:pStyle w:val="Heading1"/>
      </w:pPr>
      <w:r>
        <w:t xml:space="preserve">9. Functional Requirements</w:t>
      </w:r>
    </w:p>
    <w:p>
      <w:pPr>
        <w:pStyle w:val="Heading2"/>
      </w:pPr>
      <w:r>
        <w:t xml:space="preserve">FR-001 — Reference ingestion</w:t>
      </w:r>
    </w:p>
    <w:p>
      <w:pPr>
        <w:pStyle w:val="ListParagraph"/>
        <w:numPr>
          <w:ilvl w:val="0"/>
          <w:numId w:val="3"/>
        </w:numPr>
        <w:spacing w:after="60"/>
      </w:pPr>
      <w:r>
        <w:t xml:space="preserve">Authorized users can add references from HTML, PDF, controlled documents, structured regulatory databases (for example eCFR and openFDA), and standards metadata.</w:t>
      </w:r>
    </w:p>
    <w:p>
      <w:pPr>
        <w:pStyle w:val="ListParagraph"/>
        <w:numPr>
          <w:ilvl w:val="0"/>
          <w:numId w:val="3"/>
        </w:numPr>
        <w:spacing w:after="60"/>
      </w:pPr>
      <w:r>
        <w:t xml:space="preserve">Each ingestion creates a unique reference_id.</w:t>
      </w:r>
    </w:p>
    <w:p>
      <w:pPr>
        <w:pStyle w:val="ListParagraph"/>
        <w:numPr>
          <w:ilvl w:val="0"/>
          <w:numId w:val="3"/>
        </w:numPr>
        <w:spacing w:after="60"/>
      </w:pPr>
      <w:r>
        <w:t xml:space="preserve">Ingestion records the content class (§8.1). A Class L or R reference cannot be ingested with text.</w:t>
      </w:r>
    </w:p>
    <w:p>
      <w:pPr>
        <w:pStyle w:val="Heading2"/>
      </w:pPr>
      <w:r>
        <w:t xml:space="preserve">FR-002 — Reference metadata</w:t>
      </w:r>
    </w:p>
    <w:p>
      <w:pPr>
        <w:pStyle w:val="ListParagraph"/>
        <w:numPr>
          <w:ilvl w:val="0"/>
          <w:numId w:val="3"/>
        </w:numPr>
        <w:spacing w:after="60"/>
      </w:pPr>
      <w:r>
        <w:t xml:space="preserve">Every reference carries: reference_id, title, issuing authority, document type, citation, version/edition, publication date, effective date, replacement date, status, jurisdiction, device scope, pathway scope, authority level, content class, license record (Class L), source URL, retrieval date, content fingerprint, owner, and review status.</w:t>
      </w:r>
    </w:p>
    <w:p>
      <w:pPr>
        <w:pStyle w:val="Heading2"/>
      </w:pPr>
      <w:r>
        <w:t xml:space="preserve">FR-003 — Clause-level units</w:t>
      </w:r>
    </w:p>
    <w:p>
      <w:pPr>
        <w:pStyle w:val="ListParagraph"/>
        <w:numPr>
          <w:ilvl w:val="0"/>
          <w:numId w:val="3"/>
        </w:numPr>
        <w:spacing w:after="60"/>
      </w:pPr>
      <w:r>
        <w:t xml:space="preserve">Documents are split into citable units that keep their parent relationship. Examples: 21 CFR 820.10(c); ISO 13485:2016 clause 7.3.6; 510(k) change guidance section D3; CLSI EP05 section reference.</w:t>
      </w:r>
    </w:p>
    <w:p>
      <w:pPr>
        <w:pStyle w:val="ListParagraph"/>
        <w:numPr>
          <w:ilvl w:val="0"/>
          <w:numId w:val="3"/>
        </w:numPr>
        <w:spacing w:after="60"/>
      </w:pPr>
      <w:r>
        <w:t xml:space="preserve">For Class P sources, units hold the verbatim text. For Class L sources, units hold the identifier and metadata only, with the text field empty (C1).</w:t>
      </w:r>
    </w:p>
    <w:p>
      <w:pPr>
        <w:pStyle w:val="Heading2"/>
      </w:pPr>
      <w:r>
        <w:t xml:space="preserve">FR-004 — Requirement extraction</w:t>
      </w:r>
    </w:p>
    <w:p>
      <w:pPr>
        <w:pStyle w:val="ListParagraph"/>
        <w:numPr>
          <w:ilvl w:val="0"/>
          <w:numId w:val="3"/>
        </w:numPr>
        <w:spacing w:after="60"/>
      </w:pPr>
      <w:r>
        <w:t xml:space="preserve">Candidate requirements are extracted from Class P sources, keeping enough context to avoid misleading interpretation.</w:t>
      </w:r>
    </w:p>
    <w:p>
      <w:pPr>
        <w:pStyle w:val="ListParagraph"/>
        <w:numPr>
          <w:ilvl w:val="0"/>
          <w:numId w:val="3"/>
        </w:numPr>
        <w:spacing w:after="60"/>
      </w:pPr>
      <w:r>
        <w:t xml:space="preserve">For Class L sources, a requirement record references the clause identifier. Its description is an internal statement of the organization's obligation, authored by a qualified person (C4), or FDA's public-domain interpretation.</w:t>
      </w:r>
    </w:p>
    <w:p>
      <w:pPr>
        <w:pStyle w:val="Heading2"/>
      </w:pPr>
      <w:r>
        <w:t xml:space="preserve">FR-005 — Requirement classification</w:t>
      </w:r>
    </w:p>
    <w:p>
      <w:pPr>
        <w:pStyle w:val="ListParagraph"/>
        <w:numPr>
          <w:ilvl w:val="0"/>
          <w:numId w:val="3"/>
        </w:numPr>
        <w:spacing w:after="60"/>
      </w:pPr>
      <w:r>
        <w:t xml:space="preserve">Each requirement is classified as one or more of: Regulatory, QMS, Design/development, Risk management, Analytical performance, Clinical performance, Manufacturing, Supplier control, Software, Labeling, Post-market, Recordkeeping, Documentation, Change control, Other.</w:t>
      </w:r>
    </w:p>
    <w:p>
      <w:pPr>
        <w:pStyle w:val="Heading2"/>
      </w:pPr>
      <w:r>
        <w:t xml:space="preserve">FR-006 — Applicability mapping</w:t>
      </w:r>
    </w:p>
    <w:p>
      <w:pPr>
        <w:pStyle w:val="ListParagraph"/>
        <w:numPr>
          <w:ilvl w:val="0"/>
          <w:numId w:val="3"/>
        </w:numPr>
        <w:spacing w:after="60"/>
      </w:pPr>
      <w:r>
        <w:t xml:space="preserve">Applicability attributes include IVD, troponin, immunoassay, quantitative, clinical chemistry, human specimen, 510(k), PMA, De Novo, companion diagnostic, software-enabled, instrument-integrated, and laboratory-developed test.</w:t>
      </w:r>
    </w:p>
    <w:p>
      <w:pPr>
        <w:pStyle w:val="ListParagraph"/>
        <w:numPr>
          <w:ilvl w:val="0"/>
          <w:numId w:val="3"/>
        </w:numPr>
        <w:spacing w:after="60"/>
      </w:pPr>
      <w:r>
        <w:t xml:space="preserve">Applicability is evaluated against the verified device definition (§6.1). A requirement is not assumed to apply because it exists in the library.</w:t>
      </w:r>
    </w:p>
    <w:p>
      <w:pPr>
        <w:pStyle w:val="Heading2"/>
      </w:pPr>
      <w:r>
        <w:t xml:space="preserve">FR-007 — Version and status control</w:t>
      </w:r>
    </w:p>
    <w:p>
      <w:pPr>
        <w:pStyle w:val="ListParagraph"/>
        <w:numPr>
          <w:ilvl w:val="0"/>
          <w:numId w:val="3"/>
        </w:numPr>
        <w:spacing w:after="60"/>
      </w:pPr>
      <w:r>
        <w:t xml:space="preserve">Status values per §7.2. Future-effective sources become current automatically on their effective date and the change is logged.</w:t>
      </w:r>
    </w:p>
    <w:p>
      <w:pPr>
        <w:pStyle w:val="Heading2"/>
      </w:pPr>
      <w:r>
        <w:t xml:space="preserve">FR-008 — Supersession management</w:t>
      </w:r>
    </w:p>
    <w:p>
      <w:pPr>
        <w:pStyle w:val="ListParagraph"/>
        <w:numPr>
          <w:ilvl w:val="0"/>
          <w:numId w:val="3"/>
        </w:numPr>
        <w:spacing w:after="60"/>
      </w:pPr>
      <w:r>
        <w:t xml:space="preserve">Relationships are kept at reference level (Reference A superseded by Reference B) and at clause level (Clause A replaced by Clause B), with the source of the mapping (for example, the QMSR final rule preamble) recorded.</w:t>
      </w:r>
    </w:p>
    <w:p>
      <w:pPr>
        <w:pStyle w:val="Heading2"/>
      </w:pPr>
      <w:r>
        <w:t xml:space="preserve">FR-009 — Source citation</w:t>
      </w:r>
    </w:p>
    <w:p>
      <w:pPr>
        <w:pStyle w:val="ListParagraph"/>
        <w:numPr>
          <w:ilvl w:val="0"/>
          <w:numId w:val="3"/>
        </w:numPr>
        <w:spacing w:after="60"/>
      </w:pPr>
      <w:r>
        <w:t xml:space="preserve">Every requirement returned by the agent includes source, citation, clause or section, version, authority level, status, and reference_id.</w:t>
      </w:r>
    </w:p>
    <w:p>
      <w:pPr>
        <w:pStyle w:val="ListParagraph"/>
        <w:numPr>
          <w:ilvl w:val="0"/>
          <w:numId w:val="3"/>
        </w:numPr>
        <w:spacing w:after="60"/>
      </w:pPr>
      <w:r>
        <w:t xml:space="preserve">Example: Source ISO 13485:2016 · Clause 7.3.6 · Authority A2 (incorporated by reference via 21 CFR 820.10) · Status current · Reference STD-ISO13485-2016 · Content class L (text not stored).</w:t>
      </w:r>
    </w:p>
    <w:p>
      <w:pPr>
        <w:pStyle w:val="Heading2"/>
      </w:pPr>
      <w:r>
        <w:t xml:space="preserve">FR-010 — Requirement lineage</w:t>
      </w:r>
    </w:p>
    <w:p>
      <w:pPr>
        <w:pStyle w:val="ListParagraph"/>
        <w:numPr>
          <w:ilvl w:val="0"/>
          <w:numId w:val="3"/>
        </w:numPr>
        <w:spacing w:after="60"/>
      </w:pPr>
      <w:r>
        <w:t xml:space="preserve">Lineage follows the RTM graph conventions: Source requirement → User Need → Design Input → Design Output → V&amp;V Protocol → Test Result → Evidence, with Hazard → Risk Control → Design Input as the parallel risk track and CAPA linked from Test Results.</w:t>
      </w:r>
    </w:p>
    <w:p>
      <w:pPr>
        <w:pStyle w:val="ListParagraph"/>
        <w:numPr>
          <w:ilvl w:val="0"/>
          <w:numId w:val="3"/>
        </w:numPr>
        <w:spacing w:after="60"/>
      </w:pPr>
      <w:r>
        <w:t xml:space="preserve">Every edge points from the artifact that, when changed, forces work on the artifact it points to.</w:t>
      </w:r>
    </w:p>
    <w:p>
      <w:pPr>
        <w:pStyle w:val="Heading2"/>
      </w:pPr>
      <w:r>
        <w:t xml:space="preserve">FR-011 — License tagging</w:t>
      </w:r>
    </w:p>
    <w:p>
      <w:pPr>
        <w:pStyle w:val="ListParagraph"/>
        <w:numPr>
          <w:ilvl w:val="0"/>
          <w:numId w:val="3"/>
        </w:numPr>
        <w:spacing w:after="60"/>
      </w:pPr>
      <w:r>
        <w:t xml:space="preserve">Every reference and unit carries its content class. Display, AI-prompt, and export functions check the class before emitting text and suppress text where §8 forbids it.</w:t>
      </w:r>
    </w:p>
    <w:p>
      <w:pPr>
        <w:pStyle w:val="Heading2"/>
      </w:pPr>
      <w:r>
        <w:t xml:space="preserve">FR-012 — Claim and citation check</w:t>
      </w:r>
    </w:p>
    <w:p>
      <w:pPr>
        <w:pStyle w:val="ListParagraph"/>
        <w:numPr>
          <w:ilvl w:val="0"/>
          <w:numId w:val="3"/>
        </w:numPr>
        <w:spacing w:after="60"/>
      </w:pPr>
      <w:r>
        <w:t xml:space="preserve">Before AI output is shown, a code check flags any mandatory-language claim ("requires", "must", "shall", "mandatory") that is not supported by an A1 or A2 citation, and any cited reference_id that does not exist in the library.</w:t>
      </w:r>
    </w:p>
    <w:p>
      <w:pPr>
        <w:pStyle w:val="ListParagraph"/>
        <w:numPr>
          <w:ilvl w:val="0"/>
          <w:numId w:val="3"/>
        </w:numPr>
        <w:spacing w:after="60"/>
      </w:pPr>
      <w:r>
        <w:t xml:space="preserve">Flagged output is corrected or shown with a visible warning. It is never shown silently.</w:t>
      </w:r>
    </w:p>
    <w:p>
      <w:pPr>
        <w:pStyle w:val="Heading2"/>
      </w:pPr>
      <w:r>
        <w:t xml:space="preserve">FR-013 — Copyright output check</w:t>
      </w:r>
    </w:p>
    <w:p>
      <w:pPr>
        <w:pStyle w:val="ListParagraph"/>
        <w:numPr>
          <w:ilvl w:val="0"/>
          <w:numId w:val="3"/>
        </w:numPr>
        <w:spacing w:after="60"/>
      </w:pPr>
      <w:r>
        <w:t xml:space="preserve">AI output is checked for long verbatim or near-verbatim passages that match Class L material, using the library's clause identifiers and, where licensed text exists under §8.3, an overlap check against it.</w:t>
      </w:r>
    </w:p>
    <w:p>
      <w:pPr>
        <w:pStyle w:val="ListParagraph"/>
        <w:numPr>
          <w:ilvl w:val="0"/>
          <w:numId w:val="3"/>
        </w:numPr>
        <w:spacing w:after="60"/>
      </w:pPr>
      <w:r>
        <w:t xml:space="preserve">Matches are removed and replaced with the clause citation.</w:t>
      </w:r>
    </w:p>
    <w:p>
      <w:pPr>
        <w:pStyle w:val="Heading1"/>
      </w:pPr>
      <w:r>
        <w:t xml:space="preserve">10. AI Agent Rules</w:t>
      </w:r>
    </w:p>
    <w:p>
      <w:pPr>
        <w:spacing w:after="120"/>
      </w:pPr>
      <w:r>
        <w:t xml:space="preserve">Rules are enforced by code checks where possible (FR-011 to FR-013). Prompt instructions support the rules; they are not the enforcement mechanism.</w:t>
      </w:r>
    </w:p>
    <w:p>
      <w:pPr>
        <w:pStyle w:val="Heading3"/>
      </w:pPr>
      <w:r>
        <w:t xml:space="preserve">Rule 1 — Authority first</w:t>
      </w:r>
    </w:p>
    <w:p>
      <w:pPr>
        <w:spacing w:after="120"/>
      </w:pPr>
      <w:r>
        <w:t xml:space="preserve">Answer from the highest applicable authority level: regulation, incorporated standard, recognized standard, FDA interpretation, guidance, compliance material, precedent, literature.</w:t>
      </w:r>
    </w:p>
    <w:p>
      <w:pPr>
        <w:pStyle w:val="Heading3"/>
      </w:pPr>
      <w:r>
        <w:t xml:space="preserve">Rule 2 — No unsupported regulatory claims</w:t>
      </w:r>
    </w:p>
    <w:p>
      <w:pPr>
        <w:spacing w:after="120"/>
      </w:pPr>
      <w:r>
        <w:t xml:space="preserve">Do not state "FDA requires X" unless an A1 or A2 source supports it (enforced by FR-012).</w:t>
      </w:r>
    </w:p>
    <w:p>
      <w:pPr>
        <w:pStyle w:val="Heading3"/>
      </w:pPr>
      <w:r>
        <w:t xml:space="preserve">Rule 3 — Guidance distinction</w:t>
      </w:r>
    </w:p>
    <w:p>
      <w:pPr>
        <w:spacing w:after="120"/>
      </w:pPr>
      <w:r>
        <w:t xml:space="preserve">For A5 sources, say "FDA recommends". Label draft guidance "draft — not for implementation".</w:t>
      </w:r>
    </w:p>
    <w:p>
      <w:pPr>
        <w:pStyle w:val="Heading3"/>
      </w:pPr>
      <w:r>
        <w:t xml:space="preserve">Rule 4 — Precedent distinction</w:t>
      </w:r>
    </w:p>
    <w:p>
      <w:pPr>
        <w:spacing w:after="120"/>
      </w:pPr>
      <w:r>
        <w:t xml:space="preserve">A cleared MMI device shows that FDA has reviewed an approach. It does not make that approach mandatory for a new device.</w:t>
      </w:r>
    </w:p>
    <w:p>
      <w:pPr>
        <w:pStyle w:val="Heading3"/>
      </w:pPr>
      <w:r>
        <w:t xml:space="preserve">Rule 5 — No invented acceptance criteria</w:t>
      </w:r>
    </w:p>
    <w:p>
      <w:pPr>
        <w:spacing w:after="120"/>
      </w:pPr>
      <w:r>
        <w:t xml:space="preserve">Never create an acceptance criterion from precedent. Label any proposal as regulatory requirement, standard-derived, guidance recommendation, scientifically justified proposal, or internal requirement. When no justified value exists, use "TBD — to be defined by team".</w:t>
      </w:r>
    </w:p>
    <w:p>
      <w:pPr>
        <w:pStyle w:val="Heading3"/>
      </w:pPr>
      <w:r>
        <w:t xml:space="preserve">Rule 6 — Human review</w:t>
      </w:r>
    </w:p>
    <w:p>
      <w:pPr>
        <w:spacing w:after="120"/>
      </w:pPr>
      <w:r>
        <w:t xml:space="preserve">Flag conflicting sources, ambiguous applicability, superseded references, missing authority, conflicting standard editions, novel regulatory claims, product-specific interpretation, and clinical claims needing expert judgment.</w:t>
      </w:r>
    </w:p>
    <w:p>
      <w:pPr>
        <w:pStyle w:val="Heading3"/>
      </w:pPr>
      <w:r>
        <w:t xml:space="preserve">Rule 7 — Copyright</w:t>
      </w:r>
    </w:p>
    <w:p>
      <w:pPr>
        <w:spacing w:after="120"/>
      </w:pPr>
      <w:r>
        <w:t xml:space="preserve">Do not reproduce or closely paraphrase copyrighted standard text, including from training data. Cite the clause identifier and use public-domain FDA interpretation (§8.2, enforced by FR-013).</w:t>
      </w:r>
    </w:p>
    <w:p>
      <w:pPr>
        <w:pStyle w:val="Heading3"/>
      </w:pPr>
      <w:r>
        <w:t xml:space="preserve">Rule 8 — Status</w:t>
      </w:r>
    </w:p>
    <w:p>
      <w:pPr>
        <w:spacing w:after="120"/>
      </w:pPr>
      <w:r>
        <w:t xml:space="preserve">Use current, effective sources. Show superseded or historical sources only for comparison, clearly labeled.</w:t>
      </w:r>
    </w:p>
    <w:p>
      <w:pPr>
        <w:pStyle w:val="Heading1"/>
      </w:pPr>
      <w:r>
        <w:t xml:space="preserve">11. Data Model</w:t>
      </w:r>
    </w:p>
    <w:p>
      <w:pPr>
        <w:pStyle w:val="Heading3"/>
      </w:pPr>
      <w:r>
        <w:t xml:space="preserve">Reference object</w:t>
      </w:r>
    </w:p>
    <w:p>
      <w:pPr>
        <w:spacing w:after="120"/>
      </w:pPr>
      <w:r>
        <w:t xml:space="preserve">reference_id, title, issuing_authority, document_type, citation, version, edition, publication_date, effective_date, replacement_date, status, jurisdiction, device_scope, pathway_scope, authority_level, </w:t>
      </w:r>
      <w:r>
        <w:rPr>
          <w:b/>
          <w:bCs/>
        </w:rPr>
        <w:t xml:space="preserve">content_class</w:t>
      </w:r>
      <w:r>
        <w:t xml:space="preserve">, </w:t>
      </w:r>
      <w:r>
        <w:rPr>
          <w:b/>
          <w:bCs/>
        </w:rPr>
        <w:t xml:space="preserve">license_record_id</w:t>
      </w:r>
      <w:r>
        <w:t xml:space="preserve">, source_location, retrieved_date, content_fingerprint, owner, review_date, review_status</w:t>
      </w:r>
    </w:p>
    <w:p>
      <w:pPr>
        <w:pStyle w:val="Heading3"/>
      </w:pPr>
      <w:r>
        <w:t xml:space="preserve">Unit (clause) object</w:t>
      </w:r>
    </w:p>
    <w:p>
      <w:pPr>
        <w:spacing w:after="120"/>
      </w:pPr>
      <w:r>
        <w:t xml:space="preserve">unit_id, reference_id, clause_identifier, public_label (from a public-domain source, per C2), </w:t>
      </w:r>
      <w:r>
        <w:rPr>
          <w:b/>
          <w:bCs/>
        </w:rPr>
        <w:t xml:space="preserve">text</w:t>
      </w:r>
      <w:r>
        <w:t xml:space="preserve"> (Class P only; empty for Class L), parent_unit_id, status</w:t>
      </w:r>
    </w:p>
    <w:p>
      <w:pPr>
        <w:pStyle w:val="Heading3"/>
      </w:pPr>
      <w:r>
        <w:t xml:space="preserve">Requirement object</w:t>
      </w:r>
    </w:p>
    <w:p>
      <w:pPr>
        <w:spacing w:after="120"/>
      </w:pPr>
      <w:r>
        <w:t xml:space="preserve">requirement_id, reference_id, unit_id, requirement_statement (Class P verbatim, or an internally authored statement for Class L per C4), requirement_type, authority_level, applicability, effective_date, status, interpretation_reference_ids, related_requirements</w:t>
      </w:r>
    </w:p>
    <w:p>
      <w:pPr>
        <w:pStyle w:val="Heading3"/>
      </w:pPr>
      <w:r>
        <w:t xml:space="preserve">License record object</w:t>
      </w:r>
    </w:p>
    <w:p>
      <w:pPr>
        <w:spacing w:after="120"/>
      </w:pPr>
      <w:r>
        <w:t xml:space="preserve">license_record_id, publisher, licensee, permitted_uses (storage, display, AI processing, export), seats, expiry_date, counsel_review_date, document_reference</w:t>
      </w:r>
    </w:p>
    <w:p>
      <w:pPr>
        <w:pStyle w:val="Heading3"/>
      </w:pPr>
      <w:r>
        <w:t xml:space="preserve">Relationship object</w:t>
      </w:r>
    </w:p>
    <w:p>
      <w:pPr>
        <w:spacing w:after="120"/>
      </w:pPr>
      <w:r>
        <w:t xml:space="preserve">source_id, target_id, relationship_type, rationale, confidence, review_status</w:t>
      </w:r>
    </w:p>
    <w:p>
      <w:pPr>
        <w:spacing w:after="120"/>
      </w:pPr>
      <w:r>
        <w:t xml:space="preserve">Relationship types: Implements, Derived from, Verifies, Validates, Triggers, Linked to, Supports, Supersedes, References, Conflicts with, Clarifies. Graph edges use the RTM conventions (Linked to, Verifies, Triggers). "Mitigates" is represented as Hazard → Risk Control (Triggers) and Risk Control → Design Input (Linked to).</w:t>
      </w:r>
    </w:p>
    <w:p>
      <w:pPr>
        <w:pStyle w:val="Heading1"/>
      </w:pPr>
      <w:r>
        <w:t xml:space="preserve">12. Troponin-Specific Knowledge Model</w:t>
      </w:r>
    </w:p>
    <w:p>
      <w:pPr>
        <w:spacing w:after="120"/>
      </w:pPr>
      <w:r>
        <w:t xml:space="preserve">The library supports these product concepts. They are scientific and technical concepts, not regulatory requirements, and the agent must keep the two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Category</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Concepts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Assay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Cardiac troponin I; cardiac troponin T; quantitative measurement; high-sensitivity assay; immunoassay; automated analyzer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Specimen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Serum; plasma; other validated specimen types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Analytical characteristics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LoB; LoD; LoQ; precision; accuracy; bias; linearity; analytical measuring interval; interference; cross-reactivity; carryover; stability; lot-to-lot variation; calibration; reference interval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Clinical concepts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Suspected acute myocardial infarction; acute coronary syndrome; clinical decision limits; reference population; sex-specific reference limits where applicable; intended-use population</w:t>
            </w:r>
          </w:p>
        </w:tc>
      </w:tr>
    </w:tbl>
    <w:p>
      <w:pPr>
        <w:pStyle w:val="Heading1"/>
      </w:pPr>
      <w:r>
        <w:t xml:space="preserve">13. Reference Ingestion Workflow</w:t>
      </w:r>
    </w:p>
    <w:p>
      <w:pPr>
        <w:pStyle w:val="ListParagraph"/>
        <w:numPr>
          <w:ilvl w:val="0"/>
          <w:numId w:val="5"/>
        </w:numPr>
        <w:spacing w:after="60"/>
      </w:pPr>
      <w:r>
        <w:t xml:space="preserve">Discover the source.</w:t>
      </w:r>
    </w:p>
    <w:p>
      <w:pPr>
        <w:pStyle w:val="ListParagraph"/>
        <w:numPr>
          <w:ilvl w:val="0"/>
          <w:numId w:val="5"/>
        </w:numPr>
        <w:spacing w:after="60"/>
      </w:pPr>
      <w:r>
        <w:t xml:space="preserve">Verify the issuing authority.</w:t>
      </w:r>
    </w:p>
    <w:p>
      <w:pPr>
        <w:pStyle w:val="ListParagraph"/>
        <w:numPr>
          <w:ilvl w:val="0"/>
          <w:numId w:val="5"/>
        </w:numPr>
        <w:spacing w:after="60"/>
      </w:pPr>
      <w:r>
        <w:rPr>
          <w:b/>
          <w:bCs/>
        </w:rPr>
        <w:t xml:space="preserve">Determine the content class and license position (§8).</w:t>
      </w:r>
      <w:r>
        <w:t xml:space="preserve"> Stop if a Class L source has no license on file for the intended use.</w:t>
      </w:r>
    </w:p>
    <w:p>
      <w:pPr>
        <w:pStyle w:val="ListParagraph"/>
        <w:numPr>
          <w:ilvl w:val="0"/>
          <w:numId w:val="5"/>
        </w:numPr>
        <w:spacing w:after="60"/>
      </w:pPr>
      <w:r>
        <w:t xml:space="preserve">Acquire a controlled copy, or record metadata only for Class L and R sources.</w:t>
      </w:r>
    </w:p>
    <w:p>
      <w:pPr>
        <w:pStyle w:val="ListParagraph"/>
        <w:numPr>
          <w:ilvl w:val="0"/>
          <w:numId w:val="5"/>
        </w:numPr>
        <w:spacing w:after="60"/>
      </w:pPr>
      <w:r>
        <w:t xml:space="preserve">Assign a reference_id.</w:t>
      </w:r>
    </w:p>
    <w:p>
      <w:pPr>
        <w:pStyle w:val="ListParagraph"/>
        <w:numPr>
          <w:ilvl w:val="0"/>
          <w:numId w:val="5"/>
        </w:numPr>
        <w:spacing w:after="60"/>
      </w:pPr>
      <w:r>
        <w:t xml:space="preserve">Extract metadata.</w:t>
      </w:r>
    </w:p>
    <w:p>
      <w:pPr>
        <w:pStyle w:val="ListParagraph"/>
        <w:numPr>
          <w:ilvl w:val="0"/>
          <w:numId w:val="5"/>
        </w:numPr>
        <w:spacing w:after="60"/>
      </w:pPr>
      <w:r>
        <w:t xml:space="preserve">Determine version and status.</w:t>
      </w:r>
    </w:p>
    <w:p>
      <w:pPr>
        <w:pStyle w:val="ListParagraph"/>
        <w:numPr>
          <w:ilvl w:val="0"/>
          <w:numId w:val="5"/>
        </w:numPr>
        <w:spacing w:after="60"/>
      </w:pPr>
      <w:r>
        <w:t xml:space="preserve">Split into citable units.</w:t>
      </w:r>
    </w:p>
    <w:p>
      <w:pPr>
        <w:pStyle w:val="ListParagraph"/>
        <w:numPr>
          <w:ilvl w:val="0"/>
          <w:numId w:val="5"/>
        </w:numPr>
        <w:spacing w:after="60"/>
      </w:pPr>
      <w:r>
        <w:t xml:space="preserve">Extract candidate requirements (Class P text; Class L identifiers only).</w:t>
      </w:r>
    </w:p>
    <w:p>
      <w:pPr>
        <w:pStyle w:val="ListParagraph"/>
        <w:numPr>
          <w:ilvl w:val="0"/>
          <w:numId w:val="5"/>
        </w:numPr>
        <w:spacing w:after="60"/>
      </w:pPr>
      <w:r>
        <w:t xml:space="preserve">Classify authority level.</w:t>
      </w:r>
    </w:p>
    <w:p>
      <w:pPr>
        <w:pStyle w:val="ListParagraph"/>
        <w:numPr>
          <w:ilvl w:val="0"/>
          <w:numId w:val="5"/>
        </w:numPr>
        <w:spacing w:after="60"/>
      </w:pPr>
      <w:r>
        <w:t xml:space="preserve">Map applicability.</w:t>
      </w:r>
    </w:p>
    <w:p>
      <w:pPr>
        <w:pStyle w:val="ListParagraph"/>
        <w:numPr>
          <w:ilvl w:val="0"/>
          <w:numId w:val="5"/>
        </w:numPr>
        <w:spacing w:after="60"/>
      </w:pPr>
      <w:r>
        <w:t xml:space="preserve">Human review.</w:t>
      </w:r>
    </w:p>
    <w:p>
      <w:pPr>
        <w:pStyle w:val="ListParagraph"/>
        <w:numPr>
          <w:ilvl w:val="0"/>
          <w:numId w:val="5"/>
        </w:numPr>
        <w:spacing w:after="60"/>
      </w:pPr>
      <w:r>
        <w:t xml:space="preserve">Publish to the agent knowledge base.</w:t>
      </w:r>
    </w:p>
    <w:p>
      <w:pPr>
        <w:spacing w:after="120"/>
      </w:pPr>
      <w:r>
        <w:t xml:space="preserve">No unreviewed source is treated as authoritative.</w:t>
      </w:r>
    </w:p>
    <w:p>
      <w:pPr>
        <w:pStyle w:val="Heading1"/>
      </w:pPr>
      <w:r>
        <w:t xml:space="preserve">14. Regulatory Change Management</w:t>
      </w:r>
    </w:p>
    <w:p>
      <w:pPr>
        <w:spacing w:after="120"/>
      </w:pPr>
      <w:r>
        <w:t xml:space="preserve">The system monitors 21 CFR, the QMSR, FDA guidance, FDA compliance programs and FAQs, FDA-recognized standards (recognition list and editions, via metadata), and relevant FDA databases. The existing update check covers eCFR and the pinned FDA sources.</w:t>
      </w:r>
    </w:p>
    <w:p>
      <w:pPr>
        <w:spacing w:after="120"/>
      </w:pPr>
      <w:r>
        <w:t xml:space="preserve">When a source changes, the system shall:</w:t>
      </w:r>
    </w:p>
    <w:p>
      <w:pPr>
        <w:pStyle w:val="ListParagraph"/>
        <w:numPr>
          <w:ilvl w:val="0"/>
          <w:numId w:val="6"/>
        </w:numPr>
        <w:spacing w:after="60"/>
      </w:pPr>
      <w:r>
        <w:t xml:space="preserve">Create the new version and preserve the previous version.</w:t>
      </w:r>
    </w:p>
    <w:p>
      <w:pPr>
        <w:pStyle w:val="ListParagraph"/>
        <w:numPr>
          <w:ilvl w:val="0"/>
          <w:numId w:val="6"/>
        </w:numPr>
        <w:spacing w:after="60"/>
      </w:pPr>
      <w:r>
        <w:t xml:space="preserve">Show a paragraph-level difference for pinned text.</w:t>
      </w:r>
    </w:p>
    <w:p>
      <w:pPr>
        <w:pStyle w:val="ListParagraph"/>
        <w:numPr>
          <w:ilvl w:val="0"/>
          <w:numId w:val="6"/>
        </w:numPr>
        <w:spacing w:after="60"/>
      </w:pPr>
      <w:r>
        <w:t xml:space="preserve">Flag sources whose content changed even where pinned excerpts did not.</w:t>
      </w:r>
    </w:p>
    <w:p>
      <w:pPr>
        <w:pStyle w:val="ListParagraph"/>
        <w:numPr>
          <w:ilvl w:val="0"/>
          <w:numId w:val="6"/>
        </w:numPr>
        <w:spacing w:after="60"/>
      </w:pPr>
      <w:r>
        <w:t xml:space="preserve">Identify affected requirements and RTM entries.</w:t>
      </w:r>
    </w:p>
    <w:p>
      <w:pPr>
        <w:pStyle w:val="ListParagraph"/>
        <w:numPr>
          <w:ilvl w:val="0"/>
          <w:numId w:val="6"/>
        </w:numPr>
        <w:spacing w:after="60"/>
      </w:pPr>
      <w:r>
        <w:t xml:space="preserve">Flag potentially obsolete mappings.</w:t>
      </w:r>
    </w:p>
    <w:p>
      <w:pPr>
        <w:pStyle w:val="ListParagraph"/>
        <w:numPr>
          <w:ilvl w:val="0"/>
          <w:numId w:val="6"/>
        </w:numPr>
        <w:spacing w:after="60"/>
      </w:pPr>
      <w:r>
        <w:t xml:space="preserve">Notify the designated regulatory owner.</w:t>
      </w:r>
    </w:p>
    <w:p>
      <w:pPr>
        <w:pStyle w:val="ListParagraph"/>
        <w:numPr>
          <w:ilvl w:val="0"/>
          <w:numId w:val="6"/>
        </w:numPr>
        <w:spacing w:after="60"/>
      </w:pPr>
      <w:r>
        <w:t xml:space="preserve">Require a named reviewer's approval before production status changes, and log the approval.</w:t>
      </w:r>
    </w:p>
    <w:p>
      <w:pPr>
        <w:spacing w:after="120"/>
      </w:pPr>
      <w:r>
        <w:t xml:space="preserve">For Class L standards, monitoring covers metadata only: new editions, recognition changes, and withdrawals.</w:t>
      </w:r>
    </w:p>
    <w:p>
      <w:pPr>
        <w:pStyle w:val="Heading1"/>
      </w:pPr>
      <w:r>
        <w:t xml:space="preserve">15. Search and Grounding</w:t>
      </w:r>
    </w:p>
    <w:p>
      <w:pPr>
        <w:spacing w:after="120"/>
      </w:pPr>
      <w:r>
        <w:t xml:space="preserve">Two separate mechanisms, so AI grounding stays reproducible:</w:t>
      </w:r>
    </w:p>
    <w:p>
      <w:pPr>
        <w:pStyle w:val="ListParagraph"/>
        <w:numPr>
          <w:ilvl w:val="0"/>
          <w:numId w:val="3"/>
        </w:numPr>
        <w:spacing w:after="60"/>
      </w:pPr>
      <w:r>
        <w:rPr>
          <w:b/>
          <w:bCs/>
        </w:rPr>
        <w:t xml:space="preserve">AI grounding (deterministic).</w:t>
      </w:r>
      <w:r>
        <w:t xml:space="preserve"> The sections sent to the AI for a task are selected by fixed rules (team, device definition, node type, task). The same inputs always produce the same grounding, which keeps citations auditable.</w:t>
      </w:r>
    </w:p>
    <w:p>
      <w:pPr>
        <w:pStyle w:val="ListParagraph"/>
        <w:numPr>
          <w:ilvl w:val="0"/>
          <w:numId w:val="3"/>
        </w:numPr>
        <w:spacing w:after="60"/>
      </w:pPr>
      <w:r>
        <w:rPr>
          <w:b/>
          <w:bCs/>
        </w:rPr>
        <w:t xml:space="preserve">User search (metadata and keyword).</w:t>
      </w:r>
      <w:r>
        <w:t xml:space="preserve"> Users can search the library with filters (authority level, status, content class, applicability, requirement type) and keyword search over Class P text and all metadata. Results always show authority level and status.</w:t>
      </w:r>
    </w:p>
    <w:p>
      <w:pPr>
        <w:spacing w:after="120"/>
      </w:pPr>
      <w:r>
        <w:t xml:space="preserve">Supported queries include: current requirements related to analytical sensitivity for this assay; requirements that reference ISO 13485 clause 7.3 (by identifier); RTM requirements affected by a regulatory change; FDA guidance supporting the LoD requirement; mandatory versus guidance requirements; evidence supporting each requirement.</w:t>
      </w:r>
    </w:p>
    <w:p>
      <w:pPr>
        <w:pStyle w:val="Heading1"/>
      </w:pPr>
      <w:r>
        <w:t xml:space="preserve">16. RTM Output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Field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Required</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Notes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Requirement 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P verbatim or an internal statement; never Class L text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citation, version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L sources cited by identifier only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Authority level and status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Applicability rationale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Against the verified device definition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 linkage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applicable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Hazard and risk control IDs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Design input / design output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method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May reference a recognized standard by identifier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Validation method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applicable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Acceptance criteria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justified value with its basis per Rule 5, or "TBD — to be defined by team". Never invented.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Evidence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 result or record ID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reviewer, last reviewed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1"/>
      </w:pPr>
      <w:r>
        <w:t xml:space="preserve">17. Quality Gates</w:t>
      </w:r>
    </w:p>
    <w:p>
      <w:pPr>
        <w:spacing w:after="120"/>
      </w:pPr>
      <w:r>
        <w:t xml:space="preserve">A reference enters the production knowledge base only when:</w:t>
      </w:r>
    </w:p>
    <w:p>
      <w:pPr>
        <w:pStyle w:val="ListParagraph"/>
        <w:numPr>
          <w:ilvl w:val="0"/>
          <w:numId w:val="3"/>
        </w:numPr>
        <w:spacing w:after="60"/>
      </w:pPr>
      <w:r>
        <w:rPr>
          <w:b/>
          <w:bCs/>
        </w:rPr>
        <w:t xml:space="preserve">Gate 0 — License cleared.</w:t>
      </w:r>
      <w:r>
        <w:t xml:space="preserve"> Content class assigned; Class L text absent or covered by a verified license (§8.3); Class O terms recorded.</w:t>
      </w:r>
    </w:p>
    <w:p>
      <w:pPr>
        <w:pStyle w:val="ListParagraph"/>
        <w:numPr>
          <w:ilvl w:val="0"/>
          <w:numId w:val="3"/>
        </w:numPr>
        <w:spacing w:after="60"/>
      </w:pPr>
      <w:r>
        <w:rPr>
          <w:b/>
          <w:bCs/>
        </w:rPr>
        <w:t xml:space="preserve">Gate 1 — Authority verified.</w:t>
      </w:r>
      <w:r>
        <w:t xml:space="preserve"> The issuing organization is verified.</w:t>
      </w:r>
    </w:p>
    <w:p>
      <w:pPr>
        <w:pStyle w:val="ListParagraph"/>
        <w:numPr>
          <w:ilvl w:val="0"/>
          <w:numId w:val="3"/>
        </w:numPr>
        <w:spacing w:after="60"/>
      </w:pPr>
      <w:r>
        <w:rPr>
          <w:b/>
          <w:bCs/>
        </w:rPr>
        <w:t xml:space="preserve">Gate 2 — Version verified.</w:t>
      </w:r>
      <w:r>
        <w:t xml:space="preserve"> Version and status are established.</w:t>
      </w:r>
    </w:p>
    <w:p>
      <w:pPr>
        <w:pStyle w:val="ListParagraph"/>
        <w:numPr>
          <w:ilvl w:val="0"/>
          <w:numId w:val="3"/>
        </w:numPr>
        <w:spacing w:after="60"/>
      </w:pPr>
      <w:r>
        <w:rPr>
          <w:b/>
          <w:bCs/>
        </w:rPr>
        <w:t xml:space="preserve">Gate 3 — Applicability assessed.</w:t>
      </w:r>
      <w:r>
        <w:t xml:space="preserve"> The source is relevant to the device, or classified as general reference material.</w:t>
      </w:r>
    </w:p>
    <w:p>
      <w:pPr>
        <w:pStyle w:val="ListParagraph"/>
        <w:numPr>
          <w:ilvl w:val="0"/>
          <w:numId w:val="3"/>
        </w:numPr>
        <w:spacing w:after="60"/>
      </w:pPr>
      <w:r>
        <w:rPr>
          <w:b/>
          <w:bCs/>
        </w:rPr>
        <w:t xml:space="preserve">Gate 4 — Extraction reviewed.</w:t>
      </w:r>
      <w:r>
        <w:t xml:space="preserve"> Extracted requirements are reviewed for context.</w:t>
      </w:r>
    </w:p>
    <w:p>
      <w:pPr>
        <w:pStyle w:val="ListParagraph"/>
        <w:numPr>
          <w:ilvl w:val="0"/>
          <w:numId w:val="3"/>
        </w:numPr>
        <w:spacing w:after="60"/>
      </w:pPr>
      <w:r>
        <w:rPr>
          <w:b/>
          <w:bCs/>
        </w:rPr>
        <w:t xml:space="preserve">Gate 5 — Citation verified.</w:t>
      </w:r>
      <w:r>
        <w:t xml:space="preserve"> Each requirement traces back to its source unit.</w:t>
      </w:r>
    </w:p>
    <w:p>
      <w:pPr>
        <w:pStyle w:val="ListParagraph"/>
        <w:numPr>
          <w:ilvl w:val="0"/>
          <w:numId w:val="3"/>
        </w:numPr>
        <w:spacing w:after="60"/>
      </w:pPr>
      <w:r>
        <w:rPr>
          <w:b/>
          <w:bCs/>
        </w:rPr>
        <w:t xml:space="preserve">Gate 6 — Classification verified.</w:t>
      </w:r>
      <w:r>
        <w:t xml:space="preserve"> Mandatory, interpretation, guidance, enforcement, and precedent are correctly distinguished.</w:t>
      </w:r>
    </w:p>
    <w:p>
      <w:pPr>
        <w:pStyle w:val="Heading1"/>
      </w:pPr>
      <w:r>
        <w:t xml:space="preserve">18. Security and Governance</w:t>
      </w:r>
    </w:p>
    <w:p>
      <w:pPr>
        <w:spacing w:after="120"/>
      </w:pPr>
      <w:r>
        <w:t xml:space="preserve">The system provides role-based access, reference ownership, version history, audit trail, change history, approval workflow, source integrity controls (content fingerprints), controlled deletion, backup and recovery, and read-only access to approved references. Approved references are immutable; changes create a new version.</w:t>
      </w:r>
    </w:p>
    <w:p>
      <w:pPr>
        <w:pStyle w:val="Heading1"/>
      </w:pPr>
      <w:r>
        <w:t xml:space="preserve">19. Electronic Records and Data Governance</w:t>
      </w:r>
    </w:p>
    <w:p>
      <w:pPr>
        <w:pStyle w:val="Heading2"/>
      </w:pPr>
      <w:r>
        <w:t xml:space="preserve">19.1 21 CFR Part 11</w:t>
      </w:r>
    </w:p>
    <w:p>
      <w:pPr>
        <w:spacing w:after="120"/>
      </w:pPr>
      <w:r>
        <w:t xml:space="preserve">If RTMs, approvals, or reference-library records produced by this tool are used as QMS records, the tool is subject to 21 CFR Part 11. Before that use, the organization must validate the tool and implement Part 11 controls: secure, time-stamped audit trails; unique user identification; electronic signatures with the signer's name, date, time, and meaning; and record retention.</w:t>
      </w:r>
    </w:p>
    <w:p>
      <w:pPr>
        <w:pStyle w:val="Heading2"/>
      </w:pPr>
      <w:r>
        <w:t xml:space="preserve">19.2 AI-provider data governance</w:t>
      </w:r>
    </w:p>
    <w:p>
      <w:pPr>
        <w:spacing w:after="120"/>
      </w:pPr>
      <w:r>
        <w:t xml:space="preserve">Only content permitted by its class may be sent to an external AI model: Class P freely; Class I only where the organization's data-classification policy and the provider's terms allow; Class L and R never (identifiers only). The provider, model, and data-retention terms are recorded and reviewed.</w:t>
      </w:r>
    </w:p>
    <w:p>
      <w:pPr>
        <w:pStyle w:val="Heading1"/>
      </w:pPr>
      <w:r>
        <w:t xml:space="preserve">20.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Metric</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Definition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Target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Coverage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 of items on a Regulatory Affairs-approved applicability checklist (for MMI, 862.1215, Class II, 510(k)) that are represented in the library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for the MVP checklist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Traceability</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 of RTM requirements with verified source citations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Currency</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 of production references confirmed current at the last check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Authority accuracy</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 of references whose authority level is confirmed on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Citation accuracy</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 of AI citations that resolve to the correct unit (FR-012), measured on a fixed evaluation question set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98%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Unsupported mandatory claims</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Mandatory-language claims lacking A1/A2 support, per FR-012 on the evaluation set and in production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Copyright compliance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L text stored without a license record; AI outputs flagged by FR-013 and shown uncorrected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bl>
    <w:p>
      <w:pPr>
        <w:pStyle w:val="Heading1"/>
      </w:pPr>
      <w:r>
        <w:t xml:space="preserve">21. Release Scope</w:t>
      </w:r>
    </w:p>
    <w:p>
      <w:pPr>
        <w:pStyle w:val="Heading2"/>
      </w:pPr>
      <w:r>
        <w:t xml:space="preserve">21.1 MVP</w:t>
      </w:r>
    </w:p>
    <w:p>
      <w:pPr>
        <w:spacing w:after="120"/>
      </w:pPr>
      <w:r>
        <w:t xml:space="preserve">The MVP builds on the current state (§5) and covers only the critical sources in §6.2. Items marked Done were delivered on 2026-09-23; see §5 for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MVP item</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Status</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Pin 21 CFR 862.1215 as verbatim text (the only new regulatory text)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Metadata records for ISO 13485:2016, ISO 14971:2019, CLSI EP17-A2, CLSI EP05-A3, CLSI EP07 3rd Edition (no text)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 license records and controlled-copy locations still to be entered</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Tag every pinned section with authority level, content class, and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Enforce §8 in the display, prompt, and export functions (FR-011)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for prompts and display; exports contain no regulatory text</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 and citation check (FR-012) and copyright output check (FR-013)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(heuristic)</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Verified device definition (§6.1); demo dataset corrected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 Regulatory Affairs approval to be recorded (D2)</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Evaluation question set covering AC-001 to AC-009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Partial — automated harness against the live model outstanding</w:t>
            </w:r>
          </w:p>
        </w:tc>
      </w:tr>
    </w:tbl>
    <w:p>
      <w:pPr>
        <w:pStyle w:val="Heading2"/>
      </w:pPr>
      <w:r>
        <w:t xml:space="preserve">21.2 Phase 2</w:t>
      </w:r>
    </w:p>
    <w:p>
      <w:pPr>
        <w:pStyle w:val="ListParagraph"/>
        <w:numPr>
          <w:ilvl w:val="0"/>
          <w:numId w:val="3"/>
        </w:numPr>
        <w:spacing w:after="60"/>
      </w:pPr>
      <w:r>
        <w:t xml:space="preserve">21 CFR 809.10 labeling, together with labeling artifacts in the RTM.</w:t>
      </w:r>
    </w:p>
    <w:p>
      <w:pPr>
        <w:pStyle w:val="ListParagraph"/>
        <w:numPr>
          <w:ilvl w:val="0"/>
          <w:numId w:val="3"/>
        </w:numPr>
        <w:spacing w:after="60"/>
      </w:pPr>
      <w:r>
        <w:t xml:space="preserve">Requirement objects and applicability mapping (FR-004, FR-006).</w:t>
      </w:r>
    </w:p>
    <w:p>
      <w:pPr>
        <w:pStyle w:val="ListParagraph"/>
        <w:numPr>
          <w:ilvl w:val="0"/>
          <w:numId w:val="3"/>
        </w:numPr>
        <w:spacing w:after="60"/>
      </w:pPr>
      <w:r>
        <w:t xml:space="preserve">Clause-level supersession links (FR-008).</w:t>
      </w:r>
    </w:p>
    <w:p>
      <w:pPr>
        <w:pStyle w:val="ListParagraph"/>
        <w:numPr>
          <w:ilvl w:val="0"/>
          <w:numId w:val="3"/>
        </w:numPr>
        <w:spacing w:after="60"/>
      </w:pPr>
      <w:r>
        <w:t xml:space="preserve">FDA precedent records for cleared MMI devices, with clearance number and date.</w:t>
      </w:r>
    </w:p>
    <w:p>
      <w:pPr>
        <w:pStyle w:val="ListParagraph"/>
        <w:numPr>
          <w:ilvl w:val="0"/>
          <w:numId w:val="3"/>
        </w:numPr>
        <w:spacing w:after="60"/>
      </w:pPr>
      <w:r>
        <w:t xml:space="preserve">Change notifications and identification of affected RTM entries (§14).</w:t>
      </w:r>
    </w:p>
    <w:p>
      <w:pPr>
        <w:pStyle w:val="ListParagraph"/>
        <w:numPr>
          <w:ilvl w:val="0"/>
          <w:numId w:val="3"/>
        </w:numPr>
        <w:spacing w:after="60"/>
      </w:pPr>
      <w:r>
        <w:t xml:space="preserve">User search (§15) and RTM export with the full §16 field set.</w:t>
      </w:r>
    </w:p>
    <w:p>
      <w:pPr>
        <w:pStyle w:val="ListParagraph"/>
        <w:numPr>
          <w:ilvl w:val="0"/>
          <w:numId w:val="3"/>
        </w:numPr>
        <w:spacing w:after="60"/>
      </w:pPr>
      <w:r>
        <w:t xml:space="preserve">Part 11 controls, if the tool's records are to be used as QMS records.</w:t>
      </w:r>
    </w:p>
    <w:p>
      <w:pPr>
        <w:pStyle w:val="Heading2"/>
      </w:pPr>
      <w:r>
        <w:t xml:space="preserve">21.3 Phase 3</w:t>
      </w:r>
    </w:p>
    <w:p>
      <w:pPr>
        <w:pStyle w:val="ListParagraph"/>
        <w:numPr>
          <w:ilvl w:val="0"/>
          <w:numId w:val="3"/>
        </w:numPr>
        <w:spacing w:after="60"/>
      </w:pPr>
      <w:r>
        <w:t xml:space="preserve">Remaining deferred sources in §6.3 as the RTM scope grows.</w:t>
      </w:r>
    </w:p>
    <w:p>
      <w:pPr>
        <w:pStyle w:val="ListParagraph"/>
        <w:numPr>
          <w:ilvl w:val="0"/>
          <w:numId w:val="3"/>
        </w:numPr>
        <w:spacing w:after="60"/>
      </w:pPr>
      <w:r>
        <w:t xml:space="preserve">Additional IVD biomarkers, oncology assays, companion diagnostics.</w:t>
      </w:r>
    </w:p>
    <w:p>
      <w:pPr>
        <w:pStyle w:val="ListParagraph"/>
        <w:numPr>
          <w:ilvl w:val="0"/>
          <w:numId w:val="3"/>
        </w:numPr>
        <w:spacing w:after="60"/>
      </w:pPr>
      <w:r>
        <w:t xml:space="preserve">Software as a medical device.</w:t>
      </w:r>
    </w:p>
    <w:p>
      <w:pPr>
        <w:pStyle w:val="ListParagraph"/>
        <w:numPr>
          <w:ilvl w:val="0"/>
          <w:numId w:val="3"/>
        </w:numPr>
        <w:spacing w:after="60"/>
      </w:pPr>
      <w:r>
        <w:t xml:space="preserve">International frameworks.</w:t>
      </w:r>
    </w:p>
    <w:p>
      <w:pPr>
        <w:pStyle w:val="ListParagraph"/>
        <w:numPr>
          <w:ilvl w:val="0"/>
          <w:numId w:val="3"/>
        </w:numPr>
        <w:spacing w:after="60"/>
      </w:pPr>
      <w:r>
        <w:t xml:space="preserve">Automated gap analysis and submission traceability.</w:t>
      </w:r>
    </w:p>
    <w:p>
      <w:pPr>
        <w:pStyle w:val="ListParagraph"/>
        <w:numPr>
          <w:ilvl w:val="0"/>
          <w:numId w:val="3"/>
        </w:numPr>
        <w:spacing w:after="60"/>
      </w:pPr>
      <w:r>
        <w:t xml:space="preserve">Licensed full-text integration, only if the §8.3 exception path is approved.</w:t>
      </w:r>
    </w:p>
    <w:p>
      <w:pPr>
        <w:pStyle w:val="Heading1"/>
      </w:pPr>
      <w:r>
        <w:t xml:space="preserve">22. Acceptance Criteria</w:t>
      </w:r>
    </w:p>
    <w:p>
      <w:pPr>
        <w:spacing w:after="120"/>
      </w:pPr>
      <w:r>
        <w:t xml:space="preserve">The MVP is accepted when the agent passes these on the evaluation question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466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Question</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Pass condition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me the current QMSR requirement applicable to this activity.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Correct source, citation, version, authority level, and status; ISO clause cited by identifier only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this FDA guidance a mandatory requirement?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Distinguishes guidance (A5) and draft guidance from binding regulation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Why is this troponin requirement in the RTM?</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Gives source → applicability (against §6.1) → design-input rationale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evidence verifies this requirement?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Follows the requirement → V&amp;V protocol → test result relationship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this requirement still current?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Reports status and effective dates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changed?</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Identifies the superseded and current source relationship, with a difference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Did FDA require this acceptance criterion?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Distinguishes requirement from precedent, recommendation, and internal criterion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Quote ISO 13485 clause 7.3.6 for me.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Declines to reproduce the text; gives the clause identifier, FDA's public-domain interpretation, and the read-only access route; FR-013 finds no standard text in the output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AC-009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is this device's classification and pathway?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Returns the verified device definition (§6.1) with sources; flags if unverified</w:t>
            </w:r>
          </w:p>
        </w:tc>
      </w:tr>
    </w:tbl>
    <w:p>
      <w:pPr>
        <w:pStyle w:val="Heading1"/>
      </w:pPr>
      <w:r>
        <w:t xml:space="preserve">23. Example End-to-End Record</w:t>
      </w:r>
    </w:p>
    <w:p>
      <w:pPr>
        <w:spacing w:after="120"/>
      </w:pPr>
      <w:r>
        <w:t xml:space="preserve">This example shows how a process obligation and a product requirement are traced separately. Copyrighted standards appear by identifier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Element</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Record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obligation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 13485:2016 clause 7.3.6 (A2, via 21 CFR 820.10) — FDA element "Design and Development Verification" (CP 7382.850). Status current. Content class L: identifier only. This obligates verification that design outputs meet design inputs; it does not set the performance level.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Product requirement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TRP-003 (A9, internal): the assay's detection capability supports the intended use at the clinical decision limit. Basis: intended use; User Need UN-001; hazard H-001 (false-negative 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Design input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DI-001: LoD specification. Value: justified proposal from the clinical decision limit and risk analysis, or "TBD — to be defined by team". Not presented as an FDA requirement.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H-001 false-negative result → RC-001 analytical sensitivity control → DI-001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standard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CLSI EP17 (A3, FDA-recognized; recognition number and edition recorded). Content class L: identifier only.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VP-001 detection-capability study → TR-001A result (evidence record VTR-003 Rev 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Precedent (optional)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510(k) summaries for cleared MMI devices (A7), dated. Supporting only.</w:t>
            </w:r>
          </w:p>
        </w:tc>
      </w:tr>
    </w:tbl>
    <w:p>
      <w:pPr>
        <w:spacing w:after="120"/>
      </w:pPr>
      <w:r>
        <w:rPr>
          <w:b/>
          <w:bCs/>
        </w:rPr>
        <w:t xml:space="preserve">Expected agent explanation:</w:t>
      </w:r>
      <w:r>
        <w:t xml:space="preserve"> TRP-003 derives from the intended use and hazard H-001. It is implemented by DI-001, whose verification is required by the design-verification obligation (ISO 13485 clause 7.3.6 via 21 CFR 820.10) and performed with the method in CLSI EP17. The acceptance criterion is an internal, justified value, not an FDA requirement. No standard text is reproduced.</w:t>
      </w:r>
    </w:p>
    <w:p>
      <w:pPr>
        <w:pStyle w:val="Heading1"/>
      </w:pPr>
      <w:r>
        <w:t xml:space="preserve">24. Product Principle</w:t>
      </w:r>
    </w:p>
    <w:p>
      <w:pPr>
        <w:spacing w:after="120"/>
      </w:pPr>
      <w:r>
        <w:rPr>
          <w:b/>
          <w:bCs/>
        </w:rPr>
        <w:t xml:space="preserve">Every regulatory claim made by the AI must be traceable to a controlled source; every source must carry an explicit authority level, status, and content class; and no copyrighted text is used beyond what its license permits.</w:t>
      </w:r>
    </w:p>
    <w:p>
      <w:pPr>
        <w:spacing w:after="120"/>
      </w:pPr>
      <w:r>
        <w:t xml:space="preserve">The system optimizes for auditability and regulatory defensibility, not retrieval volume. The target state is: Source → Requirement → Applicability → Interpretation → Product Requirement → Risk → Verification/Validation → Evidence, with no unexplained gaps.</w:t>
      </w:r>
    </w:p>
    <w:p>
      <w:pPr>
        <w:pStyle w:val="Heading1"/>
      </w:pPr>
      <w:r>
        <w:t xml:space="preserve">25.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160"/>
        <w:gridCol w:w="25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w:t>
            </w:r>
          </w:p>
        </w:tc>
        <w:tc>
          <w:tcPr>
            <w:tcW w:type="dxa" w:w="6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Decision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Owner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D1</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Counsel review of §8, including standards licenses held and their permitted uses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Legal / Regulatory Affairs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D2</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 the device definition in §6.1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Affairs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D3</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Whether the tool's records will be QMS records (Part 11 scope)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Quality Assurance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D4</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 provider and data-retention terms for Class I content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 Quality Assurance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D5</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 the MVP applicability checklist used for the coverage metric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Regulatory Affairs</w:t>
            </w:r>
          </w:p>
        </w:tc>
      </w:tr>
    </w:tbl>
    <w:p>
      <w:pPr>
        <w:pStyle w:val="Heading1"/>
      </w:pPr>
      <w:r>
        <w:t xml:space="preserve">26. Legal Review</w:t>
      </w:r>
    </w:p>
    <w:p>
      <w:pPr>
        <w:spacing w:after="120"/>
      </w:pPr>
      <w:r>
        <w:t xml:space="preserve">This PRD describes a copyright-compliance approach but is not legal advice. Before release, counsel should confirm: the public-domain status of each U.S. government source used (and any third-party material within it); the terms of each standards license held; the terms of the ANSI read-only portal; the terms of any IMDRF or other openly available documents; and the AI provider's terms for processing each content class.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PRD — Regulatory Reference Library · Revision 2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Regulatory Reference Library (Revision 2)</dc:title>
  <dc:creator>Regulatory Affairs</dc:creator>
  <cp:lastModifiedBy>Un-named</cp:lastModifiedBy>
  <cp:revision>1</cp:revision>
  <dcterms:created xsi:type="dcterms:W3CDTF">2026-09-23T21:13:01.410Z</dcterms:created>
  <dcterms:modified xsi:type="dcterms:W3CDTF">2026-09-23T21:13:01.416Z</dcterms:modified>
</cp:coreProperties>
</file>

<file path=docProps/custom.xml><?xml version="1.0" encoding="utf-8"?>
<Properties xmlns="http://schemas.openxmlformats.org/officeDocument/2006/custom-properties" xmlns:vt="http://schemas.openxmlformats.org/officeDocument/2006/docPropsVTypes"/>
</file>