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DC501" w14:textId="2D297DC4" w:rsidR="00AF479D" w:rsidRDefault="00000000">
      <w:pPr>
        <w:spacing w:after="60"/>
      </w:pPr>
      <w:r>
        <w:rPr>
          <w:b/>
          <w:bCs/>
          <w:color w:val="1F4E79"/>
          <w:sz w:val="28"/>
          <w:szCs w:val="28"/>
        </w:rPr>
        <w:t>Product Requirements Document: Requirements Traceability Matrix (RTM) Knowledge Graph Agent v1.0</w:t>
      </w:r>
    </w:p>
    <w:p w14:paraId="0F3B872A" w14:textId="77777777" w:rsidR="00AF479D" w:rsidRDefault="00000000">
      <w:pPr>
        <w:spacing w:after="240"/>
      </w:pPr>
      <w:r>
        <w:rPr>
          <w:b/>
          <w:bCs/>
        </w:rPr>
        <w:t xml:space="preserve">Status: </w:t>
      </w:r>
      <w:r>
        <w:t xml:space="preserve">Implementation Complete / MVP   |   </w:t>
      </w:r>
      <w:r>
        <w:rPr>
          <w:b/>
          <w:bCs/>
        </w:rPr>
        <w:t xml:space="preserve">Domain: </w:t>
      </w:r>
      <w:r>
        <w:t>FDA-Regulated Medical Device Development</w:t>
      </w:r>
    </w:p>
    <w:p w14:paraId="79BD1AE4" w14:textId="77777777" w:rsidR="00AF479D" w:rsidRDefault="00000000">
      <w:pPr>
        <w:pStyle w:val="Heading1"/>
        <w:pBdr>
          <w:bottom w:val="single" w:sz="6" w:space="4" w:color="2E75B6"/>
        </w:pBdr>
      </w:pPr>
      <w:r>
        <w:t>1. Executive Summary</w:t>
      </w:r>
    </w:p>
    <w:p w14:paraId="66BD855A" w14:textId="2A187969" w:rsidR="00AF479D" w:rsidRDefault="00000000">
      <w:pPr>
        <w:spacing w:after="140"/>
      </w:pPr>
      <w:r>
        <w:t>RTM Knowledge Graph Agent is a multi-agent AI system that traces the downstream impact of any design change across every FDA submission artifact in real time. A single missed traceability link can trigger a deficiency letter and add months to market entry; this system replaces manual spreadsheet tracing with an automated pipeline that traverses a knowledge graph, scores risk, routes team-specific notifications, and maintains an auditable decision log, so a regulatory team can complete in minutes a review that currently takes one to two days.</w:t>
      </w:r>
    </w:p>
    <w:p w14:paraId="0FB1B686" w14:textId="77777777" w:rsidR="00AF479D" w:rsidRDefault="00000000">
      <w:pPr>
        <w:pStyle w:val="Heading1"/>
        <w:pBdr>
          <w:bottom w:val="single" w:sz="6" w:space="4" w:color="2E75B6"/>
        </w:pBdr>
      </w:pPr>
      <w:r>
        <w:t>2. Problem Statement</w:t>
      </w:r>
    </w:p>
    <w:p w14:paraId="2FB3EA94" w14:textId="18DA8BCA" w:rsidR="00AF479D" w:rsidRDefault="00000000">
      <w:pPr>
        <w:spacing w:after="140"/>
      </w:pPr>
      <w:r>
        <w:t xml:space="preserve">When a medical device company changes a design, every downstream regulatory document linked to that change must be identified, reviewed, and potentially re-filed with the FDA. Today, a regulatory engineer traces connections manually in a spreadsheet or eQMS, with limited automation to ask what breaks if a given input changes, no mechanism to notify the right teams, and no score that quantifies how complete the submission is. A single overlooked link between a design specification and its verification test can trigger a </w:t>
      </w:r>
      <w:bookmarkStart w:id="0" w:name="OLE_LINK1"/>
      <w:r>
        <w:t xml:space="preserve">deficiency letter or request for additional information </w:t>
      </w:r>
      <w:bookmarkEnd w:id="0"/>
      <w:r>
        <w:t>and delay product launch by several months or more. At most mid-sized device companies, maintaining the Requirements Traceability Matrix is a full-time coordination job split across regulatory, quality, and engineering with no shared tooling. This system addresses all those gaps in a single workflow.</w:t>
      </w:r>
    </w:p>
    <w:p w14:paraId="243AF693" w14:textId="77777777" w:rsidR="00AF479D" w:rsidRDefault="00000000">
      <w:pPr>
        <w:pStyle w:val="Heading1"/>
        <w:pBdr>
          <w:bottom w:val="single" w:sz="6" w:space="4" w:color="2E75B6"/>
        </w:pBdr>
      </w:pPr>
      <w:r>
        <w:t>3. User Personas</w:t>
      </w:r>
    </w:p>
    <w:p w14:paraId="051231D5" w14:textId="77777777" w:rsidR="00AF479D" w:rsidRDefault="00000000">
      <w:pPr>
        <w:pStyle w:val="ListParagraph"/>
        <w:numPr>
          <w:ilvl w:val="0"/>
          <w:numId w:val="2"/>
        </w:numPr>
        <w:spacing w:after="80"/>
      </w:pPr>
      <w:r>
        <w:rPr>
          <w:b/>
          <w:bCs/>
        </w:rPr>
        <w:t xml:space="preserve">Regulatory Affairs Engineer: </w:t>
      </w:r>
      <w:r>
        <w:t>Needs to identify every submission artifact affected by a design change before deciding whether to proceed or escalate.</w:t>
      </w:r>
    </w:p>
    <w:p w14:paraId="260E7659" w14:textId="77777777" w:rsidR="00AF479D" w:rsidRDefault="00000000">
      <w:pPr>
        <w:pStyle w:val="ListParagraph"/>
        <w:numPr>
          <w:ilvl w:val="0"/>
          <w:numId w:val="2"/>
        </w:numPr>
        <w:spacing w:after="80"/>
      </w:pPr>
      <w:r>
        <w:rPr>
          <w:b/>
          <w:bCs/>
        </w:rPr>
        <w:t xml:space="preserve">Quality Systems Manager: </w:t>
      </w:r>
      <w:r>
        <w:t>Needs a scored, auditable readout of RTM completeness against FDA design control requirements without manually auditing each node.</w:t>
      </w:r>
    </w:p>
    <w:p w14:paraId="13DEF021" w14:textId="77777777" w:rsidR="00AF479D" w:rsidRDefault="00000000">
      <w:pPr>
        <w:pStyle w:val="ListParagraph"/>
        <w:numPr>
          <w:ilvl w:val="0"/>
          <w:numId w:val="2"/>
        </w:numPr>
        <w:spacing w:after="80"/>
      </w:pPr>
      <w:r>
        <w:rPr>
          <w:b/>
          <w:bCs/>
        </w:rPr>
        <w:t xml:space="preserve">R&amp;D / Bioinformatics Lead: </w:t>
      </w:r>
      <w:r>
        <w:t>Needs a team-specific summary of which outputs or test protocols are downstream of a proposed algorithm change, framed in terms of their regulatory obligations.</w:t>
      </w:r>
    </w:p>
    <w:p w14:paraId="6AAED383" w14:textId="77777777" w:rsidR="00AF479D" w:rsidRDefault="00AF479D">
      <w:pPr>
        <w:spacing w:after="60"/>
      </w:pPr>
    </w:p>
    <w:p w14:paraId="4FF54B44" w14:textId="77777777" w:rsidR="00AF479D" w:rsidRDefault="00000000">
      <w:pPr>
        <w:pStyle w:val="Heading1"/>
        <w:pBdr>
          <w:bottom w:val="single" w:sz="6" w:space="4" w:color="2E75B6"/>
        </w:pBdr>
      </w:pPr>
      <w:r>
        <w:t>4. Functional Requirements</w:t>
      </w:r>
    </w:p>
    <w:p w14:paraId="10554127" w14:textId="77777777" w:rsidR="00AF479D" w:rsidRDefault="00000000">
      <w:pPr>
        <w:pStyle w:val="Heading2"/>
      </w:pPr>
      <w:r>
        <w:t>4.1 Knowledge Graph Construction</w:t>
      </w:r>
    </w:p>
    <w:p w14:paraId="31B139A7" w14:textId="77777777" w:rsidR="00AF479D" w:rsidRDefault="00000000">
      <w:pPr>
        <w:spacing w:after="140"/>
      </w:pPr>
      <w:r>
        <w:t>The system must represent the full chain of regulatory artifacts as a navigable graph where each node is a typed artifact (user need, design input, test protocol, CAPA record, etc.) and each edge carries a labeled relationship — for example, "links to," "triggers," or "verifies." Edges always point from cause to effect, so the analysis flows in one direction and the results are unambiguous. The demo dataset is a cardiac diagnostic device PMA submission with 15 artifacts and 15 connections.</w:t>
      </w:r>
    </w:p>
    <w:p w14:paraId="76FD9641" w14:textId="77777777" w:rsidR="00AF479D" w:rsidRDefault="00000000">
      <w:pPr>
        <w:pStyle w:val="Heading2"/>
      </w:pPr>
      <w:r>
        <w:lastRenderedPageBreak/>
        <w:t>4.2 Change Impact Analysis</w:t>
      </w:r>
    </w:p>
    <w:p w14:paraId="797A2C9A" w14:textId="77777777" w:rsidR="00AF479D" w:rsidRDefault="00000000">
      <w:pPr>
        <w:spacing w:after="140"/>
      </w:pPr>
      <w:r>
        <w:t>The system must automatically identify every downstream artifact affected when a node changes, classify the required regulatory action for each (V&amp;V re-validation, quality review, PMA supplement filing, etc.), and flag direct predecessors separately for bidirectional traceability review. A task that takes one to two days of manual tracing completes in seconds, with a structured output that names every affected artifact and its required action in the exact framing FDA auditors use.</w:t>
      </w:r>
    </w:p>
    <w:p w14:paraId="5F0E0CD9" w14:textId="77777777" w:rsidR="00AF479D" w:rsidRDefault="00000000">
      <w:pPr>
        <w:pStyle w:val="Heading2"/>
      </w:pPr>
      <w:r>
        <w:t>4.3 Risk Scoring and Human Escalation</w:t>
      </w:r>
    </w:p>
    <w:p w14:paraId="390FD93E" w14:textId="77777777" w:rsidR="00AF479D" w:rsidRDefault="00000000">
      <w:pPr>
        <w:spacing w:after="140"/>
      </w:pPr>
      <w:r>
        <w:t>The system must compute a risk level (critical, high, or low) as a pure function of two auditable inputs — the reviewer-attested change type and the graph topology — with no model opinion anywhere in the decision path. A deterministic ceiling sets the upper bound from topology: V&amp;V invalidations produce critical; CAPA triggers or hazard/risk control nodes produce high; everything else is low. The reviewer attests the change type at submit time via a selectbox (functional, corrective/CAPA, documentation-only, or no change); a non-substantive type (documentation-only or no change) downgrades the result to low even when V&amp;V evidence sits downstream, while any substantive type leaves the ceiling intact. The same two facts always produce the same level, so an auditor can challenge a named human on it. The AI is then handed the already-decided level and writes only the plain-English rationale and immediate actions — it never decides, downgrades, or escalates the rating, and there is no post-call clamp because the model never produces a level to clamp. When critical, the pipeline pauses for mandatory named-reviewer approval before continuing.</w:t>
      </w:r>
    </w:p>
    <w:p w14:paraId="300DF564" w14:textId="77777777" w:rsidR="00AF479D" w:rsidRDefault="00000000">
      <w:pPr>
        <w:pStyle w:val="Heading2"/>
      </w:pPr>
      <w:r>
        <w:t>4.4 SME Team Notifications</w:t>
      </w:r>
    </w:p>
    <w:p w14:paraId="228BDD50" w14:textId="77777777" w:rsidR="00AF479D" w:rsidRDefault="00000000">
      <w:pPr>
        <w:spacing w:after="140"/>
      </w:pPr>
      <w:r>
        <w:t>The system must route impacted artifacts to the correct teams (Bioinformatics, R&amp;D, Pathology, Quality/RA) using a fixed routing table and generate a tailored AI-written briefing for each team framed around their specific regulatory obligations. Team-specific briefings that name the artifact and state the obligation convert a generic alert into an actionable work item, reducing the coordination overhead that currently falls on the regulatory operations team.</w:t>
      </w:r>
    </w:p>
    <w:p w14:paraId="6AB613B0" w14:textId="77777777" w:rsidR="00AF479D" w:rsidRDefault="00000000">
      <w:pPr>
        <w:pStyle w:val="Heading2"/>
      </w:pPr>
      <w:r>
        <w:t>4.5 Document Ingestion</w:t>
      </w:r>
    </w:p>
    <w:p w14:paraId="661E27AB" w14:textId="77777777" w:rsidR="00AF479D" w:rsidRDefault="00000000">
      <w:pPr>
        <w:spacing w:after="140"/>
      </w:pPr>
      <w:r>
        <w:t>The system must extract structured RTM nodes and relationships from uploaded regulatory documents, validate the schema, reject any edge that would introduce a cycle, and stage all results for human review before committing anything to the live graph. This lets the graph be seeded from existing submission documents rather than rebuilt from scratch, while the cycle check and approval gate prevent AI extraction errors from entering the authoritative record.</w:t>
      </w:r>
    </w:p>
    <w:p w14:paraId="2DE4B811" w14:textId="77777777" w:rsidR="00AF479D" w:rsidRDefault="00000000">
      <w:pPr>
        <w:pStyle w:val="Heading2"/>
      </w:pPr>
      <w:r>
        <w:t>4.6 Completeness Audit</w:t>
      </w:r>
    </w:p>
    <w:p w14:paraId="3A764210" w14:textId="77777777" w:rsidR="00AF479D" w:rsidRDefault="00000000">
      <w:pPr>
        <w:spacing w:after="140"/>
      </w:pPr>
      <w:r>
        <w:t>The system must produce a 0 to 100 completeness score that quantifies how many required FDA design control linkages are present, with a breakdown by deficiency category: design outputs with no verification test, user needs with no design input, orphaned nodes, and artifacts in an invalidated or pending-review state. A score of 83% with four missing V&amp;V links gives a team a concrete action list; the default answer at most device companies is that it looks okay.</w:t>
      </w:r>
    </w:p>
    <w:p w14:paraId="65D12A24" w14:textId="77777777" w:rsidR="00AF479D" w:rsidRDefault="00000000">
      <w:pPr>
        <w:pStyle w:val="Heading2"/>
      </w:pPr>
      <w:r>
        <w:t>4.7 Dashboard Query Bar</w:t>
      </w:r>
    </w:p>
    <w:p w14:paraId="244A881D" w14:textId="77777777" w:rsidR="00AF479D" w:rsidRDefault="00000000">
      <w:pPr>
        <w:spacing w:after="140"/>
      </w:pPr>
      <w:r>
        <w:t>The system must provide a plain-language question-and-answer interface that lets any user query the current graph state and recent analyses without navigating to a specific page, with a one-click handoff to the Change Impact workflow when the answer calls for deeper analysis.</w:t>
      </w:r>
    </w:p>
    <w:p w14:paraId="5A547CA0" w14:textId="77777777" w:rsidR="00AF479D" w:rsidRDefault="00000000">
      <w:pPr>
        <w:pStyle w:val="Heading1"/>
        <w:pBdr>
          <w:bottom w:val="single" w:sz="6" w:space="4" w:color="2E75B6"/>
        </w:pBdr>
      </w:pPr>
      <w:r>
        <w:lastRenderedPageBreak/>
        <w:t>5. System Guardrails</w:t>
      </w:r>
    </w:p>
    <w:p w14:paraId="763DF9E3" w14:textId="77777777" w:rsidR="00AF479D" w:rsidRDefault="00000000">
      <w:pPr>
        <w:pStyle w:val="ListParagraph"/>
        <w:numPr>
          <w:ilvl w:val="0"/>
          <w:numId w:val="2"/>
        </w:numPr>
        <w:spacing w:after="80"/>
      </w:pPr>
      <w:r>
        <w:rPr>
          <w:b/>
          <w:bCs/>
        </w:rPr>
        <w:t xml:space="preserve">Deterministic routing: </w:t>
      </w:r>
      <w:r>
        <w:t>The risk level is a pure function of the reviewer-attested change type and the graph topology, computed entirely in code before any AI call; the deterministic ceiling from topology is downgraded to low only when the reviewer attests a non-substantive change type. The model never produces, downgrades, or escalates the level — it explains the already-decided level only — so routing to the human escalation gate is bounded by auditable facts, not model reasoning.</w:t>
      </w:r>
    </w:p>
    <w:p w14:paraId="42A86BA8" w14:textId="77777777" w:rsidR="00AF479D" w:rsidRDefault="00000000">
      <w:pPr>
        <w:pStyle w:val="ListParagraph"/>
        <w:numPr>
          <w:ilvl w:val="0"/>
          <w:numId w:val="2"/>
        </w:numPr>
        <w:spacing w:after="80"/>
      </w:pPr>
      <w:r>
        <w:rPr>
          <w:b/>
          <w:bCs/>
        </w:rPr>
        <w:t xml:space="preserve">Human approval required for critical changes: </w:t>
      </w:r>
      <w:r>
        <w:t>The pipeline pauses, saves its state, and resumes only after a named reviewer submits an explicit decision. The graph is never modified as a result of the AI analysis alone.</w:t>
      </w:r>
    </w:p>
    <w:p w14:paraId="5236DEFA" w14:textId="77777777" w:rsidR="00AF479D" w:rsidRDefault="00000000">
      <w:pPr>
        <w:pStyle w:val="ListParagraph"/>
        <w:numPr>
          <w:ilvl w:val="0"/>
          <w:numId w:val="2"/>
        </w:numPr>
        <w:spacing w:after="80"/>
      </w:pPr>
      <w:r>
        <w:rPr>
          <w:b/>
          <w:bCs/>
        </w:rPr>
        <w:t xml:space="preserve">Graph integrity (no circular dependencies): </w:t>
      </w:r>
      <w:r>
        <w:t>Every proposed connection is checked to make sure it does not create a loop before it is accepted. AI agents read the graph but never write to it; only a human approval action in the UI can modify the graph, and each change is logged with a timestamp and reviewer attribution.</w:t>
      </w:r>
    </w:p>
    <w:p w14:paraId="1E14F995" w14:textId="77777777" w:rsidR="00AF479D" w:rsidRDefault="00AF479D">
      <w:pPr>
        <w:spacing w:after="60"/>
      </w:pPr>
    </w:p>
    <w:p w14:paraId="25B79E06" w14:textId="77777777" w:rsidR="00AF479D" w:rsidRDefault="00000000">
      <w:pPr>
        <w:pStyle w:val="Heading1"/>
        <w:pBdr>
          <w:bottom w:val="single" w:sz="6" w:space="4" w:color="2E75B6"/>
        </w:pBdr>
      </w:pPr>
      <w:r>
        <w:t>6. 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AF479D" w14:paraId="335A9CD0"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361E4E" w14:textId="77777777" w:rsidR="00AF479D" w:rsidRDefault="00000000">
            <w:r>
              <w:rPr>
                <w:b/>
                <w:bCs/>
                <w:sz w:val="20"/>
                <w:szCs w:val="20"/>
              </w:rPr>
              <w:t>Layer</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7354CD0" w14:textId="77777777" w:rsidR="00AF479D" w:rsidRDefault="00000000">
            <w:r>
              <w:rPr>
                <w:b/>
                <w:bCs/>
                <w:sz w:val="20"/>
                <w:szCs w:val="20"/>
              </w:rPr>
              <w:t>Technology</w:t>
            </w:r>
          </w:p>
        </w:tc>
        <w:tc>
          <w:tcPr>
            <w:tcW w:w="5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D07D10" w14:textId="77777777" w:rsidR="00AF479D" w:rsidRDefault="00000000">
            <w:r>
              <w:rPr>
                <w:b/>
                <w:bCs/>
                <w:sz w:val="20"/>
                <w:szCs w:val="20"/>
              </w:rPr>
              <w:t>What It Does</w:t>
            </w:r>
          </w:p>
        </w:tc>
      </w:tr>
      <w:tr w:rsidR="00AF479D" w14:paraId="004E43BE"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EB4C6" w14:textId="77777777" w:rsidR="00AF479D" w:rsidRDefault="00000000">
            <w:r>
              <w:rPr>
                <w:sz w:val="20"/>
                <w:szCs w:val="20"/>
              </w:rPr>
              <w:t>UI</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A9E846" w14:textId="77777777" w:rsidR="00AF479D" w:rsidRDefault="00000000">
            <w:r>
              <w:rPr>
                <w:sz w:val="20"/>
                <w:szCs w:val="20"/>
              </w:rPr>
              <w:t>Streamlit + vis.js</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07ED2" w14:textId="77777777" w:rsidR="00AF479D" w:rsidRDefault="00000000">
            <w:r>
              <w:rPr>
                <w:sz w:val="20"/>
                <w:szCs w:val="20"/>
              </w:rPr>
              <w:t>Five-page web dashboard: main overview, change impact analysis, interactive graph viewer, document upload and review, and audit log.</w:t>
            </w:r>
          </w:p>
        </w:tc>
      </w:tr>
      <w:tr w:rsidR="00AF479D" w14:paraId="0F8920C5"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97077" w14:textId="77777777" w:rsidR="00AF479D" w:rsidRDefault="00000000">
            <w:r>
              <w:rPr>
                <w:sz w:val="20"/>
                <w:szCs w:val="20"/>
              </w:rPr>
              <w:t>Orchestrator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AC7806" w14:textId="77777777" w:rsidR="00AF479D" w:rsidRDefault="00000000">
            <w:r>
              <w:rPr>
                <w:sz w:val="20"/>
                <w:szCs w:val="20"/>
              </w:rPr>
              <w:t>LangGraph + MemorySaver</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54A88" w14:textId="77777777" w:rsidR="00AF479D" w:rsidRDefault="00000000">
            <w:r>
              <w:rPr>
                <w:sz w:val="20"/>
                <w:szCs w:val="20"/>
              </w:rPr>
              <w:t>Coordinates both AI sub-agents, manages the pause and resume flow for human escalation, and persists thread state across Streamlit page reruns.</w:t>
            </w:r>
          </w:p>
        </w:tc>
      </w:tr>
      <w:tr w:rsidR="00AF479D" w14:paraId="60F11279"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BAE57C" w14:textId="77777777" w:rsidR="00AF479D" w:rsidRDefault="00000000">
            <w:r>
              <w:rPr>
                <w:sz w:val="20"/>
                <w:szCs w:val="20"/>
              </w:rPr>
              <w:t>Impact Agent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27734" w14:textId="77777777" w:rsidR="00AF479D" w:rsidRDefault="00000000">
            <w:r>
              <w:rPr>
                <w:sz w:val="20"/>
                <w:szCs w:val="20"/>
              </w:rPr>
              <w:t>LangGraph + NetworkX</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3BF5C" w14:textId="77777777" w:rsidR="00AF479D" w:rsidRDefault="00000000">
            <w:r>
              <w:rPr>
                <w:sz w:val="20"/>
                <w:szCs w:val="20"/>
              </w:rPr>
              <w:t>Walks the graph outward from the changed node, classifies each affected artifact by its required regulatory action, and returns a structured impact report.</w:t>
            </w:r>
          </w:p>
        </w:tc>
      </w:tr>
      <w:tr w:rsidR="00AF479D" w14:paraId="28E8818C"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E94EF" w14:textId="77777777" w:rsidR="00AF479D" w:rsidRDefault="00000000">
            <w:r>
              <w:rPr>
                <w:sz w:val="20"/>
                <w:szCs w:val="20"/>
              </w:rPr>
              <w:t>SME Router Agent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45AA9" w14:textId="77777777" w:rsidR="00AF479D" w:rsidRDefault="00000000">
            <w:r>
              <w:rPr>
                <w:sz w:val="20"/>
                <w:szCs w:val="20"/>
              </w:rPr>
              <w:t>LangGraph + OpenAI</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6C3F5" w14:textId="77777777" w:rsidR="00AF479D" w:rsidRDefault="00000000">
            <w:r>
              <w:rPr>
                <w:sz w:val="20"/>
                <w:szCs w:val="20"/>
              </w:rPr>
              <w:t>Maps affected artifacts to responsible teams via a fixed routing table and generates a tailored AI briefing per team.</w:t>
            </w:r>
          </w:p>
        </w:tc>
      </w:tr>
      <w:tr w:rsidR="00AF479D" w14:paraId="10598DAF"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E8EC7" w14:textId="77777777" w:rsidR="00AF479D" w:rsidRDefault="00000000">
            <w:r>
              <w:rPr>
                <w:sz w:val="20"/>
                <w:szCs w:val="20"/>
              </w:rPr>
              <w:t>Knowledge Graph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86DF6" w14:textId="77777777" w:rsidR="00AF479D" w:rsidRDefault="00000000">
            <w:r>
              <w:rPr>
                <w:sz w:val="20"/>
                <w:szCs w:val="20"/>
              </w:rPr>
              <w:t>NetworkX DiGraph</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F785E" w14:textId="77777777" w:rsidR="00AF479D" w:rsidRDefault="00000000">
            <w:r>
              <w:rPr>
                <w:sz w:val="20"/>
                <w:szCs w:val="20"/>
              </w:rPr>
              <w:t>Stores all RTM artifacts and relationships; provides completeness scoring, gap detection, and cycle-checking for the extraction guard.</w:t>
            </w:r>
          </w:p>
        </w:tc>
      </w:tr>
      <w:tr w:rsidR="00AF479D" w14:paraId="2D030F4B"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D3CC1" w14:textId="77777777" w:rsidR="00AF479D" w:rsidRDefault="00000000">
            <w:r>
              <w:rPr>
                <w:sz w:val="20"/>
                <w:szCs w:val="20"/>
              </w:rPr>
              <w:t>Document Extraction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308B35" w14:textId="77777777" w:rsidR="00AF479D" w:rsidRDefault="00000000">
            <w:r>
              <w:rPr>
                <w:sz w:val="20"/>
                <w:szCs w:val="20"/>
              </w:rPr>
              <w:t>LangChain + OpenAI + Pydantic</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95AF5" w14:textId="77777777" w:rsidR="00AF479D" w:rsidRDefault="00000000">
            <w:r>
              <w:rPr>
                <w:sz w:val="20"/>
                <w:szCs w:val="20"/>
              </w:rPr>
              <w:t>Extracts structured artifact and relationship data from uploaded documents, validates schema, and checks for cycles before staging for review.</w:t>
            </w:r>
          </w:p>
        </w:tc>
      </w:tr>
      <w:tr w:rsidR="00AF479D" w14:paraId="669FFB2C"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6E831D" w14:textId="77777777" w:rsidR="00AF479D" w:rsidRDefault="00000000">
            <w:r>
              <w:rPr>
                <w:sz w:val="20"/>
                <w:szCs w:val="20"/>
              </w:rPr>
              <w:t>Regulatory Reference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A8EBB1" w14:textId="77777777" w:rsidR="00AF479D" w:rsidRDefault="00000000">
            <w:r>
              <w:rPr>
                <w:sz w:val="20"/>
                <w:szCs w:val="20"/>
              </w:rPr>
              <w:t>eCFR API + local cache</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6BE51" w14:textId="77777777" w:rsidR="00AF479D" w:rsidRDefault="00000000">
            <w:r>
              <w:rPr>
                <w:sz w:val="20"/>
                <w:szCs w:val="20"/>
              </w:rPr>
              <w:t>Fetches verbatim 21 CFR Part 820 text with a seven-day local cache; falls back to stored text if the API is unavailable.</w:t>
            </w:r>
          </w:p>
        </w:tc>
      </w:tr>
      <w:tr w:rsidR="00AF479D" w14:paraId="68EC795C"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3A758" w14:textId="77777777" w:rsidR="00AF479D" w:rsidRDefault="00000000">
            <w:r>
              <w:rPr>
                <w:sz w:val="20"/>
                <w:szCs w:val="20"/>
              </w:rPr>
              <w:t>Data Validation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7A513" w14:textId="77777777" w:rsidR="00AF479D" w:rsidRDefault="00000000">
            <w:r>
              <w:rPr>
                <w:sz w:val="20"/>
                <w:szCs w:val="20"/>
              </w:rPr>
              <w:t>Pydantic v2</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49607" w14:textId="77777777" w:rsidR="00AF479D" w:rsidRDefault="00000000">
            <w:r>
              <w:rPr>
                <w:sz w:val="20"/>
                <w:szCs w:val="20"/>
              </w:rPr>
              <w:t>Enforces strict schemas on all inter-agent data: impact reports, risk explanations, extraction results, and agent state.</w:t>
            </w:r>
          </w:p>
        </w:tc>
      </w:tr>
    </w:tbl>
    <w:p w14:paraId="52F8B110" w14:textId="77777777" w:rsidR="00AF479D" w:rsidRDefault="00AF479D">
      <w:pPr>
        <w:spacing w:after="60"/>
      </w:pPr>
    </w:p>
    <w:p w14:paraId="29AD8935" w14:textId="77777777" w:rsidR="00AF479D" w:rsidRDefault="00000000">
      <w:pPr>
        <w:pStyle w:val="Heading1"/>
        <w:pBdr>
          <w:bottom w:val="single" w:sz="6" w:space="4" w:color="2E75B6"/>
        </w:pBdr>
      </w:pPr>
      <w:r>
        <w:lastRenderedPageBreak/>
        <w:t>7. What This Project Demonstrates</w:t>
      </w:r>
    </w:p>
    <w:p w14:paraId="12E14007" w14:textId="77777777" w:rsidR="00AF479D" w:rsidRDefault="00000000">
      <w:pPr>
        <w:pStyle w:val="ListParagraph"/>
        <w:numPr>
          <w:ilvl w:val="0"/>
          <w:numId w:val="2"/>
        </w:numPr>
        <w:spacing w:after="80"/>
      </w:pPr>
      <w:r>
        <w:rPr>
          <w:b/>
          <w:bCs/>
        </w:rPr>
        <w:t xml:space="preserve">AI safety and trust boundaries: </w:t>
      </w:r>
      <w:r>
        <w:t>Consequential decisions (risk escalation, graph mutation) are reserved for deterministic logic and human approval; AI handles explanation only. This is the design pattern required for regulated environments.</w:t>
      </w:r>
    </w:p>
    <w:p w14:paraId="66620989" w14:textId="77777777" w:rsidR="00AF479D" w:rsidRDefault="00000000">
      <w:pPr>
        <w:pStyle w:val="ListParagraph"/>
        <w:numPr>
          <w:ilvl w:val="0"/>
          <w:numId w:val="2"/>
        </w:numPr>
        <w:spacing w:after="80"/>
      </w:pPr>
      <w:r>
        <w:rPr>
          <w:b/>
          <w:bCs/>
        </w:rPr>
        <w:t xml:space="preserve">Cross-functional communication through tooling: </w:t>
      </w:r>
      <w:r>
        <w:t>Built team-specific briefings that translate a graph traversal result into actionable language for four different expert audiences, which is structurally the same challenge as translating research findings into stakeholder-ready communications.</w:t>
      </w:r>
    </w:p>
    <w:p w14:paraId="5A14AC90" w14:textId="77777777" w:rsidR="00AF479D" w:rsidRDefault="00000000">
      <w:pPr>
        <w:pStyle w:val="ListParagraph"/>
        <w:numPr>
          <w:ilvl w:val="0"/>
          <w:numId w:val="2"/>
        </w:numPr>
        <w:spacing w:after="80"/>
      </w:pPr>
      <w:r>
        <w:rPr>
          <w:b/>
          <w:bCs/>
        </w:rPr>
        <w:t xml:space="preserve">Domain knowledge applied to system design: </w:t>
      </w:r>
      <w:r>
        <w:t>The graph schema, risk thresholds, and completeness criteria are grounded in actual FDA 21 CFR Part 820 design control requirements. Encoding them correctly required understanding the regulatory logic, not just the engineering.</w:t>
      </w:r>
    </w:p>
    <w:p w14:paraId="662D0619" w14:textId="77777777" w:rsidR="00AF479D" w:rsidRDefault="00000000">
      <w:pPr>
        <w:pStyle w:val="ListParagraph"/>
        <w:numPr>
          <w:ilvl w:val="0"/>
          <w:numId w:val="2"/>
        </w:numPr>
        <w:spacing w:after="80"/>
      </w:pPr>
      <w:r>
        <w:rPr>
          <w:b/>
          <w:bCs/>
        </w:rPr>
        <w:t xml:space="preserve">Audit-ready workflow design: </w:t>
      </w:r>
      <w:r>
        <w:t>Every state change is logged, every escalation is attributed to a named reviewer, and the graph is never modified without human sign-off, reflecting the mindset needed to build tools inside regulated, high-stakes environments.</w:t>
      </w:r>
    </w:p>
    <w:p w14:paraId="684FDB99" w14:textId="77777777" w:rsidR="00AF479D" w:rsidRDefault="00AF479D">
      <w:pPr>
        <w:spacing w:after="60"/>
      </w:pPr>
    </w:p>
    <w:p w14:paraId="5AA879B6" w14:textId="77777777" w:rsidR="00AF479D" w:rsidRDefault="00000000">
      <w:pPr>
        <w:pStyle w:val="Heading1"/>
        <w:pBdr>
          <w:bottom w:val="single" w:sz="6" w:space="4" w:color="2E75B6"/>
        </w:pBdr>
      </w:pPr>
      <w:r>
        <w:t>8. Future Roadmap</w:t>
      </w:r>
    </w:p>
    <w:p w14:paraId="33F48FAB" w14:textId="3FB220BB" w:rsidR="00AF479D" w:rsidRDefault="00000000" w:rsidP="00AA5F5C">
      <w:pPr>
        <w:pStyle w:val="ListParagraph"/>
        <w:numPr>
          <w:ilvl w:val="0"/>
          <w:numId w:val="2"/>
        </w:numPr>
        <w:spacing w:after="80"/>
      </w:pPr>
      <w:r>
        <w:rPr>
          <w:b/>
          <w:bCs/>
        </w:rPr>
        <w:t xml:space="preserve">Automatic Regulatory Monitoring: </w:t>
      </w:r>
      <w:r>
        <w:t>A scheduled agent that watches for amendments to referenced 21 CFR Part 820 sections and automatically runs a new impact analysis when a relevant rule changes.</w:t>
      </w:r>
    </w:p>
    <w:p w14:paraId="33F48FAC" w14:textId="3FB220BC" w:rsidR="00AF479D" w:rsidRDefault="00000000" w:rsidP="00AA5F5C">
      <w:pPr>
        <w:pStyle w:val="ListParagraph"/>
        <w:numPr>
          <w:ilvl w:val="0"/>
          <w:numId w:val="2"/>
        </w:numPr>
        <w:spacing w:after="80"/>
      </w:pPr>
      <w:r>
        <w:rPr>
          <w:b/>
          <w:bCs/>
        </w:rPr>
        <w:t xml:space="preserve">Verification-Gap Forecasting &amp; Submission-Readiness Scoring: </w:t>
      </w:r>
      <w:r>
        <w:t>A predictive layer that ranks open V&amp;V loops by their likelihood of becoming a submission blocker, using historical closure patterns to forecast which Design Inputs and User Needs are most at risk of an audit finding before a 510(k)/PMA filing. Surfaces a single readiness score with the critical-path gaps a TPM must close first.</w:t>
      </w:r>
    </w:p>
    <w:p w14:paraId="33F48FAE" w14:textId="3FB220BE" w:rsidR="00AF479D" w:rsidRDefault="00000000" w:rsidP="00AA5F5C">
      <w:pPr>
        <w:pStyle w:val="ListParagraph"/>
        <w:numPr>
          <w:ilvl w:val="0"/>
          <w:numId w:val="2"/>
        </w:numPr>
        <w:spacing w:after="80"/>
      </w:pPr>
      <w:r>
        <w:rPr>
          <w:b/>
          <w:bCs/>
        </w:rPr>
        <w:t xml:space="preserve">SME Workload Routing &amp; Acknowledgment SLAs: </w:t>
      </w:r>
      <w:r>
        <w:t>Upgrades the SME Router from one-shot briefing generation to a closed-loop coordination layer that tracks per-team acknowledgment, enforces response SLAs, and auto-escalates unaddressed obligations — mirroring the contractor-network and partner-operations cadence a Research Operations hire owns day to day.</w:t>
      </w:r>
    </w:p>
    <w:sectPr w:rsidR="00AF479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F575F" w14:textId="77777777" w:rsidR="00BE7406" w:rsidRDefault="00BE7406">
      <w:r>
        <w:separator/>
      </w:r>
    </w:p>
  </w:endnote>
  <w:endnote w:type="continuationSeparator" w:id="0">
    <w:p w14:paraId="276E3AED" w14:textId="77777777" w:rsidR="00BE7406" w:rsidRDefault="00BE7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8A22" w14:textId="77777777" w:rsidR="00AF479D" w:rsidRDefault="00000000">
    <w:pPr>
      <w:pBdr>
        <w:top w:val="single" w:sz="4" w:space="2"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A3D6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A3D6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13311" w14:textId="77777777" w:rsidR="00BE7406" w:rsidRDefault="00BE7406">
      <w:r>
        <w:separator/>
      </w:r>
    </w:p>
  </w:footnote>
  <w:footnote w:type="continuationSeparator" w:id="0">
    <w:p w14:paraId="31709BEC" w14:textId="77777777" w:rsidR="00BE7406" w:rsidRDefault="00BE7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E2F89" w14:textId="52606867" w:rsidR="00AF479D" w:rsidRDefault="00000000">
    <w:pPr>
      <w:pBdr>
        <w:bottom w:val="single" w:sz="4" w:space="2" w:color="2E75B6"/>
      </w:pBdr>
    </w:pPr>
    <w:r>
      <w:rPr>
        <w:color w:val="888888"/>
        <w:sz w:val="18"/>
        <w:szCs w:val="18"/>
      </w:rPr>
      <w:t>RTM Knowledge</w:t>
    </w:r>
    <w:r w:rsidR="00A564B7">
      <w:rPr>
        <w:color w:val="888888"/>
        <w:sz w:val="18"/>
        <w:szCs w:val="18"/>
      </w:rPr>
      <w:t xml:space="preserve"> </w:t>
    </w:r>
    <w:r>
      <w:rPr>
        <w:color w:val="888888"/>
        <w:sz w:val="18"/>
        <w:szCs w:val="18"/>
      </w:rPr>
      <w:t xml:space="preserve">Graph Agent </w:t>
    </w:r>
    <w:r w:rsidR="00A564B7">
      <w:rPr>
        <w:color w:val="888888"/>
        <w:sz w:val="18"/>
        <w:szCs w:val="18"/>
      </w:rPr>
      <w:t>-</w:t>
    </w:r>
    <w:r>
      <w:rPr>
        <w:color w:val="888888"/>
        <w:sz w:val="18"/>
        <w:szCs w:val="18"/>
      </w:rPr>
      <w:t xml:space="preserve">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561C6"/>
    <w:multiLevelType w:val="hybridMultilevel"/>
    <w:tmpl w:val="650A9570"/>
    <w:lvl w:ilvl="0" w:tplc="83D2A454">
      <w:start w:val="1"/>
      <w:numFmt w:val="bullet"/>
      <w:lvlText w:val="•"/>
      <w:lvlJc w:val="left"/>
      <w:pPr>
        <w:ind w:left="720" w:hanging="360"/>
      </w:pPr>
    </w:lvl>
    <w:lvl w:ilvl="1" w:tplc="A086DE3E">
      <w:numFmt w:val="decimal"/>
      <w:lvlText w:val=""/>
      <w:lvlJc w:val="left"/>
    </w:lvl>
    <w:lvl w:ilvl="2" w:tplc="7CD67F16">
      <w:numFmt w:val="decimal"/>
      <w:lvlText w:val=""/>
      <w:lvlJc w:val="left"/>
    </w:lvl>
    <w:lvl w:ilvl="3" w:tplc="E114828A">
      <w:numFmt w:val="decimal"/>
      <w:lvlText w:val=""/>
      <w:lvlJc w:val="left"/>
    </w:lvl>
    <w:lvl w:ilvl="4" w:tplc="5BCE4744">
      <w:numFmt w:val="decimal"/>
      <w:lvlText w:val=""/>
      <w:lvlJc w:val="left"/>
    </w:lvl>
    <w:lvl w:ilvl="5" w:tplc="5816ADF0">
      <w:numFmt w:val="decimal"/>
      <w:lvlText w:val=""/>
      <w:lvlJc w:val="left"/>
    </w:lvl>
    <w:lvl w:ilvl="6" w:tplc="58564610">
      <w:numFmt w:val="decimal"/>
      <w:lvlText w:val=""/>
      <w:lvlJc w:val="left"/>
    </w:lvl>
    <w:lvl w:ilvl="7" w:tplc="454CDB76">
      <w:numFmt w:val="decimal"/>
      <w:lvlText w:val=""/>
      <w:lvlJc w:val="left"/>
    </w:lvl>
    <w:lvl w:ilvl="8" w:tplc="F85A41A0">
      <w:numFmt w:val="decimal"/>
      <w:lvlText w:val=""/>
      <w:lvlJc w:val="left"/>
    </w:lvl>
  </w:abstractNum>
  <w:abstractNum w:abstractNumId="1" w15:restartNumberingAfterBreak="0">
    <w:nsid w:val="7BD2047F"/>
    <w:multiLevelType w:val="hybridMultilevel"/>
    <w:tmpl w:val="7CAE99F6"/>
    <w:lvl w:ilvl="0" w:tplc="153612D6">
      <w:start w:val="1"/>
      <w:numFmt w:val="bullet"/>
      <w:lvlText w:val="●"/>
      <w:lvlJc w:val="left"/>
      <w:pPr>
        <w:ind w:left="720" w:hanging="360"/>
      </w:pPr>
    </w:lvl>
    <w:lvl w:ilvl="1" w:tplc="F22E504E">
      <w:start w:val="1"/>
      <w:numFmt w:val="bullet"/>
      <w:lvlText w:val="○"/>
      <w:lvlJc w:val="left"/>
      <w:pPr>
        <w:ind w:left="1440" w:hanging="360"/>
      </w:pPr>
    </w:lvl>
    <w:lvl w:ilvl="2" w:tplc="1E54DCA2">
      <w:start w:val="1"/>
      <w:numFmt w:val="bullet"/>
      <w:lvlText w:val="■"/>
      <w:lvlJc w:val="left"/>
      <w:pPr>
        <w:ind w:left="2160" w:hanging="360"/>
      </w:pPr>
    </w:lvl>
    <w:lvl w:ilvl="3" w:tplc="B48E4BE2">
      <w:start w:val="1"/>
      <w:numFmt w:val="bullet"/>
      <w:lvlText w:val="●"/>
      <w:lvlJc w:val="left"/>
      <w:pPr>
        <w:ind w:left="2880" w:hanging="360"/>
      </w:pPr>
    </w:lvl>
    <w:lvl w:ilvl="4" w:tplc="8E1431B6">
      <w:start w:val="1"/>
      <w:numFmt w:val="bullet"/>
      <w:lvlText w:val="○"/>
      <w:lvlJc w:val="left"/>
      <w:pPr>
        <w:ind w:left="3600" w:hanging="360"/>
      </w:pPr>
    </w:lvl>
    <w:lvl w:ilvl="5" w:tplc="62E8CDA2">
      <w:start w:val="1"/>
      <w:numFmt w:val="bullet"/>
      <w:lvlText w:val="■"/>
      <w:lvlJc w:val="left"/>
      <w:pPr>
        <w:ind w:left="4320" w:hanging="360"/>
      </w:pPr>
    </w:lvl>
    <w:lvl w:ilvl="6" w:tplc="4C70C6CA">
      <w:start w:val="1"/>
      <w:numFmt w:val="bullet"/>
      <w:lvlText w:val="●"/>
      <w:lvlJc w:val="left"/>
      <w:pPr>
        <w:ind w:left="5040" w:hanging="360"/>
      </w:pPr>
    </w:lvl>
    <w:lvl w:ilvl="7" w:tplc="DB025ECE">
      <w:start w:val="1"/>
      <w:numFmt w:val="bullet"/>
      <w:lvlText w:val="●"/>
      <w:lvlJc w:val="left"/>
      <w:pPr>
        <w:ind w:left="5760" w:hanging="360"/>
      </w:pPr>
    </w:lvl>
    <w:lvl w:ilvl="8" w:tplc="79B49534">
      <w:start w:val="1"/>
      <w:numFmt w:val="bullet"/>
      <w:lvlText w:val="●"/>
      <w:lvlJc w:val="left"/>
      <w:pPr>
        <w:ind w:left="6480" w:hanging="360"/>
      </w:pPr>
    </w:lvl>
  </w:abstractNum>
  <w:num w:numId="1" w16cid:durableId="1772161053">
    <w:abstractNumId w:val="1"/>
    <w:lvlOverride w:ilvl="0">
      <w:startOverride w:val="1"/>
    </w:lvlOverride>
  </w:num>
  <w:num w:numId="2" w16cid:durableId="1969780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79D"/>
    <w:rsid w:val="00192FCE"/>
    <w:rsid w:val="003A3D67"/>
    <w:rsid w:val="007818A1"/>
    <w:rsid w:val="00A564B7"/>
    <w:rsid w:val="00AA5F5C"/>
    <w:rsid w:val="00AA78AB"/>
    <w:rsid w:val="00AB2267"/>
    <w:rsid w:val="00AB48CD"/>
    <w:rsid w:val="00AF479D"/>
    <w:rsid w:val="00AF5E95"/>
    <w:rsid w:val="00B11FE8"/>
    <w:rsid w:val="00B2277D"/>
    <w:rsid w:val="00BE7406"/>
    <w:rsid w:val="00C94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1E7CBE"/>
  <w15:docId w15:val="{504C100A-E705-2D4C-B62F-8E8CD43A9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64B7"/>
    <w:pPr>
      <w:tabs>
        <w:tab w:val="center" w:pos="4680"/>
        <w:tab w:val="right" w:pos="9360"/>
      </w:tabs>
    </w:pPr>
  </w:style>
  <w:style w:type="character" w:customStyle="1" w:styleId="HeaderChar">
    <w:name w:val="Header Char"/>
    <w:basedOn w:val="DefaultParagraphFont"/>
    <w:link w:val="Header"/>
    <w:uiPriority w:val="99"/>
    <w:rsid w:val="00A564B7"/>
  </w:style>
  <w:style w:type="paragraph" w:styleId="Footer">
    <w:name w:val="footer"/>
    <w:basedOn w:val="Normal"/>
    <w:link w:val="FooterChar"/>
    <w:uiPriority w:val="99"/>
    <w:unhideWhenUsed/>
    <w:rsid w:val="00A564B7"/>
    <w:pPr>
      <w:tabs>
        <w:tab w:val="center" w:pos="4680"/>
        <w:tab w:val="right" w:pos="9360"/>
      </w:tabs>
    </w:pPr>
  </w:style>
  <w:style w:type="character" w:customStyle="1" w:styleId="FooterChar">
    <w:name w:val="Footer Char"/>
    <w:basedOn w:val="DefaultParagraphFont"/>
    <w:link w:val="Footer"/>
    <w:uiPriority w:val="99"/>
    <w:rsid w:val="00A56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1598</Words>
  <Characters>9115</Characters>
  <Application>Microsoft Office Word</Application>
  <DocSecurity>0</DocSecurity>
  <Lines>75</Lines>
  <Paragraphs>21</Paragraphs>
  <ScaleCrop>false</ScaleCrop>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Sajnani</cp:lastModifiedBy>
  <cp:revision>14</cp:revision>
  <dcterms:created xsi:type="dcterms:W3CDTF">2026-06-08T15:20:00Z</dcterms:created>
  <dcterms:modified xsi:type="dcterms:W3CDTF">2026-06-15T01:49:00Z</dcterms:modified>
</cp:coreProperties>
</file>