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 for vision statement discussion.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Review what a vision statement 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https://www.uua.org/leaderlab/vision-statement-tips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vision statement is: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shared orientation toward becoming.  It’s the thing a group can point to and say: “That is the direction we recognize ourselves moving in, together.”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collective expression that names what matters, how we change, and what we are moving toward, without closing off how it must be said.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container for a group’s future-facing identity, spacious enough to include many voices, specific enough to guide real choices.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do we need to draw out of the congregation?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Attractor</w:t>
      </w:r>
      <w:r w:rsidDel="00000000" w:rsidR="00000000" w:rsidRPr="00000000">
        <w:rPr>
          <w:rtl w:val="0"/>
        </w:rPr>
        <w:t xml:space="preserve">(s) (what pulls us)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felt sense of “more just,” “more whole,” “more alive”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 always defined, but recognizable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Movement</w:t>
      </w:r>
      <w:r w:rsidDel="00000000" w:rsidR="00000000" w:rsidRPr="00000000">
        <w:rPr>
          <w:rtl w:val="0"/>
        </w:rPr>
        <w:t xml:space="preserve"> (how we engage it)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growth, questioning, repair, transformation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often continuous, not completed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 (how we know it’s ours)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people see themselves in 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 resonates across differences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feels like “us,” not imposed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are the minimum concrete deliverables of the discussion?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“Themes”?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are facilitation techniques that we know for solving this kind of problem?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Including proposal, revision, selection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Minimum number of questions.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Discussion format for each section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Number of groups / Size of groups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Number of questions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