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6CCA" w14:textId="4C4F6FF9" w:rsidR="00D01419" w:rsidRDefault="00D01419" w:rsidP="00D01419">
      <w:pPr>
        <w:jc w:val="center"/>
        <w:rPr>
          <w:b/>
          <w:bCs/>
          <w:lang w:val="en-US"/>
        </w:rPr>
      </w:pPr>
      <w:r w:rsidRPr="00D01419">
        <w:rPr>
          <w:b/>
          <w:bCs/>
          <w:lang w:val="en-US"/>
        </w:rPr>
        <w:t xml:space="preserve">On the interplay of motivational characteristics and academic achievement: </w:t>
      </w:r>
      <w:r>
        <w:rPr>
          <w:b/>
          <w:bCs/>
          <w:lang w:val="en-US"/>
        </w:rPr>
        <w:br/>
      </w:r>
      <w:r w:rsidRPr="00D01419">
        <w:rPr>
          <w:b/>
          <w:bCs/>
          <w:lang w:val="en-US"/>
        </w:rPr>
        <w:t>The role of Need for Cognition</w:t>
      </w:r>
    </w:p>
    <w:p w14:paraId="1E8793C7" w14:textId="41D17107" w:rsidR="00B525B1" w:rsidRPr="00562BEE" w:rsidRDefault="00B525B1" w:rsidP="000929FB">
      <w:pPr>
        <w:jc w:val="center"/>
        <w:rPr>
          <w:lang w:val="en-US"/>
        </w:rPr>
      </w:pPr>
      <w:r w:rsidRPr="00562BEE">
        <w:rPr>
          <w:lang w:val="en-US"/>
        </w:rPr>
        <w:t>AERA-22-0140</w:t>
      </w:r>
    </w:p>
    <w:p w14:paraId="4FB3B63D" w14:textId="593D4D3F" w:rsidR="00D01419" w:rsidRDefault="00464AFF" w:rsidP="00B525B1">
      <w:pPr>
        <w:pStyle w:val="berschrift1"/>
      </w:pPr>
      <w:r>
        <w:softHyphen/>
      </w:r>
      <w:r>
        <w:softHyphen/>
        <w:t>Second r</w:t>
      </w:r>
      <w:r w:rsidR="00D01419">
        <w:t>evision letter</w:t>
      </w:r>
    </w:p>
    <w:p w14:paraId="471D37B2" w14:textId="77777777" w:rsidR="00C94C61" w:rsidRDefault="00C94C61" w:rsidP="00A67F6B">
      <w:pPr>
        <w:pStyle w:val="berschrift1"/>
      </w:pPr>
    </w:p>
    <w:p w14:paraId="1F8DEA60" w14:textId="1AC44C12" w:rsidR="00A67F6B" w:rsidRDefault="00A67F6B" w:rsidP="00A67F6B">
      <w:pPr>
        <w:pStyle w:val="berschrift1"/>
      </w:pPr>
      <w:r>
        <w:t>Reviewer #1</w:t>
      </w:r>
    </w:p>
    <w:p w14:paraId="5E511E0E" w14:textId="77777777" w:rsidR="00464AFF" w:rsidRDefault="00A67F6B" w:rsidP="001B0F2A">
      <w:pPr>
        <w:rPr>
          <w:lang w:val="en-US"/>
        </w:rPr>
      </w:pPr>
      <w:r w:rsidRPr="00DB7F08">
        <w:rPr>
          <w:rStyle w:val="Fett"/>
          <w:lang w:val="en-US"/>
        </w:rPr>
        <w:t>RC1.</w:t>
      </w:r>
      <w:r w:rsidR="001B0F2A" w:rsidRPr="00DB7F08">
        <w:rPr>
          <w:rStyle w:val="Fett"/>
          <w:lang w:val="en-US"/>
        </w:rPr>
        <w:t>0</w:t>
      </w:r>
      <w:r w:rsidRPr="00DB7F08">
        <w:rPr>
          <w:rStyle w:val="Fett"/>
          <w:lang w:val="en-US"/>
        </w:rPr>
        <w:t>:</w:t>
      </w:r>
      <w:r>
        <w:rPr>
          <w:lang w:val="en-US"/>
        </w:rPr>
        <w:t xml:space="preserve"> </w:t>
      </w:r>
      <w:r w:rsidR="00B7665A" w:rsidRPr="00B7665A">
        <w:rPr>
          <w:lang w:val="en-US"/>
        </w:rPr>
        <w:t xml:space="preserve">I appreciate the efforts the author team put into improving the manuscript. Many of my concerns were well addressed. I believe this paper will be a great contribution to the field. </w:t>
      </w:r>
    </w:p>
    <w:p w14:paraId="7EF878DF" w14:textId="19FD2182" w:rsidR="00464AFF" w:rsidRPr="00464AFF" w:rsidRDefault="00464AFF" w:rsidP="001B0F2A">
      <w:pPr>
        <w:rPr>
          <w:color w:val="70AD47" w:themeColor="accent6"/>
          <w:lang w:val="en-US"/>
        </w:rPr>
      </w:pPr>
      <w:r w:rsidRPr="00464AFF">
        <w:rPr>
          <w:b/>
          <w:bCs/>
          <w:color w:val="70AD47" w:themeColor="accent6"/>
          <w:lang w:val="en-US"/>
        </w:rPr>
        <w:t xml:space="preserve">AR1.0: </w:t>
      </w:r>
      <w:r w:rsidRPr="00464AFF">
        <w:rPr>
          <w:color w:val="70AD47" w:themeColor="accent6"/>
          <w:lang w:val="en-US"/>
        </w:rPr>
        <w:t>We thank the reviewer for this overall positive evaluation of our revised manuscript.</w:t>
      </w:r>
    </w:p>
    <w:p w14:paraId="6E13348B" w14:textId="77777777" w:rsidR="00464AFF" w:rsidRDefault="00464AFF" w:rsidP="001B0F2A">
      <w:pPr>
        <w:rPr>
          <w:lang w:val="en-US"/>
        </w:rPr>
      </w:pPr>
    </w:p>
    <w:p w14:paraId="1F42A4DF" w14:textId="7F6F5B6C" w:rsidR="00B525B1" w:rsidRDefault="001B0F2A" w:rsidP="001B0F2A">
      <w:pPr>
        <w:rPr>
          <w:lang w:val="en-US"/>
        </w:rPr>
      </w:pPr>
      <w:r w:rsidRPr="00DB7F08">
        <w:rPr>
          <w:rStyle w:val="Fett"/>
          <w:lang w:val="en-US"/>
        </w:rPr>
        <w:t>RC1.1:</w:t>
      </w:r>
      <w:r>
        <w:rPr>
          <w:lang w:val="en-US"/>
        </w:rPr>
        <w:t xml:space="preserve"> </w:t>
      </w:r>
      <w:r w:rsidR="00B7665A" w:rsidRPr="00B7665A">
        <w:rPr>
          <w:lang w:val="en-US"/>
        </w:rPr>
        <w:t>P. 15, regarding the factor scores derived from separate measurement models, please consider providing a little bit more detailed information about this process--which includes the scoring method (regression? EAP?) as well as the model-data fit assessment for each of the measurement model (Is a one-factor model sufficient?), etc.</w:t>
      </w:r>
    </w:p>
    <w:p w14:paraId="5342AD3E" w14:textId="4ACE7DCA" w:rsidR="006B5F6A" w:rsidRPr="00DB7F08" w:rsidRDefault="006B5F6A" w:rsidP="00807FC7">
      <w:pPr>
        <w:rPr>
          <w:lang w:val="en-US"/>
        </w:rPr>
      </w:pPr>
      <w:r w:rsidRPr="00807FC7">
        <w:rPr>
          <w:b/>
          <w:bCs/>
          <w:lang w:val="en-US"/>
        </w:rPr>
        <w:t>RC</w:t>
      </w:r>
      <w:r w:rsidR="00807FC7" w:rsidRPr="00807FC7">
        <w:rPr>
          <w:b/>
          <w:bCs/>
          <w:lang w:val="en-US"/>
        </w:rPr>
        <w:t>1.2:</w:t>
      </w:r>
      <w:r w:rsidR="00807FC7">
        <w:rPr>
          <w:lang w:val="en-US"/>
        </w:rPr>
        <w:t xml:space="preserve"> </w:t>
      </w:r>
      <w:r w:rsidR="00807FC7" w:rsidRPr="00807FC7">
        <w:rPr>
          <w:lang w:val="en-US"/>
        </w:rPr>
        <w:t xml:space="preserve">P. 15, regarding the parceling approach, it needs to be more specific about how the items are formed into parcels. How parcel-allocation variability (PAV) is avoided (or at least how it is considered if it is not avoided). See </w:t>
      </w:r>
      <w:proofErr w:type="spellStart"/>
      <w:r w:rsidR="00807FC7" w:rsidRPr="00807FC7">
        <w:rPr>
          <w:lang w:val="en-US"/>
        </w:rPr>
        <w:t>Sterba</w:t>
      </w:r>
      <w:proofErr w:type="spellEnd"/>
      <w:r w:rsidR="00807FC7" w:rsidRPr="00807FC7">
        <w:rPr>
          <w:lang w:val="en-US"/>
        </w:rPr>
        <w:t>, S. K. (2019). Problems with rationales for parceling that fail to consider parcel-allocation variability. Multivariate behavioral research, 54(2), 264-287.</w:t>
      </w:r>
    </w:p>
    <w:p w14:paraId="546FD1A7" w14:textId="08F59433" w:rsidR="008C1E5D" w:rsidRPr="0089678E" w:rsidRDefault="008C1E5D" w:rsidP="00D37EB7">
      <w:pPr>
        <w:rPr>
          <w:color w:val="70AD47" w:themeColor="accent6"/>
          <w:lang w:val="en-US"/>
        </w:rPr>
      </w:pPr>
      <w:r w:rsidRPr="0089678E">
        <w:rPr>
          <w:b/>
          <w:bCs/>
          <w:color w:val="70AD47" w:themeColor="accent6"/>
          <w:lang w:val="en-US"/>
        </w:rPr>
        <w:t>AR1.1</w:t>
      </w:r>
      <w:r w:rsidR="00807FC7">
        <w:rPr>
          <w:b/>
          <w:bCs/>
          <w:color w:val="70AD47" w:themeColor="accent6"/>
          <w:lang w:val="en-US"/>
        </w:rPr>
        <w:t xml:space="preserve"> &amp; AR1.2</w:t>
      </w:r>
      <w:r w:rsidRPr="0089678E">
        <w:rPr>
          <w:b/>
          <w:bCs/>
          <w:color w:val="70AD47" w:themeColor="accent6"/>
          <w:lang w:val="en-US"/>
        </w:rPr>
        <w:t>:</w:t>
      </w:r>
      <w:r w:rsidRPr="0089678E">
        <w:rPr>
          <w:color w:val="70AD47" w:themeColor="accent6"/>
          <w:lang w:val="en-US"/>
        </w:rPr>
        <w:t xml:space="preserve"> </w:t>
      </w:r>
      <w:r w:rsidR="00B7665A">
        <w:rPr>
          <w:color w:val="70AD47" w:themeColor="accent6"/>
          <w:lang w:val="en-US"/>
        </w:rPr>
        <w:t xml:space="preserve">We now add more detail about the measurement models </w:t>
      </w:r>
      <w:r w:rsidR="00807FC7">
        <w:rPr>
          <w:color w:val="70AD47" w:themeColor="accent6"/>
          <w:lang w:val="en-US"/>
        </w:rPr>
        <w:t xml:space="preserve">and mention the problem of parcel allocation variability </w:t>
      </w:r>
      <w:r w:rsidR="00B7665A">
        <w:rPr>
          <w:color w:val="70AD47" w:themeColor="accent6"/>
          <w:lang w:val="en-US"/>
        </w:rPr>
        <w:t>on p. 15 (additions to the te</w:t>
      </w:r>
      <w:r w:rsidR="00464AFF">
        <w:rPr>
          <w:color w:val="70AD47" w:themeColor="accent6"/>
          <w:lang w:val="en-US"/>
        </w:rPr>
        <w:t>x</w:t>
      </w:r>
      <w:r w:rsidR="00B7665A">
        <w:rPr>
          <w:color w:val="70AD47" w:themeColor="accent6"/>
          <w:lang w:val="en-US"/>
        </w:rPr>
        <w:t>t printed in italics):</w:t>
      </w:r>
    </w:p>
    <w:p w14:paraId="2DA74D2C" w14:textId="2BC158C6" w:rsidR="00EF3B1E" w:rsidRDefault="00D37EB7" w:rsidP="00B7665A">
      <w:pPr>
        <w:pStyle w:val="Textkrper"/>
        <w:rPr>
          <w:color w:val="70AD47" w:themeColor="accent6"/>
          <w:lang w:val="en-US"/>
        </w:rPr>
      </w:pPr>
      <w:r w:rsidRPr="00B7665A">
        <w:rPr>
          <w:color w:val="70AD47" w:themeColor="accent6"/>
          <w:lang w:val="en-US"/>
        </w:rPr>
        <w:t>“</w:t>
      </w:r>
      <w:r w:rsidR="00B7665A" w:rsidRPr="00B7665A">
        <w:rPr>
          <w:color w:val="70AD47" w:themeColor="accent6"/>
          <w:lang w:val="en-US"/>
        </w:rPr>
        <w:t xml:space="preserve">For each of the above mentioned constructs, we used </w:t>
      </w:r>
      <w:r w:rsidR="00B7665A" w:rsidRPr="00B7665A">
        <w:rPr>
          <w:i/>
          <w:iCs/>
          <w:color w:val="70AD47" w:themeColor="accent6"/>
          <w:lang w:val="en-US"/>
        </w:rPr>
        <w:t>regression-based</w:t>
      </w:r>
      <w:r w:rsidR="00B7665A" w:rsidRPr="00B7665A">
        <w:rPr>
          <w:color w:val="70AD47" w:themeColor="accent6"/>
          <w:lang w:val="en-US"/>
        </w:rPr>
        <w:t xml:space="preserve"> factor scores derived from measurements models as composite measures. Specifically, we fitted four measurement models of 1) school grades estimated directly from the manifest school grades in order to have the same level of abstraction and to handle missing values for these variables as well, 2) the motivational traits in question, i.e., NFC, Hope for Success and Fear of Failure as well as domain-general and domain-specific 3) ability self-concepts and 4) interests. Separate models were fitted because an analysis of all constructs specified in one model failed to converge. </w:t>
      </w:r>
      <w:r w:rsidR="006B5F6A" w:rsidRPr="006B5F6A">
        <w:rPr>
          <w:i/>
          <w:iCs/>
          <w:color w:val="70AD47" w:themeColor="accent6"/>
          <w:lang w:val="en-US"/>
        </w:rPr>
        <w:t xml:space="preserve">Item-based measurement models were specified except for NFC. Here a parceling approach was </w:t>
      </w:r>
      <w:r w:rsidR="006B5F6A" w:rsidRPr="006B5F6A">
        <w:rPr>
          <w:i/>
          <w:iCs/>
          <w:color w:val="70AD47" w:themeColor="accent6"/>
          <w:lang w:val="en-US"/>
        </w:rPr>
        <w:lastRenderedPageBreak/>
        <w:t xml:space="preserve">used (Little et al., 2002), where based on the item loadings derived from a one-factor solution of a principal components analysis, four parcels with about equal average item loadings per parcel were determined in an iterative procedure with 10,000 iterations that ensured a minimum difference in the average item loadings (please note that this procedure ensures computational reproducibility, but does not necessarily solves the problem of parcel allocation variability, </w:t>
      </w:r>
      <w:r w:rsidR="00464AFF">
        <w:rPr>
          <w:i/>
          <w:iCs/>
          <w:color w:val="70AD47" w:themeColor="accent6"/>
          <w:lang w:val="en-US"/>
        </w:rPr>
        <w:t xml:space="preserve">see </w:t>
      </w:r>
      <w:proofErr w:type="spellStart"/>
      <w:r w:rsidR="006B5F6A" w:rsidRPr="006B5F6A">
        <w:rPr>
          <w:i/>
          <w:iCs/>
          <w:color w:val="70AD47" w:themeColor="accent6"/>
          <w:lang w:val="en-US"/>
        </w:rPr>
        <w:t>Sterba</w:t>
      </w:r>
      <w:proofErr w:type="spellEnd"/>
      <w:r w:rsidR="006B5F6A" w:rsidRPr="006B5F6A">
        <w:rPr>
          <w:i/>
          <w:iCs/>
          <w:color w:val="70AD47" w:themeColor="accent6"/>
          <w:lang w:val="en-US"/>
        </w:rPr>
        <w:t xml:space="preserve">, 2019, an issue that we unfortunately cannot address here in more detail). All measurement models had a good to very good fit according to the criteria of Hu and </w:t>
      </w:r>
      <w:proofErr w:type="spellStart"/>
      <w:r w:rsidR="006B5F6A" w:rsidRPr="006B5F6A">
        <w:rPr>
          <w:i/>
          <w:iCs/>
          <w:color w:val="70AD47" w:themeColor="accent6"/>
          <w:lang w:val="en-US"/>
        </w:rPr>
        <w:t>Bentler</w:t>
      </w:r>
      <w:proofErr w:type="spellEnd"/>
      <w:r w:rsidR="006B5F6A" w:rsidRPr="006B5F6A">
        <w:rPr>
          <w:i/>
          <w:iCs/>
          <w:color w:val="70AD47" w:themeColor="accent6"/>
          <w:lang w:val="en-US"/>
        </w:rPr>
        <w:t xml:space="preserve"> (1999, see below), robust CFI ≥ .930, robust RMSEA ≤ .065, SRMR ≤ .057)</w:t>
      </w:r>
      <w:r w:rsidR="006B5F6A" w:rsidRPr="006B5F6A">
        <w:rPr>
          <w:color w:val="70AD47" w:themeColor="accent6"/>
          <w:lang w:val="en-US"/>
        </w:rPr>
        <w:t>.</w:t>
      </w:r>
      <w:r w:rsidR="0089678E" w:rsidRPr="00B7665A">
        <w:rPr>
          <w:color w:val="70AD47" w:themeColor="accent6"/>
          <w:lang w:val="en-US"/>
        </w:rPr>
        <w:t>”</w:t>
      </w:r>
      <w:r w:rsidR="009E2C19" w:rsidRPr="00B7665A">
        <w:rPr>
          <w:color w:val="70AD47" w:themeColor="accent6"/>
          <w:lang w:val="en-US"/>
        </w:rPr>
        <w:t xml:space="preserve"> </w:t>
      </w:r>
    </w:p>
    <w:p w14:paraId="614D8930" w14:textId="77777777" w:rsidR="00464AFF" w:rsidRPr="00807FC7" w:rsidRDefault="00464AFF" w:rsidP="00B7665A">
      <w:pPr>
        <w:pStyle w:val="Textkrper"/>
        <w:rPr>
          <w:color w:val="000000" w:themeColor="text1"/>
          <w:lang w:val="en-US"/>
        </w:rPr>
      </w:pPr>
    </w:p>
    <w:p w14:paraId="03FB28DD" w14:textId="77777777" w:rsidR="00BC102B" w:rsidRDefault="001B0F2A" w:rsidP="001B0F2A">
      <w:pPr>
        <w:rPr>
          <w:lang w:val="en-US"/>
        </w:rPr>
      </w:pPr>
      <w:r w:rsidRPr="008C1E5D">
        <w:rPr>
          <w:rStyle w:val="Fett"/>
          <w:lang w:val="en-US"/>
        </w:rPr>
        <w:t>RC1.3:</w:t>
      </w:r>
      <w:r>
        <w:rPr>
          <w:lang w:val="en-US"/>
        </w:rPr>
        <w:t xml:space="preserve"> </w:t>
      </w:r>
      <w:r w:rsidR="00BC102B" w:rsidRPr="00BC102B">
        <w:rPr>
          <w:lang w:val="en-US"/>
        </w:rPr>
        <w:t xml:space="preserve">Figure 1A, the directional path between the change score (delta X) and the T2 score (X.2) should be delta X --&gt; X.2, not the other way around. The current graphical presentation is not correct. </w:t>
      </w:r>
    </w:p>
    <w:p w14:paraId="1FE6F87A" w14:textId="1FB72B57" w:rsidR="00EF3B1E" w:rsidRDefault="008C1E5D" w:rsidP="001B0F2A">
      <w:pPr>
        <w:rPr>
          <w:color w:val="70AD47" w:themeColor="accent6"/>
          <w:lang w:val="en-US"/>
        </w:rPr>
      </w:pPr>
      <w:r w:rsidRPr="00F85D74">
        <w:rPr>
          <w:b/>
          <w:bCs/>
          <w:color w:val="70AD47" w:themeColor="accent6"/>
          <w:lang w:val="en-US"/>
        </w:rPr>
        <w:t>AR1.3:</w:t>
      </w:r>
      <w:r w:rsidRPr="00F85D74">
        <w:rPr>
          <w:color w:val="70AD47" w:themeColor="accent6"/>
          <w:lang w:val="en-US"/>
        </w:rPr>
        <w:t xml:space="preserve"> </w:t>
      </w:r>
      <w:r w:rsidR="00F85D74" w:rsidRPr="00F85D74">
        <w:rPr>
          <w:color w:val="70AD47" w:themeColor="accent6"/>
          <w:lang w:val="en-US"/>
        </w:rPr>
        <w:t xml:space="preserve">We </w:t>
      </w:r>
      <w:r w:rsidR="00BC102B">
        <w:rPr>
          <w:color w:val="70AD47" w:themeColor="accent6"/>
          <w:lang w:val="en-US"/>
        </w:rPr>
        <w:t xml:space="preserve">apologize for </w:t>
      </w:r>
      <w:r w:rsidR="00464AFF">
        <w:rPr>
          <w:color w:val="70AD47" w:themeColor="accent6"/>
          <w:lang w:val="en-US"/>
        </w:rPr>
        <w:t>this</w:t>
      </w:r>
      <w:r w:rsidR="00BC102B">
        <w:rPr>
          <w:color w:val="70AD47" w:themeColor="accent6"/>
          <w:lang w:val="en-US"/>
        </w:rPr>
        <w:t xml:space="preserve"> error and corrected it. </w:t>
      </w:r>
    </w:p>
    <w:p w14:paraId="48CFE564" w14:textId="77777777" w:rsidR="00464AFF" w:rsidRPr="00F85D74" w:rsidRDefault="00464AFF" w:rsidP="001B0F2A">
      <w:pPr>
        <w:rPr>
          <w:color w:val="70AD47" w:themeColor="accent6"/>
          <w:lang w:val="en-US"/>
        </w:rPr>
      </w:pPr>
    </w:p>
    <w:p w14:paraId="05366D3A" w14:textId="0BF0A5BC" w:rsidR="00BC102B" w:rsidRDefault="001B0F2A" w:rsidP="007E5079">
      <w:pPr>
        <w:rPr>
          <w:lang w:val="en-US"/>
        </w:rPr>
      </w:pPr>
      <w:r w:rsidRPr="00DB7F08">
        <w:rPr>
          <w:rStyle w:val="Fett"/>
          <w:lang w:val="en-US"/>
        </w:rPr>
        <w:t>RC1.4:</w:t>
      </w:r>
      <w:r>
        <w:rPr>
          <w:lang w:val="en-US"/>
        </w:rPr>
        <w:t xml:space="preserve"> </w:t>
      </w:r>
      <w:r w:rsidR="007E5079" w:rsidRPr="007E5079">
        <w:rPr>
          <w:lang w:val="en-US"/>
        </w:rPr>
        <w:t xml:space="preserve">With regard to power analysis, I appreciate that the author team conducted and reported the post hoc power analysis in the revision, although I didn't mean to suggest that. Post hoc power analysis is not a useful practice as it does not provide more information than the obtained statistical results itself. See Hoenig, J. M., &amp; </w:t>
      </w:r>
      <w:proofErr w:type="spellStart"/>
      <w:r w:rsidR="007E5079" w:rsidRPr="007E5079">
        <w:rPr>
          <w:lang w:val="en-US"/>
        </w:rPr>
        <w:t>Heisey</w:t>
      </w:r>
      <w:proofErr w:type="spellEnd"/>
      <w:r w:rsidR="007E5079" w:rsidRPr="007E5079">
        <w:rPr>
          <w:lang w:val="en-US"/>
        </w:rPr>
        <w:t>, D. M. (2001). The abuse of power: the pervasive fallacy of power calculations for data analysis. The American Statistician, 55(1), 19-24.</w:t>
      </w:r>
    </w:p>
    <w:p w14:paraId="2BF577C0" w14:textId="6AC58F4F" w:rsidR="00464AFF" w:rsidRDefault="007E5079" w:rsidP="007E5079">
      <w:pPr>
        <w:rPr>
          <w:color w:val="70AD47" w:themeColor="accent6"/>
          <w:lang w:val="en-US"/>
        </w:rPr>
      </w:pPr>
      <w:r w:rsidRPr="00F85D74">
        <w:rPr>
          <w:b/>
          <w:bCs/>
          <w:color w:val="70AD47" w:themeColor="accent6"/>
          <w:lang w:val="en-US"/>
        </w:rPr>
        <w:t>AR1.</w:t>
      </w:r>
      <w:r>
        <w:rPr>
          <w:b/>
          <w:bCs/>
          <w:color w:val="70AD47" w:themeColor="accent6"/>
          <w:lang w:val="en-US"/>
        </w:rPr>
        <w:t>4</w:t>
      </w:r>
      <w:r w:rsidRPr="00F85D74">
        <w:rPr>
          <w:b/>
          <w:bCs/>
          <w:color w:val="70AD47" w:themeColor="accent6"/>
          <w:lang w:val="en-US"/>
        </w:rPr>
        <w:t>:</w:t>
      </w:r>
      <w:r w:rsidRPr="00F85D74">
        <w:rPr>
          <w:color w:val="70AD47" w:themeColor="accent6"/>
          <w:lang w:val="en-US"/>
        </w:rPr>
        <w:t xml:space="preserve"> We </w:t>
      </w:r>
      <w:r>
        <w:rPr>
          <w:color w:val="70AD47" w:themeColor="accent6"/>
          <w:lang w:val="en-US"/>
        </w:rPr>
        <w:t xml:space="preserve">agree that </w:t>
      </w:r>
      <w:r w:rsidR="00310E8F">
        <w:rPr>
          <w:color w:val="70AD47" w:themeColor="accent6"/>
          <w:lang w:val="en-US"/>
        </w:rPr>
        <w:t xml:space="preserve">post hoc power analyses is inferior to an </w:t>
      </w:r>
      <w:proofErr w:type="spellStart"/>
      <w:r w:rsidR="00310E8F" w:rsidRPr="00310E8F">
        <w:rPr>
          <w:i/>
          <w:iCs/>
          <w:color w:val="70AD47" w:themeColor="accent6"/>
          <w:lang w:val="en-US"/>
        </w:rPr>
        <w:t>a</w:t>
      </w:r>
      <w:proofErr w:type="spellEnd"/>
      <w:r w:rsidR="00310E8F" w:rsidRPr="00310E8F">
        <w:rPr>
          <w:i/>
          <w:iCs/>
          <w:color w:val="70AD47" w:themeColor="accent6"/>
          <w:lang w:val="en-US"/>
        </w:rPr>
        <w:t xml:space="preserve"> priori</w:t>
      </w:r>
      <w:r w:rsidR="00310E8F">
        <w:rPr>
          <w:color w:val="70AD47" w:themeColor="accent6"/>
          <w:lang w:val="en-US"/>
        </w:rPr>
        <w:t xml:space="preserve"> power analysis. Yet, given the convenience sample we used, we considered our power considerations as helpful information, especially so with regard to power analysis for SEM which is not so common in the literature, so readers might benefit from package</w:t>
      </w:r>
      <w:r w:rsidR="00464AFF">
        <w:rPr>
          <w:color w:val="70AD47" w:themeColor="accent6"/>
          <w:lang w:val="en-US"/>
        </w:rPr>
        <w:t>s</w:t>
      </w:r>
      <w:r w:rsidR="00310E8F">
        <w:rPr>
          <w:color w:val="70AD47" w:themeColor="accent6"/>
          <w:lang w:val="en-US"/>
        </w:rPr>
        <w:t xml:space="preserve"> </w:t>
      </w:r>
      <w:r w:rsidR="00464AFF">
        <w:rPr>
          <w:color w:val="70AD47" w:themeColor="accent6"/>
          <w:lang w:val="en-US"/>
        </w:rPr>
        <w:t xml:space="preserve">like </w:t>
      </w:r>
      <w:proofErr w:type="spellStart"/>
      <w:r w:rsidR="00310E8F" w:rsidRPr="00464AFF">
        <w:rPr>
          <w:i/>
          <w:iCs/>
          <w:color w:val="70AD47" w:themeColor="accent6"/>
          <w:lang w:val="en-US"/>
        </w:rPr>
        <w:t>semPower</w:t>
      </w:r>
      <w:proofErr w:type="spellEnd"/>
      <w:r w:rsidR="00310E8F">
        <w:rPr>
          <w:color w:val="70AD47" w:themeColor="accent6"/>
          <w:lang w:val="en-US"/>
        </w:rPr>
        <w:t xml:space="preserve"> for their own (then a priori) power analyses. Still, we see the reviewer’s argument and </w:t>
      </w:r>
      <w:r w:rsidR="00464AFF">
        <w:rPr>
          <w:color w:val="70AD47" w:themeColor="accent6"/>
          <w:lang w:val="en-US"/>
        </w:rPr>
        <w:t xml:space="preserve">discuss </w:t>
      </w:r>
      <w:r w:rsidR="00310E8F">
        <w:rPr>
          <w:color w:val="70AD47" w:themeColor="accent6"/>
          <w:lang w:val="en-US"/>
        </w:rPr>
        <w:t>this issue under limitations</w:t>
      </w:r>
      <w:r w:rsidR="00464AFF">
        <w:rPr>
          <w:color w:val="70AD47" w:themeColor="accent6"/>
          <w:lang w:val="en-US"/>
        </w:rPr>
        <w:t xml:space="preserve"> (p. 24)</w:t>
      </w:r>
      <w:r w:rsidR="00310E8F">
        <w:rPr>
          <w:color w:val="70AD47" w:themeColor="accent6"/>
          <w:lang w:val="en-US"/>
        </w:rPr>
        <w:t>:</w:t>
      </w:r>
    </w:p>
    <w:p w14:paraId="7E328727" w14:textId="6AA014A7" w:rsidR="00B525B1" w:rsidRPr="00464AFF" w:rsidRDefault="00464AFF" w:rsidP="00C94C61">
      <w:pPr>
        <w:rPr>
          <w:color w:val="70AD47" w:themeColor="accent6"/>
          <w:lang w:val="en-US"/>
        </w:rPr>
      </w:pPr>
      <w:r>
        <w:rPr>
          <w:color w:val="70AD47" w:themeColor="accent6"/>
          <w:lang w:val="en-US"/>
        </w:rPr>
        <w:t xml:space="preserve">“… </w:t>
      </w:r>
      <w:r w:rsidRPr="00464AFF">
        <w:rPr>
          <w:i/>
          <w:iCs/>
          <w:color w:val="70AD47" w:themeColor="accent6"/>
          <w:lang w:val="en-US"/>
        </w:rPr>
        <w:t>post hoc</w:t>
      </w:r>
      <w:r w:rsidRPr="00464AFF">
        <w:rPr>
          <w:color w:val="70AD47" w:themeColor="accent6"/>
          <w:lang w:val="en-US"/>
        </w:rPr>
        <w:t xml:space="preserve"> power analyses remain inferior to </w:t>
      </w:r>
      <w:r w:rsidRPr="00464AFF">
        <w:rPr>
          <w:i/>
          <w:iCs/>
          <w:color w:val="70AD47" w:themeColor="accent6"/>
          <w:lang w:val="en-US"/>
        </w:rPr>
        <w:t>a priori</w:t>
      </w:r>
      <w:r w:rsidRPr="00464AFF">
        <w:rPr>
          <w:color w:val="70AD47" w:themeColor="accent6"/>
          <w:lang w:val="en-US"/>
        </w:rPr>
        <w:t xml:space="preserve"> power analyses. While such analyses can be easily done for simple effect sizes such as correlations, mean differences, or explained variance, power analyses for structural equation modeling are more difficult to perform. We therefore advocate for the use of packages like the </w:t>
      </w:r>
      <w:proofErr w:type="spellStart"/>
      <w:r w:rsidRPr="00464AFF">
        <w:rPr>
          <w:i/>
          <w:iCs/>
          <w:color w:val="70AD47" w:themeColor="accent6"/>
          <w:lang w:val="en-US"/>
        </w:rPr>
        <w:t>semPower</w:t>
      </w:r>
      <w:proofErr w:type="spellEnd"/>
      <w:r w:rsidRPr="00464AFF">
        <w:rPr>
          <w:color w:val="70AD47" w:themeColor="accent6"/>
          <w:lang w:val="en-US"/>
        </w:rPr>
        <w:t xml:space="preserve"> package  (</w:t>
      </w:r>
      <w:proofErr w:type="spellStart"/>
      <w:r w:rsidRPr="00464AFF">
        <w:rPr>
          <w:color w:val="70AD47" w:themeColor="accent6"/>
          <w:lang w:val="en-US"/>
        </w:rPr>
        <w:t>Moshagen</w:t>
      </w:r>
      <w:proofErr w:type="spellEnd"/>
      <w:r w:rsidRPr="00464AFF">
        <w:rPr>
          <w:color w:val="70AD47" w:themeColor="accent6"/>
          <w:lang w:val="en-US"/>
        </w:rPr>
        <w:t xml:space="preserve"> &amp; </w:t>
      </w:r>
      <w:proofErr w:type="spellStart"/>
      <w:r w:rsidRPr="00464AFF">
        <w:rPr>
          <w:color w:val="70AD47" w:themeColor="accent6"/>
          <w:lang w:val="en-US"/>
        </w:rPr>
        <w:t>Erdfelder</w:t>
      </w:r>
      <w:proofErr w:type="spellEnd"/>
      <w:r w:rsidRPr="00464AFF">
        <w:rPr>
          <w:color w:val="70AD47" w:themeColor="accent6"/>
          <w:lang w:val="en-US"/>
        </w:rPr>
        <w:t xml:space="preserve">, 2016) for </w:t>
      </w:r>
      <w:r w:rsidRPr="00464AFF">
        <w:rPr>
          <w:i/>
          <w:iCs/>
          <w:color w:val="70AD47" w:themeColor="accent6"/>
          <w:lang w:val="en-US"/>
        </w:rPr>
        <w:t>a priori</w:t>
      </w:r>
      <w:r w:rsidRPr="00464AFF">
        <w:rPr>
          <w:color w:val="70AD47" w:themeColor="accent6"/>
          <w:lang w:val="en-US"/>
        </w:rPr>
        <w:t xml:space="preserve"> power analyses for structural equation modeling in future studies.</w:t>
      </w:r>
      <w:r w:rsidRPr="00464AFF">
        <w:rPr>
          <w:color w:val="70AD47" w:themeColor="accent6"/>
          <w:lang w:val="en-US"/>
        </w:rPr>
        <w:t>“</w:t>
      </w:r>
      <w:r w:rsidR="00310E8F">
        <w:rPr>
          <w:color w:val="70AD47" w:themeColor="accent6"/>
          <w:lang w:val="en-US"/>
        </w:rPr>
        <w:t xml:space="preserve">  </w:t>
      </w:r>
    </w:p>
    <w:sectPr w:rsidR="00B525B1" w:rsidRPr="00464AFF" w:rsidSect="00501658">
      <w:foot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01322" w14:textId="77777777" w:rsidR="00270DB6" w:rsidRDefault="00270DB6" w:rsidP="00B525B1">
      <w:pPr>
        <w:spacing w:before="0" w:line="240" w:lineRule="auto"/>
      </w:pPr>
      <w:r>
        <w:separator/>
      </w:r>
    </w:p>
  </w:endnote>
  <w:endnote w:type="continuationSeparator" w:id="0">
    <w:p w14:paraId="2D2EB7E5" w14:textId="77777777" w:rsidR="00270DB6" w:rsidRDefault="00270DB6" w:rsidP="00B525B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464AFF" w14:paraId="36633AA1" w14:textId="77777777" w:rsidTr="00464AFF">
      <w:tc>
        <w:tcPr>
          <w:tcW w:w="4536" w:type="dxa"/>
        </w:tcPr>
        <w:p w14:paraId="15F0A606" w14:textId="77777777" w:rsidR="00464AFF" w:rsidRPr="00B525B1" w:rsidRDefault="00464AFF" w:rsidP="00B525B1">
          <w:pPr>
            <w:jc w:val="center"/>
            <w:rPr>
              <w:color w:val="808080" w:themeColor="background1" w:themeShade="80"/>
              <w:lang w:val="en-US"/>
            </w:rPr>
          </w:pPr>
          <w:r w:rsidRPr="00B525B1">
            <w:rPr>
              <w:color w:val="808080" w:themeColor="background1" w:themeShade="80"/>
              <w:lang w:val="en-US"/>
            </w:rPr>
            <w:t>RC: Reviewer comment</w:t>
          </w:r>
        </w:p>
      </w:tc>
      <w:tc>
        <w:tcPr>
          <w:tcW w:w="4536" w:type="dxa"/>
        </w:tcPr>
        <w:p w14:paraId="4C1E02EE" w14:textId="77777777" w:rsidR="00464AFF" w:rsidRPr="00B525B1" w:rsidRDefault="00464AFF" w:rsidP="00B525B1">
          <w:pPr>
            <w:jc w:val="center"/>
            <w:rPr>
              <w:color w:val="808080" w:themeColor="background1" w:themeShade="80"/>
              <w:lang w:val="en-US"/>
            </w:rPr>
          </w:pPr>
          <w:r w:rsidRPr="00B525B1">
            <w:rPr>
              <w:color w:val="808080" w:themeColor="background1" w:themeShade="80"/>
              <w:lang w:val="en-US"/>
            </w:rPr>
            <w:t>AR: Author response</w:t>
          </w:r>
        </w:p>
      </w:tc>
    </w:tr>
  </w:tbl>
  <w:p w14:paraId="36CCA6A2" w14:textId="77777777" w:rsidR="00B525B1" w:rsidRPr="00B525B1" w:rsidRDefault="00B525B1">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18AAD" w14:textId="77777777" w:rsidR="00270DB6" w:rsidRDefault="00270DB6" w:rsidP="00B525B1">
      <w:pPr>
        <w:spacing w:before="0" w:line="240" w:lineRule="auto"/>
      </w:pPr>
      <w:r>
        <w:separator/>
      </w:r>
    </w:p>
  </w:footnote>
  <w:footnote w:type="continuationSeparator" w:id="0">
    <w:p w14:paraId="3E389AB8" w14:textId="77777777" w:rsidR="00270DB6" w:rsidRDefault="00270DB6" w:rsidP="00B525B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0E3B"/>
    <w:multiLevelType w:val="multilevel"/>
    <w:tmpl w:val="329028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0492A"/>
    <w:multiLevelType w:val="multilevel"/>
    <w:tmpl w:val="1B9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5425395">
    <w:abstractNumId w:val="1"/>
  </w:num>
  <w:num w:numId="2" w16cid:durableId="689838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19"/>
    <w:rsid w:val="00001E35"/>
    <w:rsid w:val="00006F39"/>
    <w:rsid w:val="000567F5"/>
    <w:rsid w:val="00061DDA"/>
    <w:rsid w:val="00092638"/>
    <w:rsid w:val="000929FB"/>
    <w:rsid w:val="000C3B55"/>
    <w:rsid w:val="00105C0B"/>
    <w:rsid w:val="0012663B"/>
    <w:rsid w:val="00126837"/>
    <w:rsid w:val="00127A27"/>
    <w:rsid w:val="001320AA"/>
    <w:rsid w:val="0013317F"/>
    <w:rsid w:val="001565E3"/>
    <w:rsid w:val="00166668"/>
    <w:rsid w:val="00174A1F"/>
    <w:rsid w:val="001853DC"/>
    <w:rsid w:val="00191323"/>
    <w:rsid w:val="001A7D8C"/>
    <w:rsid w:val="001B0F2A"/>
    <w:rsid w:val="001C3CD4"/>
    <w:rsid w:val="001F3862"/>
    <w:rsid w:val="001F6D1E"/>
    <w:rsid w:val="0020220E"/>
    <w:rsid w:val="00203F46"/>
    <w:rsid w:val="00205623"/>
    <w:rsid w:val="00212055"/>
    <w:rsid w:val="00220A7A"/>
    <w:rsid w:val="00225655"/>
    <w:rsid w:val="00226B6F"/>
    <w:rsid w:val="0023271C"/>
    <w:rsid w:val="00242043"/>
    <w:rsid w:val="00270DB6"/>
    <w:rsid w:val="002769E0"/>
    <w:rsid w:val="00280BD6"/>
    <w:rsid w:val="00281408"/>
    <w:rsid w:val="002A7F5A"/>
    <w:rsid w:val="002D46E8"/>
    <w:rsid w:val="002E64C4"/>
    <w:rsid w:val="002F7F54"/>
    <w:rsid w:val="00310E8F"/>
    <w:rsid w:val="003206E0"/>
    <w:rsid w:val="00366CF2"/>
    <w:rsid w:val="003718EA"/>
    <w:rsid w:val="003D44FD"/>
    <w:rsid w:val="00426037"/>
    <w:rsid w:val="00437A96"/>
    <w:rsid w:val="0044293C"/>
    <w:rsid w:val="00462A50"/>
    <w:rsid w:val="00464AFF"/>
    <w:rsid w:val="00497A6D"/>
    <w:rsid w:val="00497B06"/>
    <w:rsid w:val="004B242E"/>
    <w:rsid w:val="004D1FE7"/>
    <w:rsid w:val="00501658"/>
    <w:rsid w:val="00507EB9"/>
    <w:rsid w:val="00517788"/>
    <w:rsid w:val="005458E4"/>
    <w:rsid w:val="0055674A"/>
    <w:rsid w:val="00562BEE"/>
    <w:rsid w:val="00571598"/>
    <w:rsid w:val="005916E4"/>
    <w:rsid w:val="005D1753"/>
    <w:rsid w:val="005F305E"/>
    <w:rsid w:val="00606FCF"/>
    <w:rsid w:val="00607EBE"/>
    <w:rsid w:val="00614710"/>
    <w:rsid w:val="00684852"/>
    <w:rsid w:val="006862D6"/>
    <w:rsid w:val="00693AC9"/>
    <w:rsid w:val="006A271E"/>
    <w:rsid w:val="006A597B"/>
    <w:rsid w:val="006B376D"/>
    <w:rsid w:val="006B4CF6"/>
    <w:rsid w:val="006B5F6A"/>
    <w:rsid w:val="006C39F1"/>
    <w:rsid w:val="006E0514"/>
    <w:rsid w:val="007035EC"/>
    <w:rsid w:val="00712A20"/>
    <w:rsid w:val="00712CA5"/>
    <w:rsid w:val="00726049"/>
    <w:rsid w:val="0076494F"/>
    <w:rsid w:val="00764A15"/>
    <w:rsid w:val="0076546A"/>
    <w:rsid w:val="00766D8B"/>
    <w:rsid w:val="00776E4B"/>
    <w:rsid w:val="007838FF"/>
    <w:rsid w:val="00785B0C"/>
    <w:rsid w:val="007C227D"/>
    <w:rsid w:val="007E1C46"/>
    <w:rsid w:val="007E5079"/>
    <w:rsid w:val="00807FC7"/>
    <w:rsid w:val="00840688"/>
    <w:rsid w:val="00845008"/>
    <w:rsid w:val="00850240"/>
    <w:rsid w:val="00864787"/>
    <w:rsid w:val="008655C2"/>
    <w:rsid w:val="00870A1D"/>
    <w:rsid w:val="0089678E"/>
    <w:rsid w:val="008A3B81"/>
    <w:rsid w:val="008B0144"/>
    <w:rsid w:val="008B323B"/>
    <w:rsid w:val="008C0BF4"/>
    <w:rsid w:val="008C1E5D"/>
    <w:rsid w:val="008C4A5B"/>
    <w:rsid w:val="008C548B"/>
    <w:rsid w:val="008E73CF"/>
    <w:rsid w:val="00904336"/>
    <w:rsid w:val="00932CBA"/>
    <w:rsid w:val="00946366"/>
    <w:rsid w:val="0095139E"/>
    <w:rsid w:val="00962FE4"/>
    <w:rsid w:val="00962FF6"/>
    <w:rsid w:val="0096677A"/>
    <w:rsid w:val="009812A0"/>
    <w:rsid w:val="00991BE8"/>
    <w:rsid w:val="009945A5"/>
    <w:rsid w:val="009A0468"/>
    <w:rsid w:val="009A6B76"/>
    <w:rsid w:val="009D6965"/>
    <w:rsid w:val="009E2C19"/>
    <w:rsid w:val="009E2E66"/>
    <w:rsid w:val="00A13504"/>
    <w:rsid w:val="00A16DC1"/>
    <w:rsid w:val="00A3216C"/>
    <w:rsid w:val="00A4121B"/>
    <w:rsid w:val="00A46C63"/>
    <w:rsid w:val="00A67F6B"/>
    <w:rsid w:val="00A70C56"/>
    <w:rsid w:val="00A84A63"/>
    <w:rsid w:val="00A928C7"/>
    <w:rsid w:val="00AA41F4"/>
    <w:rsid w:val="00AD33FE"/>
    <w:rsid w:val="00B214B4"/>
    <w:rsid w:val="00B525B1"/>
    <w:rsid w:val="00B5403C"/>
    <w:rsid w:val="00B7665A"/>
    <w:rsid w:val="00BC102B"/>
    <w:rsid w:val="00BE60AA"/>
    <w:rsid w:val="00BF55D4"/>
    <w:rsid w:val="00BF7D59"/>
    <w:rsid w:val="00C07F6D"/>
    <w:rsid w:val="00C163F9"/>
    <w:rsid w:val="00C246C0"/>
    <w:rsid w:val="00C33C9D"/>
    <w:rsid w:val="00C5680E"/>
    <w:rsid w:val="00C64F7C"/>
    <w:rsid w:val="00C81112"/>
    <w:rsid w:val="00C82073"/>
    <w:rsid w:val="00C8420F"/>
    <w:rsid w:val="00C94C61"/>
    <w:rsid w:val="00CC44C5"/>
    <w:rsid w:val="00CD7A79"/>
    <w:rsid w:val="00CE2267"/>
    <w:rsid w:val="00CE3EB4"/>
    <w:rsid w:val="00CE4F32"/>
    <w:rsid w:val="00D01419"/>
    <w:rsid w:val="00D110B6"/>
    <w:rsid w:val="00D23DCE"/>
    <w:rsid w:val="00D37EB7"/>
    <w:rsid w:val="00D462FB"/>
    <w:rsid w:val="00D63AB7"/>
    <w:rsid w:val="00D720B4"/>
    <w:rsid w:val="00D83985"/>
    <w:rsid w:val="00DA19E7"/>
    <w:rsid w:val="00DB7F08"/>
    <w:rsid w:val="00DC5D34"/>
    <w:rsid w:val="00DD0C57"/>
    <w:rsid w:val="00DD6295"/>
    <w:rsid w:val="00DF288D"/>
    <w:rsid w:val="00E012DE"/>
    <w:rsid w:val="00E06E61"/>
    <w:rsid w:val="00E264F4"/>
    <w:rsid w:val="00E429F9"/>
    <w:rsid w:val="00EC7369"/>
    <w:rsid w:val="00EF3B1E"/>
    <w:rsid w:val="00F040F6"/>
    <w:rsid w:val="00F04AF0"/>
    <w:rsid w:val="00F12F23"/>
    <w:rsid w:val="00F25144"/>
    <w:rsid w:val="00F35E62"/>
    <w:rsid w:val="00F74D02"/>
    <w:rsid w:val="00F84431"/>
    <w:rsid w:val="00F85D74"/>
    <w:rsid w:val="00F86283"/>
    <w:rsid w:val="00FC68CF"/>
    <w:rsid w:val="00FD2232"/>
    <w:rsid w:val="00FE68D4"/>
    <w:rsid w:val="00FF74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2EEFB4"/>
  <w15:chartTrackingRefBased/>
  <w15:docId w15:val="{F3703480-DAF1-F241-9602-3AC11125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5079"/>
    <w:pPr>
      <w:spacing w:before="120" w:line="360" w:lineRule="auto"/>
      <w:jc w:val="both"/>
    </w:pPr>
    <w:rPr>
      <w:rFonts w:ascii="Times New Roman" w:hAnsi="Times New Roman"/>
    </w:rPr>
  </w:style>
  <w:style w:type="paragraph" w:styleId="berschrift1">
    <w:name w:val="heading 1"/>
    <w:basedOn w:val="Standard"/>
    <w:next w:val="Standard"/>
    <w:link w:val="berschrift1Zchn"/>
    <w:uiPriority w:val="9"/>
    <w:qFormat/>
    <w:rsid w:val="00A67F6B"/>
    <w:pPr>
      <w:spacing w:before="240"/>
      <w:jc w:val="center"/>
      <w:outlineLvl w:val="0"/>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014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A67F6B"/>
    <w:rPr>
      <w:b/>
      <w:bCs/>
    </w:rPr>
  </w:style>
  <w:style w:type="character" w:customStyle="1" w:styleId="berschrift1Zchn">
    <w:name w:val="Überschrift 1 Zchn"/>
    <w:basedOn w:val="Absatz-Standardschriftart"/>
    <w:link w:val="berschrift1"/>
    <w:uiPriority w:val="9"/>
    <w:rsid w:val="00A67F6B"/>
    <w:rPr>
      <w:rFonts w:ascii="Times New Roman" w:hAnsi="Times New Roman"/>
      <w:b/>
      <w:bCs/>
      <w:lang w:val="en-US"/>
    </w:rPr>
  </w:style>
  <w:style w:type="paragraph" w:styleId="StandardWeb">
    <w:name w:val="Normal (Web)"/>
    <w:basedOn w:val="Standard"/>
    <w:uiPriority w:val="99"/>
    <w:unhideWhenUsed/>
    <w:rsid w:val="00B525B1"/>
    <w:pPr>
      <w:spacing w:before="100" w:beforeAutospacing="1" w:after="100" w:afterAutospacing="1" w:line="240" w:lineRule="auto"/>
      <w:jc w:val="left"/>
    </w:pPr>
    <w:rPr>
      <w:rFonts w:eastAsia="Times New Roman" w:cs="Times New Roman"/>
      <w:lang w:eastAsia="de-DE"/>
    </w:rPr>
  </w:style>
  <w:style w:type="paragraph" w:styleId="Kopfzeile">
    <w:name w:val="header"/>
    <w:basedOn w:val="Standard"/>
    <w:link w:val="KopfzeileZchn"/>
    <w:uiPriority w:val="99"/>
    <w:unhideWhenUsed/>
    <w:rsid w:val="00B525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525B1"/>
    <w:rPr>
      <w:rFonts w:ascii="Times New Roman" w:hAnsi="Times New Roman"/>
    </w:rPr>
  </w:style>
  <w:style w:type="paragraph" w:styleId="Fuzeile">
    <w:name w:val="footer"/>
    <w:basedOn w:val="Standard"/>
    <w:link w:val="FuzeileZchn"/>
    <w:uiPriority w:val="99"/>
    <w:unhideWhenUsed/>
    <w:rsid w:val="00B525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525B1"/>
    <w:rPr>
      <w:rFonts w:ascii="Times New Roman" w:hAnsi="Times New Roman"/>
    </w:rPr>
  </w:style>
  <w:style w:type="character" w:styleId="Kommentarzeichen">
    <w:name w:val="annotation reference"/>
    <w:basedOn w:val="Absatz-Standardschriftart"/>
    <w:uiPriority w:val="99"/>
    <w:semiHidden/>
    <w:unhideWhenUsed/>
    <w:rsid w:val="00174A1F"/>
    <w:rPr>
      <w:sz w:val="16"/>
      <w:szCs w:val="16"/>
    </w:rPr>
  </w:style>
  <w:style w:type="paragraph" w:styleId="Kommentartext">
    <w:name w:val="annotation text"/>
    <w:basedOn w:val="Standard"/>
    <w:link w:val="KommentartextZchn"/>
    <w:uiPriority w:val="99"/>
    <w:unhideWhenUsed/>
    <w:rsid w:val="00174A1F"/>
    <w:pPr>
      <w:spacing w:line="240" w:lineRule="auto"/>
    </w:pPr>
    <w:rPr>
      <w:sz w:val="20"/>
      <w:szCs w:val="20"/>
    </w:rPr>
  </w:style>
  <w:style w:type="character" w:customStyle="1" w:styleId="KommentartextZchn">
    <w:name w:val="Kommentartext Zchn"/>
    <w:basedOn w:val="Absatz-Standardschriftart"/>
    <w:link w:val="Kommentartext"/>
    <w:uiPriority w:val="99"/>
    <w:rsid w:val="00174A1F"/>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174A1F"/>
    <w:rPr>
      <w:b/>
      <w:bCs/>
    </w:rPr>
  </w:style>
  <w:style w:type="character" w:customStyle="1" w:styleId="KommentarthemaZchn">
    <w:name w:val="Kommentarthema Zchn"/>
    <w:basedOn w:val="KommentartextZchn"/>
    <w:link w:val="Kommentarthema"/>
    <w:uiPriority w:val="99"/>
    <w:semiHidden/>
    <w:rsid w:val="00174A1F"/>
    <w:rPr>
      <w:rFonts w:ascii="Times New Roman" w:hAnsi="Times New Roman"/>
      <w:b/>
      <w:bCs/>
      <w:sz w:val="20"/>
      <w:szCs w:val="20"/>
    </w:rPr>
  </w:style>
  <w:style w:type="character" w:styleId="Hyperlink">
    <w:name w:val="Hyperlink"/>
    <w:basedOn w:val="Absatz-Standardschriftart"/>
    <w:uiPriority w:val="99"/>
    <w:unhideWhenUsed/>
    <w:rsid w:val="00962FE4"/>
    <w:rPr>
      <w:color w:val="0563C1" w:themeColor="hyperlink"/>
      <w:u w:val="single"/>
    </w:rPr>
  </w:style>
  <w:style w:type="character" w:styleId="NichtaufgelsteErwhnung">
    <w:name w:val="Unresolved Mention"/>
    <w:basedOn w:val="Absatz-Standardschriftart"/>
    <w:uiPriority w:val="99"/>
    <w:semiHidden/>
    <w:unhideWhenUsed/>
    <w:rsid w:val="00962FE4"/>
    <w:rPr>
      <w:color w:val="605E5C"/>
      <w:shd w:val="clear" w:color="auto" w:fill="E1DFDD"/>
    </w:rPr>
  </w:style>
  <w:style w:type="paragraph" w:styleId="Textkrper">
    <w:name w:val="Body Text"/>
    <w:basedOn w:val="Standard"/>
    <w:link w:val="TextkrperZchn"/>
    <w:uiPriority w:val="99"/>
    <w:unhideWhenUsed/>
    <w:rsid w:val="006C39F1"/>
    <w:pPr>
      <w:spacing w:after="120"/>
    </w:pPr>
  </w:style>
  <w:style w:type="character" w:customStyle="1" w:styleId="TextkrperZchn">
    <w:name w:val="Textkörper Zchn"/>
    <w:basedOn w:val="Absatz-Standardschriftart"/>
    <w:link w:val="Textkrper"/>
    <w:uiPriority w:val="99"/>
    <w:rsid w:val="006C39F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411330">
      <w:bodyDiv w:val="1"/>
      <w:marLeft w:val="0"/>
      <w:marRight w:val="0"/>
      <w:marTop w:val="0"/>
      <w:marBottom w:val="0"/>
      <w:divBdr>
        <w:top w:val="none" w:sz="0" w:space="0" w:color="auto"/>
        <w:left w:val="none" w:sz="0" w:space="0" w:color="auto"/>
        <w:bottom w:val="none" w:sz="0" w:space="0" w:color="auto"/>
        <w:right w:val="none" w:sz="0" w:space="0" w:color="auto"/>
      </w:divBdr>
      <w:divsChild>
        <w:div w:id="222527119">
          <w:marLeft w:val="0"/>
          <w:marRight w:val="0"/>
          <w:marTop w:val="0"/>
          <w:marBottom w:val="0"/>
          <w:divBdr>
            <w:top w:val="none" w:sz="0" w:space="0" w:color="auto"/>
            <w:left w:val="none" w:sz="0" w:space="0" w:color="auto"/>
            <w:bottom w:val="none" w:sz="0" w:space="0" w:color="auto"/>
            <w:right w:val="none" w:sz="0" w:space="0" w:color="auto"/>
          </w:divBdr>
          <w:divsChild>
            <w:div w:id="619411028">
              <w:marLeft w:val="0"/>
              <w:marRight w:val="0"/>
              <w:marTop w:val="0"/>
              <w:marBottom w:val="0"/>
              <w:divBdr>
                <w:top w:val="none" w:sz="0" w:space="0" w:color="auto"/>
                <w:left w:val="none" w:sz="0" w:space="0" w:color="auto"/>
                <w:bottom w:val="none" w:sz="0" w:space="0" w:color="auto"/>
                <w:right w:val="none" w:sz="0" w:space="0" w:color="auto"/>
              </w:divBdr>
              <w:divsChild>
                <w:div w:id="10516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3752">
          <w:marLeft w:val="0"/>
          <w:marRight w:val="0"/>
          <w:marTop w:val="0"/>
          <w:marBottom w:val="0"/>
          <w:divBdr>
            <w:top w:val="none" w:sz="0" w:space="0" w:color="auto"/>
            <w:left w:val="none" w:sz="0" w:space="0" w:color="auto"/>
            <w:bottom w:val="none" w:sz="0" w:space="0" w:color="auto"/>
            <w:right w:val="none" w:sz="0" w:space="0" w:color="auto"/>
          </w:divBdr>
          <w:divsChild>
            <w:div w:id="1594976934">
              <w:marLeft w:val="0"/>
              <w:marRight w:val="0"/>
              <w:marTop w:val="0"/>
              <w:marBottom w:val="0"/>
              <w:divBdr>
                <w:top w:val="none" w:sz="0" w:space="0" w:color="auto"/>
                <w:left w:val="none" w:sz="0" w:space="0" w:color="auto"/>
                <w:bottom w:val="none" w:sz="0" w:space="0" w:color="auto"/>
                <w:right w:val="none" w:sz="0" w:space="0" w:color="auto"/>
              </w:divBdr>
              <w:divsChild>
                <w:div w:id="1327396017">
                  <w:marLeft w:val="0"/>
                  <w:marRight w:val="0"/>
                  <w:marTop w:val="0"/>
                  <w:marBottom w:val="0"/>
                  <w:divBdr>
                    <w:top w:val="none" w:sz="0" w:space="0" w:color="auto"/>
                    <w:left w:val="none" w:sz="0" w:space="0" w:color="auto"/>
                    <w:bottom w:val="none" w:sz="0" w:space="0" w:color="auto"/>
                    <w:right w:val="none" w:sz="0" w:space="0" w:color="auto"/>
                  </w:divBdr>
                </w:div>
              </w:divsChild>
            </w:div>
            <w:div w:id="225455740">
              <w:marLeft w:val="0"/>
              <w:marRight w:val="0"/>
              <w:marTop w:val="0"/>
              <w:marBottom w:val="0"/>
              <w:divBdr>
                <w:top w:val="none" w:sz="0" w:space="0" w:color="auto"/>
                <w:left w:val="none" w:sz="0" w:space="0" w:color="auto"/>
                <w:bottom w:val="none" w:sz="0" w:space="0" w:color="auto"/>
                <w:right w:val="none" w:sz="0" w:space="0" w:color="auto"/>
              </w:divBdr>
              <w:divsChild>
                <w:div w:id="11695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68972">
      <w:bodyDiv w:val="1"/>
      <w:marLeft w:val="0"/>
      <w:marRight w:val="0"/>
      <w:marTop w:val="0"/>
      <w:marBottom w:val="0"/>
      <w:divBdr>
        <w:top w:val="none" w:sz="0" w:space="0" w:color="auto"/>
        <w:left w:val="none" w:sz="0" w:space="0" w:color="auto"/>
        <w:bottom w:val="none" w:sz="0" w:space="0" w:color="auto"/>
        <w:right w:val="none" w:sz="0" w:space="0" w:color="auto"/>
      </w:divBdr>
      <w:divsChild>
        <w:div w:id="1884160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8750179">
              <w:marLeft w:val="0"/>
              <w:marRight w:val="0"/>
              <w:marTop w:val="0"/>
              <w:marBottom w:val="0"/>
              <w:divBdr>
                <w:top w:val="none" w:sz="0" w:space="0" w:color="auto"/>
                <w:left w:val="none" w:sz="0" w:space="0" w:color="auto"/>
                <w:bottom w:val="none" w:sz="0" w:space="0" w:color="auto"/>
                <w:right w:val="none" w:sz="0" w:space="0" w:color="auto"/>
              </w:divBdr>
              <w:divsChild>
                <w:div w:id="19020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88752">
      <w:bodyDiv w:val="1"/>
      <w:marLeft w:val="0"/>
      <w:marRight w:val="0"/>
      <w:marTop w:val="0"/>
      <w:marBottom w:val="0"/>
      <w:divBdr>
        <w:top w:val="none" w:sz="0" w:space="0" w:color="auto"/>
        <w:left w:val="none" w:sz="0" w:space="0" w:color="auto"/>
        <w:bottom w:val="none" w:sz="0" w:space="0" w:color="auto"/>
        <w:right w:val="none" w:sz="0" w:space="0" w:color="auto"/>
      </w:divBdr>
      <w:divsChild>
        <w:div w:id="1633437332">
          <w:marLeft w:val="0"/>
          <w:marRight w:val="0"/>
          <w:marTop w:val="0"/>
          <w:marBottom w:val="0"/>
          <w:divBdr>
            <w:top w:val="none" w:sz="0" w:space="0" w:color="auto"/>
            <w:left w:val="none" w:sz="0" w:space="0" w:color="auto"/>
            <w:bottom w:val="none" w:sz="0" w:space="0" w:color="auto"/>
            <w:right w:val="none" w:sz="0" w:space="0" w:color="auto"/>
          </w:divBdr>
          <w:divsChild>
            <w:div w:id="1850483116">
              <w:marLeft w:val="0"/>
              <w:marRight w:val="0"/>
              <w:marTop w:val="0"/>
              <w:marBottom w:val="0"/>
              <w:divBdr>
                <w:top w:val="none" w:sz="0" w:space="0" w:color="auto"/>
                <w:left w:val="none" w:sz="0" w:space="0" w:color="auto"/>
                <w:bottom w:val="none" w:sz="0" w:space="0" w:color="auto"/>
                <w:right w:val="none" w:sz="0" w:space="0" w:color="auto"/>
              </w:divBdr>
              <w:divsChild>
                <w:div w:id="20766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84398">
      <w:bodyDiv w:val="1"/>
      <w:marLeft w:val="0"/>
      <w:marRight w:val="0"/>
      <w:marTop w:val="0"/>
      <w:marBottom w:val="0"/>
      <w:divBdr>
        <w:top w:val="none" w:sz="0" w:space="0" w:color="auto"/>
        <w:left w:val="none" w:sz="0" w:space="0" w:color="auto"/>
        <w:bottom w:val="none" w:sz="0" w:space="0" w:color="auto"/>
        <w:right w:val="none" w:sz="0" w:space="0" w:color="auto"/>
      </w:divBdr>
      <w:divsChild>
        <w:div w:id="17791078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5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680">
      <w:bodyDiv w:val="1"/>
      <w:marLeft w:val="0"/>
      <w:marRight w:val="0"/>
      <w:marTop w:val="0"/>
      <w:marBottom w:val="0"/>
      <w:divBdr>
        <w:top w:val="none" w:sz="0" w:space="0" w:color="auto"/>
        <w:left w:val="none" w:sz="0" w:space="0" w:color="auto"/>
        <w:bottom w:val="none" w:sz="0" w:space="0" w:color="auto"/>
        <w:right w:val="none" w:sz="0" w:space="0" w:color="auto"/>
      </w:divBdr>
      <w:divsChild>
        <w:div w:id="1407190712">
          <w:marLeft w:val="0"/>
          <w:marRight w:val="0"/>
          <w:marTop w:val="0"/>
          <w:marBottom w:val="0"/>
          <w:divBdr>
            <w:top w:val="none" w:sz="0" w:space="0" w:color="auto"/>
            <w:left w:val="none" w:sz="0" w:space="0" w:color="auto"/>
            <w:bottom w:val="none" w:sz="0" w:space="0" w:color="auto"/>
            <w:right w:val="none" w:sz="0" w:space="0" w:color="auto"/>
          </w:divBdr>
          <w:divsChild>
            <w:div w:id="1556089347">
              <w:marLeft w:val="0"/>
              <w:marRight w:val="0"/>
              <w:marTop w:val="0"/>
              <w:marBottom w:val="0"/>
              <w:divBdr>
                <w:top w:val="none" w:sz="0" w:space="0" w:color="auto"/>
                <w:left w:val="none" w:sz="0" w:space="0" w:color="auto"/>
                <w:bottom w:val="none" w:sz="0" w:space="0" w:color="auto"/>
                <w:right w:val="none" w:sz="0" w:space="0" w:color="auto"/>
              </w:divBdr>
              <w:divsChild>
                <w:div w:id="1931350506">
                  <w:marLeft w:val="0"/>
                  <w:marRight w:val="0"/>
                  <w:marTop w:val="0"/>
                  <w:marBottom w:val="0"/>
                  <w:divBdr>
                    <w:top w:val="none" w:sz="0" w:space="0" w:color="auto"/>
                    <w:left w:val="none" w:sz="0" w:space="0" w:color="auto"/>
                    <w:bottom w:val="none" w:sz="0" w:space="0" w:color="auto"/>
                    <w:right w:val="none" w:sz="0" w:space="0" w:color="auto"/>
                  </w:divBdr>
                </w:div>
              </w:divsChild>
            </w:div>
            <w:div w:id="1727533305">
              <w:marLeft w:val="0"/>
              <w:marRight w:val="0"/>
              <w:marTop w:val="0"/>
              <w:marBottom w:val="0"/>
              <w:divBdr>
                <w:top w:val="none" w:sz="0" w:space="0" w:color="auto"/>
                <w:left w:val="none" w:sz="0" w:space="0" w:color="auto"/>
                <w:bottom w:val="none" w:sz="0" w:space="0" w:color="auto"/>
                <w:right w:val="none" w:sz="0" w:space="0" w:color="auto"/>
              </w:divBdr>
              <w:divsChild>
                <w:div w:id="674654858">
                  <w:marLeft w:val="0"/>
                  <w:marRight w:val="0"/>
                  <w:marTop w:val="0"/>
                  <w:marBottom w:val="0"/>
                  <w:divBdr>
                    <w:top w:val="none" w:sz="0" w:space="0" w:color="auto"/>
                    <w:left w:val="none" w:sz="0" w:space="0" w:color="auto"/>
                    <w:bottom w:val="none" w:sz="0" w:space="0" w:color="auto"/>
                    <w:right w:val="none" w:sz="0" w:space="0" w:color="auto"/>
                  </w:divBdr>
                </w:div>
                <w:div w:id="1248225937">
                  <w:marLeft w:val="0"/>
                  <w:marRight w:val="0"/>
                  <w:marTop w:val="0"/>
                  <w:marBottom w:val="0"/>
                  <w:divBdr>
                    <w:top w:val="none" w:sz="0" w:space="0" w:color="auto"/>
                    <w:left w:val="none" w:sz="0" w:space="0" w:color="auto"/>
                    <w:bottom w:val="none" w:sz="0" w:space="0" w:color="auto"/>
                    <w:right w:val="none" w:sz="0" w:space="0" w:color="auto"/>
                  </w:divBdr>
                </w:div>
              </w:divsChild>
            </w:div>
            <w:div w:id="1220553738">
              <w:marLeft w:val="0"/>
              <w:marRight w:val="0"/>
              <w:marTop w:val="0"/>
              <w:marBottom w:val="0"/>
              <w:divBdr>
                <w:top w:val="none" w:sz="0" w:space="0" w:color="auto"/>
                <w:left w:val="none" w:sz="0" w:space="0" w:color="auto"/>
                <w:bottom w:val="none" w:sz="0" w:space="0" w:color="auto"/>
                <w:right w:val="none" w:sz="0" w:space="0" w:color="auto"/>
              </w:divBdr>
              <w:divsChild>
                <w:div w:id="514076861">
                  <w:marLeft w:val="0"/>
                  <w:marRight w:val="0"/>
                  <w:marTop w:val="0"/>
                  <w:marBottom w:val="0"/>
                  <w:divBdr>
                    <w:top w:val="none" w:sz="0" w:space="0" w:color="auto"/>
                    <w:left w:val="none" w:sz="0" w:space="0" w:color="auto"/>
                    <w:bottom w:val="none" w:sz="0" w:space="0" w:color="auto"/>
                    <w:right w:val="none" w:sz="0" w:space="0" w:color="auto"/>
                  </w:divBdr>
                </w:div>
              </w:divsChild>
            </w:div>
            <w:div w:id="1514802446">
              <w:marLeft w:val="0"/>
              <w:marRight w:val="0"/>
              <w:marTop w:val="0"/>
              <w:marBottom w:val="0"/>
              <w:divBdr>
                <w:top w:val="none" w:sz="0" w:space="0" w:color="auto"/>
                <w:left w:val="none" w:sz="0" w:space="0" w:color="auto"/>
                <w:bottom w:val="none" w:sz="0" w:space="0" w:color="auto"/>
                <w:right w:val="none" w:sz="0" w:space="0" w:color="auto"/>
              </w:divBdr>
              <w:divsChild>
                <w:div w:id="384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1541">
          <w:marLeft w:val="0"/>
          <w:marRight w:val="0"/>
          <w:marTop w:val="0"/>
          <w:marBottom w:val="0"/>
          <w:divBdr>
            <w:top w:val="none" w:sz="0" w:space="0" w:color="auto"/>
            <w:left w:val="none" w:sz="0" w:space="0" w:color="auto"/>
            <w:bottom w:val="none" w:sz="0" w:space="0" w:color="auto"/>
            <w:right w:val="none" w:sz="0" w:space="0" w:color="auto"/>
          </w:divBdr>
          <w:divsChild>
            <w:div w:id="1547833468">
              <w:marLeft w:val="0"/>
              <w:marRight w:val="0"/>
              <w:marTop w:val="0"/>
              <w:marBottom w:val="0"/>
              <w:divBdr>
                <w:top w:val="none" w:sz="0" w:space="0" w:color="auto"/>
                <w:left w:val="none" w:sz="0" w:space="0" w:color="auto"/>
                <w:bottom w:val="none" w:sz="0" w:space="0" w:color="auto"/>
                <w:right w:val="none" w:sz="0" w:space="0" w:color="auto"/>
              </w:divBdr>
              <w:divsChild>
                <w:div w:id="1494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47332">
      <w:bodyDiv w:val="1"/>
      <w:marLeft w:val="0"/>
      <w:marRight w:val="0"/>
      <w:marTop w:val="0"/>
      <w:marBottom w:val="0"/>
      <w:divBdr>
        <w:top w:val="none" w:sz="0" w:space="0" w:color="auto"/>
        <w:left w:val="none" w:sz="0" w:space="0" w:color="auto"/>
        <w:bottom w:val="none" w:sz="0" w:space="0" w:color="auto"/>
        <w:right w:val="none" w:sz="0" w:space="0" w:color="auto"/>
      </w:divBdr>
      <w:divsChild>
        <w:div w:id="10728976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48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1211">
      <w:bodyDiv w:val="1"/>
      <w:marLeft w:val="0"/>
      <w:marRight w:val="0"/>
      <w:marTop w:val="0"/>
      <w:marBottom w:val="0"/>
      <w:divBdr>
        <w:top w:val="none" w:sz="0" w:space="0" w:color="auto"/>
        <w:left w:val="none" w:sz="0" w:space="0" w:color="auto"/>
        <w:bottom w:val="none" w:sz="0" w:space="0" w:color="auto"/>
        <w:right w:val="none" w:sz="0" w:space="0" w:color="auto"/>
      </w:divBdr>
      <w:divsChild>
        <w:div w:id="336612550">
          <w:marLeft w:val="0"/>
          <w:marRight w:val="0"/>
          <w:marTop w:val="0"/>
          <w:marBottom w:val="0"/>
          <w:divBdr>
            <w:top w:val="none" w:sz="0" w:space="0" w:color="auto"/>
            <w:left w:val="none" w:sz="0" w:space="0" w:color="auto"/>
            <w:bottom w:val="none" w:sz="0" w:space="0" w:color="auto"/>
            <w:right w:val="none" w:sz="0" w:space="0" w:color="auto"/>
          </w:divBdr>
          <w:divsChild>
            <w:div w:id="1201094731">
              <w:marLeft w:val="0"/>
              <w:marRight w:val="0"/>
              <w:marTop w:val="0"/>
              <w:marBottom w:val="0"/>
              <w:divBdr>
                <w:top w:val="none" w:sz="0" w:space="0" w:color="auto"/>
                <w:left w:val="none" w:sz="0" w:space="0" w:color="auto"/>
                <w:bottom w:val="none" w:sz="0" w:space="0" w:color="auto"/>
                <w:right w:val="none" w:sz="0" w:space="0" w:color="auto"/>
              </w:divBdr>
              <w:divsChild>
                <w:div w:id="10884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00936">
      <w:bodyDiv w:val="1"/>
      <w:marLeft w:val="0"/>
      <w:marRight w:val="0"/>
      <w:marTop w:val="0"/>
      <w:marBottom w:val="0"/>
      <w:divBdr>
        <w:top w:val="none" w:sz="0" w:space="0" w:color="auto"/>
        <w:left w:val="none" w:sz="0" w:space="0" w:color="auto"/>
        <w:bottom w:val="none" w:sz="0" w:space="0" w:color="auto"/>
        <w:right w:val="none" w:sz="0" w:space="0" w:color="auto"/>
      </w:divBdr>
      <w:divsChild>
        <w:div w:id="3125658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77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9857">
      <w:bodyDiv w:val="1"/>
      <w:marLeft w:val="0"/>
      <w:marRight w:val="0"/>
      <w:marTop w:val="0"/>
      <w:marBottom w:val="0"/>
      <w:divBdr>
        <w:top w:val="none" w:sz="0" w:space="0" w:color="auto"/>
        <w:left w:val="none" w:sz="0" w:space="0" w:color="auto"/>
        <w:bottom w:val="none" w:sz="0" w:space="0" w:color="auto"/>
        <w:right w:val="none" w:sz="0" w:space="0" w:color="auto"/>
      </w:divBdr>
      <w:divsChild>
        <w:div w:id="88084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1410750">
              <w:marLeft w:val="0"/>
              <w:marRight w:val="0"/>
              <w:marTop w:val="0"/>
              <w:marBottom w:val="0"/>
              <w:divBdr>
                <w:top w:val="none" w:sz="0" w:space="0" w:color="auto"/>
                <w:left w:val="none" w:sz="0" w:space="0" w:color="auto"/>
                <w:bottom w:val="none" w:sz="0" w:space="0" w:color="auto"/>
                <w:right w:val="none" w:sz="0" w:space="0" w:color="auto"/>
              </w:divBdr>
              <w:divsChild>
                <w:div w:id="18959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3885</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TU Dresden</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Strobel</dc:creator>
  <cp:keywords/>
  <dc:description/>
  <cp:lastModifiedBy>Alexander Strobel</cp:lastModifiedBy>
  <cp:revision>3</cp:revision>
  <dcterms:created xsi:type="dcterms:W3CDTF">2023-08-09T07:31:00Z</dcterms:created>
  <dcterms:modified xsi:type="dcterms:W3CDTF">2023-08-09T14:58:00Z</dcterms:modified>
</cp:coreProperties>
</file>