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8"/>
        </w:rPr>
        <w:t>Market Entry Report: Specialty Coffee in Germany and Austria</w:t>
      </w:r>
    </w:p>
    <w:p>
      <w:pPr>
        <w:jc w:val="center"/>
      </w:pPr>
      <w:r>
        <w:rPr>
          <w:sz w:val="28"/>
        </w:rPr>
        <w:t>Prepared by AI Document Production System</w:t>
      </w:r>
    </w:p>
    <w:p>
      <w:pPr>
        <w:jc w:val="center"/>
      </w:pPr>
      <w:r>
        <w:rPr>
          <w:sz w:val="24"/>
        </w:rPr>
        <w:t>October 08, 2026</w:t>
      </w:r>
    </w:p>
    <w:p>
      <w:pPr>
        <w:jc w:val="center"/>
      </w:pPr>
      <w:r>
        <w:rPr>
          <w:sz w:val="22"/>
        </w:rPr>
        <w:t>AI Quality Score: 72/100</w:t>
      </w:r>
    </w:p>
    <w:p>
      <w:r>
        <w:br w:type="page"/>
      </w:r>
    </w:p>
    <w:p>
      <w:pPr>
        <w:pStyle w:val="Heading1"/>
      </w:pPr>
      <w:r>
        <w:rPr>
          <w:b/>
          <w:color w:val="1F3B73"/>
        </w:rPr>
        <w:t>Executive Summary</w:t>
      </w:r>
    </w:p>
    <w:p>
      <w:pPr>
        <w:pStyle w:val="Heading2"/>
      </w:pPr>
      <w:r>
        <w:rPr>
          <w:b/>
          <w:color w:val="1F3B73"/>
        </w:rPr>
        <w:t>Market Entry Opportunity: Germany and Austria</w:t>
      </w:r>
    </w:p>
    <w:p>
      <w:r>
        <w:t>Northwind Traders is evaluating Germany and Austria as its next expansion region following its established operations in Scandinavia. This executive summary synthesizes the key findings of the market entry assessment, covering market size and growth, the competitive landscape, principal entry barriers, and a recommended approach. All figures cited below are drawn exclusively from the sources listed in the methodology (*European Coffee Retail Review 2025*, *Urban Coffee Consumer Survey 2025*, and *DACH Specialty Coffee Competitor Tracker* — all fictional demo sources). Where data required to answer a question is not available in the source material, this is stated explicitly.</w:t>
      </w:r>
    </w:p>
    <w:p>
      <w:pPr>
        <w:pStyle w:val="Heading2"/>
      </w:pPr>
      <w:r>
        <w:rPr>
          <w:b/>
          <w:color w:val="1F3B73"/>
        </w:rPr>
        <w:t>Market Size and Growth</w:t>
      </w:r>
    </w:p>
    <w:p>
      <w:r>
        <w:t>The combined specialty coffee market in Germany and Austria represents a substantial and growing opportunity:</w:t>
      </w:r>
    </w:p>
    <w:p>
      <w:pPr>
        <w:pStyle w:val="ListBullet"/>
      </w:pPr>
      <w:r>
        <w:rPr>
          <w:b/>
        </w:rPr>
        <w:t>Combined market size (2025): EUR 3.0 billion</w:t>
      </w:r>
    </w:p>
    <w:p>
      <w:pPr>
        <w:pStyle w:val="ListBullet"/>
      </w:pPr>
      <w:r>
        <w:rPr>
          <w:b/>
        </w:rPr>
        <w:t>Germany: EUR 2.4 billion</w:t>
      </w:r>
      <w:r>
        <w:t xml:space="preserve"> — the dominant market, accounting for approximately 80% of the combined value (calculation: 2.4 ÷ 3.0).</w:t>
      </w:r>
    </w:p>
    <w:p>
      <w:pPr>
        <w:pStyle w:val="ListBullet"/>
      </w:pPr>
      <w:r>
        <w:rPr>
          <w:b/>
        </w:rPr>
        <w:t>Austria: EUR 0.6 billion</w:t>
      </w:r>
      <w:r>
        <w:t xml:space="preserve"> — approximately 20% of the combined value (calculation: 0.6 ÷ 3.0).</w:t>
      </w:r>
    </w:p>
    <w:p>
      <w:pPr>
        <w:pStyle w:val="ListBullet"/>
      </w:pPr>
      <w:r>
        <w:rPr>
          <w:b/>
        </w:rPr>
        <w:t>Forecast CAGR (2025–2030): 7.5%</w:t>
      </w:r>
      <w:r>
        <w:t>, indicating strong growth potential across both markets over the next five years.</w:t>
      </w:r>
    </w:p>
    <w:p>
      <w:r>
        <w:t xml:space="preserve">At a </w:t>
      </w:r>
      <w:r>
        <w:rPr>
          <w:b/>
        </w:rPr>
        <w:t>7.5% CAGR</w:t>
      </w:r>
      <w:r>
        <w:t xml:space="preserve">, the combined market would be expected to grow materially by 2030. For context, applying the stated CAGR as a simple illustration (calculation, not a source figure): EUR 3.0 billion growing at 7.5% annually would reach approximately </w:t>
      </w:r>
      <w:r>
        <w:rPr>
          <w:b/>
        </w:rPr>
        <w:t>EUR 4.3 billion by 2030</w:t>
      </w:r>
      <w:r>
        <w:t>. This illustrative figure is derived solely from the stated market size and CAGR and should be treated as an indicative calculation rather than a forecast from the source.</w:t>
      </w:r>
    </w:p>
    <w:p>
      <w:r>
        <w:rPr>
          <w:b/>
        </w:rPr>
        <w:t>Implication for the board:</w:t>
      </w:r>
      <w:r>
        <w:t xml:space="preserve"> Germany is the primary prize by absolute market value, while Austria offers a smaller but strategically adjacent market that can be served with shared regional infrastructure. The 7.5% CAGR supports a case for entering now rather than deferring, provided entry barriers can be managed.</w:t>
      </w:r>
    </w:p>
    <w:p>
      <w:pPr>
        <w:pStyle w:val="Heading2"/>
      </w:pPr>
      <w:r>
        <w:rPr>
          <w:b/>
          <w:color w:val="1F3B73"/>
        </w:rPr>
        <w:t>Competitive Landscape</w:t>
      </w:r>
    </w:p>
    <w:p>
      <w:r>
        <w:t xml:space="preserve">The competitive environment is characterized by </w:t>
      </w:r>
      <w:r>
        <w:rPr>
          <w:b/>
        </w:rPr>
        <w:t>three major players</w:t>
      </w:r>
      <w:r>
        <w:t xml:space="preserve"> with established store networks and loyalty programs. The presence of entrenched incumbents with loyalty schemes represents a significant structural feature of both markets:</w:t>
      </w:r>
    </w:p>
    <w:p>
      <w:pPr>
        <w:pStyle w:val="ListBullet"/>
      </w:pPr>
      <w:r>
        <w:rPr>
          <w:b/>
        </w:rPr>
        <w:t>Established store networks</w:t>
      </w:r>
      <w:r>
        <w:t xml:space="preserve"> mean prime locations are already occupied by competitors, raising the cost and difficulty of securing comparable sites.</w:t>
      </w:r>
    </w:p>
    <w:p>
      <w:pPr>
        <w:pStyle w:val="ListBullet"/>
      </w:pPr>
      <w:r>
        <w:rPr>
          <w:b/>
        </w:rPr>
        <w:t>Loyalty programs</w:t>
      </w:r>
      <w:r>
        <w:t xml:space="preserve"> create switching costs for consumers, making customer acquisition more expensive for a new entrant and reinforcing incumbent retention.</w:t>
      </w:r>
    </w:p>
    <w:p>
      <w:r>
        <w:rPr>
          <w:b/>
        </w:rPr>
        <w:t>Specific competitor names, market shares, store counts, and financial performance are not available in the provided source material — Data not available.</w:t>
      </w:r>
      <w:r>
        <w:t xml:space="preserve"> The board should note that a detailed competitor-by-competitor assessment would require additional licensed market research before final investment commitment.</w:t>
      </w:r>
    </w:p>
    <w:p>
      <w:pPr>
        <w:pStyle w:val="Heading2"/>
      </w:pPr>
      <w:r>
        <w:rPr>
          <w:b/>
          <w:color w:val="1F3B73"/>
        </w:rPr>
        <w:t>Entry Barriers</w:t>
      </w:r>
    </w:p>
    <w:p>
      <w:r>
        <w:t>The assessment identifies three principal barriers to entry:</w:t>
      </w:r>
    </w:p>
    <w:p>
      <w:pPr>
        <w:pStyle w:val="ListNumber"/>
      </w:pPr>
      <w:r>
        <w:rPr>
          <w:b/>
        </w:rPr>
        <w:t>High street rents</w:t>
      </w:r>
      <w:r>
        <w:t xml:space="preserve"> — prime retail locations in target cities carry high occupancy costs, compressing margins during the ramp-up phase and increasing the capital required per store.</w:t>
      </w:r>
    </w:p>
    <w:p>
      <w:pPr>
        <w:pStyle w:val="ListNumber"/>
      </w:pPr>
      <w:r>
        <w:rPr>
          <w:b/>
        </w:rPr>
        <w:t>Competitor loyalty</w:t>
      </w:r>
      <w:r>
        <w:t xml:space="preserve"> — the incumbents' loyalty programs create consumer stickiness that Northwind must overcome through differentiation, pricing, or its own loyalty proposition.</w:t>
      </w:r>
    </w:p>
    <w:p>
      <w:pPr>
        <w:pStyle w:val="ListNumber"/>
      </w:pPr>
      <w:r>
        <w:rPr>
          <w:b/>
        </w:rPr>
        <w:t>Staff certification requirements</w:t>
      </w:r>
      <w:r>
        <w:t xml:space="preserve"> — specialty coffee operations require certified staff (e.g., trained baristas), adding recruitment, training, and compliance costs, and potentially slowing store openings.</w:t>
      </w:r>
    </w:p>
    <w:p>
      <w:r>
        <w:rPr>
          <w:b/>
        </w:rPr>
        <w:t>Regulatory, cultural, and infrastructural barriers beyond these three are not detailed in the provided source material — Data not available.</w:t>
      </w:r>
      <w:r>
        <w:t xml:space="preserve"> The board should treat the barrier list as directionally complete for the demo dataset but recognize that a full regulatory and cultural review would be required in a real engagement.</w:t>
      </w:r>
    </w:p>
    <w:p>
      <w:pPr>
        <w:pStyle w:val="Heading2"/>
      </w:pPr>
      <w:r>
        <w:rPr>
          <w:b/>
          <w:color w:val="1F3B73"/>
        </w:rPr>
        <w:t>Recommendation: Phased Market Entry</w:t>
      </w:r>
    </w:p>
    <w:p>
      <w:r>
        <w:t xml:space="preserve">Based on the findings above, the recommended approach is a </w:t>
      </w:r>
      <w:r>
        <w:rPr>
          <w:b/>
        </w:rPr>
        <w:t>phased market entry</w:t>
      </w:r>
      <w:r>
        <w:t>:</w:t>
      </w:r>
    </w:p>
    <w:p>
      <w:pPr>
        <w:pStyle w:val="ListBullet"/>
      </w:pPr>
      <w:r>
        <w:rPr>
          <w:b/>
        </w:rPr>
        <w:t>Phase 1 — Focus on high-potential cities.</w:t>
      </w:r>
      <w:r>
        <w:t xml:space="preserve"> Prioritize a limited number of cities with the strongest demand signals and competitive openings, rather than a broad national rollout. This limits exposure to high street rents and allows Northwind to test its proposition against incumbent loyalty programs before scaling.</w:t>
      </w:r>
    </w:p>
    <w:p>
      <w:pPr>
        <w:pStyle w:val="ListBullet"/>
      </w:pPr>
      <w:r>
        <w:rPr>
          <w:b/>
        </w:rPr>
        <w:t>Phase 2 — Leverage sustainability trends.</w:t>
      </w:r>
      <w:r>
        <w:t xml:space="preserve"> Position the brand around sustainability, which the *Urban Coffee Consumer Survey 2025* identifies as a relevant consumer trend. This provides a credible differentiation angle against established competitors whose loyalty programs are already mature.</w:t>
      </w:r>
    </w:p>
    <w:p>
      <w:pPr>
        <w:pStyle w:val="ListBullet"/>
      </w:pPr>
      <w:r>
        <w:rPr>
          <w:b/>
        </w:rPr>
        <w:t>Phase 3 — Scale selectively.</w:t>
      </w:r>
      <w:r>
        <w:t xml:space="preserve"> Expand into additional cities only after validating unit economics and customer acquisition costs in the initial cluster.</w:t>
      </w:r>
    </w:p>
    <w:p>
      <w:r>
        <w:rPr>
          <w:b/>
        </w:rPr>
        <w:t>Rationale:</w:t>
      </w:r>
      <w:r>
        <w:t xml:space="preserve"> The combination of a </w:t>
      </w:r>
      <w:r>
        <w:rPr>
          <w:b/>
        </w:rPr>
        <w:t>EUR 3.0 billion</w:t>
      </w:r>
      <w:r>
        <w:t xml:space="preserve"> combined market, a </w:t>
      </w:r>
      <w:r>
        <w:rPr>
          <w:b/>
        </w:rPr>
        <w:t>7.5% CAGR</w:t>
      </w:r>
      <w:r>
        <w:t xml:space="preserve">, and entrenched but identifiable competitors supports a disciplined, phased entry rather than an aggressive simultaneous launch across both countries. Germany should anchor the expansion given its </w:t>
      </w:r>
      <w:r>
        <w:rPr>
          <w:b/>
        </w:rPr>
        <w:t>EUR 2.4 billion</w:t>
      </w:r>
      <w:r>
        <w:t xml:space="preserve"> market size, with Austria (</w:t>
      </w:r>
      <w:r>
        <w:rPr>
          <w:b/>
        </w:rPr>
        <w:t>EUR 0.6 billion</w:t>
      </w:r>
      <w:r>
        <w:t>) serving as a complementary, lower-cost adjacency.</w:t>
      </w:r>
    </w:p>
    <w:p>
      <w:pPr>
        <w:pStyle w:val="Heading2"/>
      </w:pPr>
      <w:r>
        <w:rPr>
          <w:b/>
          <w:color w:val="1F3B73"/>
        </w:rPr>
        <w:t>Key Risks and Data Gaps</w:t>
      </w:r>
    </w:p>
    <w:p>
      <w:pPr>
        <w:pStyle w:val="ListBullet"/>
      </w:pPr>
      <w:r>
        <w:rPr>
          <w:b/>
        </w:rPr>
        <w:t>Competitive intensity:</w:t>
      </w:r>
      <w:r>
        <w:t xml:space="preserve"> Three major players with loyalty programs represent the most significant commercial risk; detailed share data is </w:t>
      </w:r>
      <w:r>
        <w:rPr>
          <w:b/>
        </w:rPr>
        <w:t>Data not available</w:t>
      </w:r>
      <w:r>
        <w:t>.</w:t>
      </w:r>
    </w:p>
    <w:p>
      <w:pPr>
        <w:pStyle w:val="ListBullet"/>
      </w:pPr>
      <w:r>
        <w:rPr>
          <w:b/>
        </w:rPr>
        <w:t>Cost structure:</w:t>
      </w:r>
      <w:r>
        <w:t xml:space="preserve"> High street rents and staff certification requirements could delay breakeven; specific cost figures are </w:t>
      </w:r>
      <w:r>
        <w:rPr>
          <w:b/>
        </w:rPr>
        <w:t>Data not available</w:t>
      </w:r>
      <w:r>
        <w:t>.</w:t>
      </w:r>
    </w:p>
    <w:p>
      <w:pPr>
        <w:pStyle w:val="ListBullet"/>
      </w:pPr>
      <w:r>
        <w:rPr>
          <w:b/>
        </w:rPr>
        <w:t>Northwind's current footprint:</w:t>
      </w:r>
      <w:r>
        <w:t xml:space="preserve"> The number of Northwind's existing Scandinavian locations is </w:t>
      </w:r>
      <w:r>
        <w:rPr>
          <w:b/>
        </w:rPr>
        <w:t>Data not available</w:t>
      </w:r>
      <w:r>
        <w:t xml:space="preserve"> in the provided source material and should not be stated as a fixed figure without verification.</w:t>
      </w:r>
    </w:p>
    <w:p>
      <w:pPr>
        <w:pStyle w:val="Heading2"/>
      </w:pPr>
      <w:r>
        <w:rPr>
          <w:b/>
          <w:color w:val="1F3B73"/>
        </w:rPr>
        <w:t>Conclusion</w:t>
      </w:r>
    </w:p>
    <w:p>
      <w:r>
        <w:t xml:space="preserve">The Germany–Austria specialty coffee market presents a </w:t>
      </w:r>
      <w:r>
        <w:rPr>
          <w:b/>
        </w:rPr>
        <w:t>EUR 3.0 billion</w:t>
      </w:r>
      <w:r>
        <w:t xml:space="preserve"> opportunity growing at </w:t>
      </w:r>
      <w:r>
        <w:rPr>
          <w:b/>
        </w:rPr>
        <w:t>7.5% CAGR through 2030</w:t>
      </w:r>
      <w:r>
        <w:t>, with clear but manageable entry barriers. A phased, city-focused entry leveraging sustainability positioning offers the most credible path to establishing a defensible presence. The board is advised to commission detailed competitor and cost research to close the identified data gaps before final capital allocation.</w:t>
      </w:r>
    </w:p>
    <w:p>
      <w:pPr>
        <w:pStyle w:val="Heading1"/>
      </w:pPr>
      <w:r>
        <w:rPr>
          <w:b/>
          <w:color w:val="1F3B73"/>
        </w:rPr>
        <w:t>Market Overview</w:t>
      </w:r>
    </w:p>
    <w:p>
      <w:pPr>
        <w:pStyle w:val="Heading2"/>
      </w:pPr>
      <w:r>
        <w:rPr>
          <w:b/>
          <w:color w:val="1F3B73"/>
        </w:rPr>
        <w:t>Introduction</w:t>
      </w:r>
    </w:p>
    <w:p>
      <w:r>
        <w:t>This section assesses the specialty coffee market in Germany and Austria, the two target markets under evaluation by Northwind Traders for its next phase of international expansion. It covers market size, five-year growth forecasts, and the consumer trends that will shape commercial strategy. All figures are drawn exclusively from the sources defined in the project methodology: the *European Coffee Retail Review 2025* (market sizing), the *Urban Coffee Consumer Survey 2025* (consumer trends), and the *DACH Specialty Coffee Competitor Tracker* (competitor data). All three sources are fictional demo datasets created for this exercise; in a live engagement they would be replaced with verified public or licensed research. Where a relevant data point is not covered by these sources, it is explicitly flagged as "Data not available" rather than estimated.</w:t>
      </w:r>
    </w:p>
    <w:p>
      <w:pPr>
        <w:pStyle w:val="Heading2"/>
      </w:pPr>
      <w:r>
        <w:rPr>
          <w:b/>
          <w:color w:val="1F3B73"/>
        </w:rPr>
        <w:t>Market Size</w:t>
      </w:r>
    </w:p>
    <w:p>
      <w:r>
        <w:t>The combined addressable market for specialty coffee in Germany and Austria is substantial. According to the *European Coffee Retail Review 2025*:</w:t>
      </w:r>
    </w:p>
    <w:p>
      <w:pPr>
        <w:pStyle w:val="ListBullet"/>
      </w:pPr>
      <w:r>
        <w:rPr>
          <w:b/>
        </w:rPr>
        <w:t>Germany: EUR 2.4 billion (2025)</w:t>
      </w:r>
      <w:r>
        <w:t xml:space="preserve"> — the largest specialty coffee market in the DACH region and the primary volume opportunity.</w:t>
      </w:r>
    </w:p>
    <w:p>
      <w:pPr>
        <w:pStyle w:val="ListBullet"/>
      </w:pPr>
      <w:r>
        <w:rPr>
          <w:b/>
        </w:rPr>
        <w:t>Austria: EUR 0.6 billion (2025)</w:t>
      </w:r>
      <w:r>
        <w:t xml:space="preserve"> — a smaller but strategically adjacent market that shares language, retail formats, and consumer preferences with Germany.</w:t>
      </w:r>
    </w:p>
    <w:p>
      <w:r>
        <w:t xml:space="preserve">On a combined basis, this represents a </w:t>
      </w:r>
      <w:r>
        <w:rPr>
          <w:b/>
        </w:rPr>
        <w:t>EUR 3.0 billion market in 2025</w:t>
      </w:r>
      <w:r>
        <w:t xml:space="preserve"> (calculation: EUR 2.4bn + EUR 0.6bn). Germany accounts for </w:t>
      </w:r>
      <w:r>
        <w:rPr>
          <w:b/>
        </w:rPr>
        <w:t>80% of the combined market</w:t>
      </w:r>
      <w:r>
        <w:t xml:space="preserve"> (calculation: 2.4 / 3.0), while Austria contributes the remaining </w:t>
      </w:r>
      <w:r>
        <w:rPr>
          <w:b/>
        </w:rPr>
        <w:t>20%</w:t>
      </w:r>
      <w:r>
        <w:t>. For Northwind Traders, this asymmetry has direct strategic implications: Germany must anchor any expansion business case, with Austria positioned as a secondary, lower-risk entry that can share supply chain, brand, and marketing infrastructure.</w:t>
      </w:r>
    </w:p>
    <w:p>
      <w:pPr>
        <w:pStyle w:val="Heading2"/>
      </w:pPr>
      <w:r>
        <w:rPr>
          <w:b/>
          <w:color w:val="1F3B73"/>
        </w:rPr>
        <w:t>Growth Forecast</w:t>
      </w:r>
    </w:p>
    <w:p>
      <w:r>
        <w:t xml:space="preserve">The *European Coffee Retail Review 2025* forecasts the combined Germany–Austria specialty coffee market to grow at a </w:t>
      </w:r>
      <w:r>
        <w:rPr>
          <w:b/>
        </w:rPr>
        <w:t>7.5% CAGR between 2025 and 2030</w:t>
      </w:r>
      <w:r>
        <w:t>. Applying this rate to the 2025 base (calculation based on source CAGR):</w:t>
      </w:r>
    </w:p>
    <w:p>
      <w:r>
        <w:t>Year | Combined market (EUR bn, calculated)</w:t>
      </w:r>
    </w:p>
    <w:p>
      <w:r>
        <w:t>2025 | 3.0</w:t>
      </w:r>
    </w:p>
    <w:p>
      <w:r>
        <w:t>2026 | 3.2</w:t>
      </w:r>
    </w:p>
    <w:p>
      <w:r>
        <w:t>2027 | 3.5</w:t>
      </w:r>
    </w:p>
    <w:p>
      <w:r>
        <w:t>2028 | 3.7</w:t>
      </w:r>
    </w:p>
    <w:p>
      <w:r>
        <w:t>2029 | 4.0</w:t>
      </w:r>
    </w:p>
    <w:p>
      <w:r>
        <w:t>2030 | 4.3</w:t>
      </w:r>
    </w:p>
    <w:p>
      <w:r>
        <w:t xml:space="preserve">These figures are derived calculations from the stated 2025 market sizes and the source-provided CAGR; they are not independent forecasts. They indicate that the combined market would expand by roughly </w:t>
      </w:r>
      <w:r>
        <w:rPr>
          <w:b/>
        </w:rPr>
        <w:t>EUR 1.3 billion over five years</w:t>
      </w:r>
      <w:r>
        <w:t xml:space="preserve"> (calculation), equivalent to approximately </w:t>
      </w:r>
      <w:r>
        <w:rPr>
          <w:b/>
        </w:rPr>
        <w:t>43% cumulative growth</w:t>
      </w:r>
      <w:r>
        <w:t xml:space="preserve"> (calculation).</w:t>
      </w:r>
    </w:p>
    <w:p>
      <w:r>
        <w:t>Two observations matter for board-level planning. First, a 7.5% CAGR is meaningfully above general consumer packaged goods growth, confirming specialty coffee as a structurally expanding category rather than a mature one. Second, the forecast horizon aligns with a typical retail expansion payback window, meaning Northwind Traders can enter a growing market rather than compete for static share. The methodology prohibits extrapolation beyond the stated 7.5% CAGR and 2030 horizon; no forecast beyond 2030 is provided by the sources.</w:t>
      </w:r>
    </w:p>
    <w:p>
      <w:pPr>
        <w:pStyle w:val="Heading2"/>
      </w:pPr>
      <w:r>
        <w:rPr>
          <w:b/>
          <w:color w:val="1F3B73"/>
        </w:rPr>
        <w:t>Consumer Trends</w:t>
      </w:r>
    </w:p>
    <w:p>
      <w:r>
        <w:t>The *Urban Coffee Consumer Survey 2025* identifies three demand-side dynamics that directly inform entry strategy.</w:t>
      </w:r>
    </w:p>
    <w:p>
      <w:r>
        <w:rPr>
          <w:b/>
        </w:rPr>
        <w:t>1. High-frequency urban demand among younger consumers.</w:t>
      </w:r>
      <w:r>
        <w:t xml:space="preserve"> </w:t>
      </w:r>
      <w:r>
        <w:rPr>
          <w:b/>
        </w:rPr>
        <w:t>64% of urban consumers aged 25–40 purchase specialty coffee weekly.</w:t>
      </w:r>
      <w:r>
        <w:t xml:space="preserve"> This cohort represents the core target segment: digitally engaged, habit-driven, and concentrated in cities where retail footprints are viable. For Northwind Traders, store location strategy should prioritize urban catchments with high densities of this demographic.</w:t>
      </w:r>
    </w:p>
    <w:p>
      <w:r>
        <w:rPr>
          <w:b/>
        </w:rPr>
        <w:t>2. Willingness to pay for sustainability.</w:t>
      </w:r>
      <w:r>
        <w:t xml:space="preserve"> </w:t>
      </w:r>
      <w:r>
        <w:rPr>
          <w:b/>
        </w:rPr>
        <w:t>48% of consumers are willing to pay a premium for sustainably sourced beans.</w:t>
      </w:r>
      <w:r>
        <w:t xml:space="preserve"> This is a near-majority premium tolerance and supports a positioning strategy built on sourcing transparency and certification. It also implies that sustainability claims must be verifiable — the survey measures stated willingness, not realized purchase behavior, and the methodology does not provide conversion rates from stated intent to actual premium purchases.</w:t>
      </w:r>
    </w:p>
    <w:p>
      <w:r>
        <w:rPr>
          <w:b/>
        </w:rPr>
        <w:t>3. Physical retail remains dominant.</w:t>
      </w:r>
      <w:r>
        <w:t xml:space="preserve"> </w:t>
      </w:r>
      <w:r>
        <w:rPr>
          <w:b/>
        </w:rPr>
        <w:t>71% of coffee purchases occur in physical stores.</w:t>
      </w:r>
      <w:r>
        <w:t xml:space="preserve"> Despite the growth of e-commerce, the majority of category transactions remain offline. This validates a bricks-and-mortar-led entry model and suggests that digital channels should function as demand generation and loyalty tools rather than primary revenue channels.</w:t>
      </w:r>
    </w:p>
    <w:p>
      <w:pPr>
        <w:pStyle w:val="Heading2"/>
      </w:pPr>
      <w:r>
        <w:rPr>
          <w:b/>
          <w:color w:val="1F3B73"/>
        </w:rPr>
        <w:t>Implications for Northwind Traders</w:t>
      </w:r>
    </w:p>
    <w:p>
      <w:r>
        <w:t>Three actionable insights follow directly from the data:</w:t>
      </w:r>
    </w:p>
    <w:p>
      <w:pPr>
        <w:pStyle w:val="ListBullet"/>
      </w:pPr>
      <w:r>
        <w:rPr>
          <w:b/>
        </w:rPr>
        <w:t>Prioritize Germany, sequence Austria.</w:t>
      </w:r>
      <w:r>
        <w:t xml:space="preserve"> With </w:t>
      </w:r>
      <w:r>
        <w:rPr>
          <w:b/>
        </w:rPr>
        <w:t>80% of combined market value</w:t>
      </w:r>
      <w:r>
        <w:t xml:space="preserve"> in Germany, capital allocation should reflect that weighting. Austria's </w:t>
      </w:r>
      <w:r>
        <w:rPr>
          <w:b/>
        </w:rPr>
        <w:t>EUR 0.6 billion</w:t>
      </w:r>
      <w:r>
        <w:t xml:space="preserve"> market is best approached as a follow-on phase leveraging shared infrastructure.</w:t>
      </w:r>
    </w:p>
    <w:p>
      <w:pPr>
        <w:pStyle w:val="ListBullet"/>
      </w:pPr>
      <w:r>
        <w:rPr>
          <w:b/>
        </w:rPr>
        <w:t>Design for the 25–40 urban cohort.</w:t>
      </w:r>
      <w:r>
        <w:t xml:space="preserve"> With </w:t>
      </w:r>
      <w:r>
        <w:rPr>
          <w:b/>
        </w:rPr>
        <w:t>64% weekly purchase incidence</w:t>
      </w:r>
      <w:r>
        <w:t xml:space="preserve"> in this group, site selection, store format, and marketing should be calibrated to urban professionals rather than broad national coverage.</w:t>
      </w:r>
    </w:p>
    <w:p>
      <w:pPr>
        <w:pStyle w:val="ListBullet"/>
      </w:pPr>
      <w:r>
        <w:rPr>
          <w:b/>
        </w:rPr>
        <w:t>Lead with sustainability, but substantiate it.</w:t>
      </w:r>
      <w:r>
        <w:t xml:space="preserve"> The </w:t>
      </w:r>
      <w:r>
        <w:rPr>
          <w:b/>
        </w:rPr>
        <w:t>48% premium willingness</w:t>
      </w:r>
      <w:r>
        <w:t xml:space="preserve"> figure justifies investment in certified sourcing; however, because the survey captures stated intent, Northwind Traders should validate real price elasticity through pilot pricing before committing to a premium-led brand architecture.</w:t>
      </w:r>
    </w:p>
    <w:p>
      <w:pPr>
        <w:pStyle w:val="ListBullet"/>
      </w:pPr>
      <w:r>
        <w:rPr>
          <w:b/>
        </w:rPr>
        <w:t>Invest in physical presence.</w:t>
      </w:r>
      <w:r>
        <w:t xml:space="preserve"> With </w:t>
      </w:r>
      <w:r>
        <w:rPr>
          <w:b/>
        </w:rPr>
        <w:t>71% of purchases in-store</w:t>
      </w:r>
      <w:r>
        <w:t>, the expansion case should be built around retail locations, with digital as a supporting layer.</w:t>
      </w:r>
    </w:p>
    <w:p>
      <w:pPr>
        <w:pStyle w:val="Heading2"/>
      </w:pPr>
      <w:r>
        <w:rPr>
          <w:b/>
          <w:color w:val="1F3B73"/>
        </w:rPr>
        <w:t>Data Limitations</w:t>
      </w:r>
    </w:p>
    <w:p>
      <w:r>
        <w:t xml:space="preserve">The following items relevant to a full market overview are </w:t>
      </w:r>
      <w:r>
        <w:rPr>
          <w:b/>
        </w:rPr>
        <w:t>not available</w:t>
      </w:r>
      <w:r>
        <w:t xml:space="preserve"> in the source documents: current Northwind Traders store count or revenue baseline (the company brief references an existing Scandinavian operation but provides no verifiable location count in the permitted sources); per-capita consumption figures; channel-level market splits (retail vs. foodservice vs. e-commerce); and any forecast beyond 2030. These gaps should be closed with licensed research before final capital commitment.</w:t>
      </w:r>
    </w:p>
    <w:p>
      <w:pPr>
        <w:pStyle w:val="Heading2"/>
      </w:pPr>
      <w:r>
        <w:rPr>
          <w:b/>
          <w:color w:val="1F3B73"/>
        </w:rPr>
        <w:t>Summary</w:t>
      </w:r>
    </w:p>
    <w:p>
      <w:r>
        <w:t xml:space="preserve">Germany and Austria together represent a </w:t>
      </w:r>
      <w:r>
        <w:rPr>
          <w:b/>
        </w:rPr>
        <w:t>EUR 3.0 billion specialty coffee market in 2025</w:t>
      </w:r>
      <w:r>
        <w:t xml:space="preserve">, forecast to grow at </w:t>
      </w:r>
      <w:r>
        <w:rPr>
          <w:b/>
        </w:rPr>
        <w:t>7.5% CAGR to 2030</w:t>
      </w:r>
      <w:r>
        <w:t>. Demand is concentrated among urban 25–40 consumers (</w:t>
      </w:r>
      <w:r>
        <w:rPr>
          <w:b/>
        </w:rPr>
        <w:t>64% weekly purchase</w:t>
      </w:r>
      <w:r>
        <w:t>), nearly half of consumers will pay more for sustainable sourcing (</w:t>
      </w:r>
      <w:r>
        <w:rPr>
          <w:b/>
        </w:rPr>
        <w:t>48%</w:t>
      </w:r>
      <w:r>
        <w:t>), and physical retail dominates transactions (</w:t>
      </w:r>
      <w:r>
        <w:rPr>
          <w:b/>
        </w:rPr>
        <w:t>71%</w:t>
      </w:r>
      <w:r>
        <w:t>). These fundamentals support a Germany-led, Austria-following entry strategy anchored in urban retail and credible sustainability positioning. All figures are sourced from the fictional demo datasets defined in the methodology and should be replaced with verified data in any live engagement.</w:t>
      </w:r>
    </w:p>
    <w:p>
      <w:pPr>
        <w:pStyle w:val="Heading1"/>
      </w:pPr>
      <w:r>
        <w:rPr>
          <w:b/>
          <w:color w:val="1F3B73"/>
        </w:rPr>
        <w:t>Competitive Landscape</w:t>
      </w:r>
    </w:p>
    <w:p>
      <w:pPr>
        <w:pStyle w:val="Heading2"/>
      </w:pPr>
      <w:r>
        <w:rPr>
          <w:b/>
          <w:color w:val="1F3B73"/>
        </w:rPr>
        <w:t>Introduction</w:t>
      </w:r>
    </w:p>
    <w:p>
      <w:r>
        <w:t>The German and Austrian specialty coffee market is not a greenfield opportunity. It is a consolidated, brand-loyal arena dominated by a small number of scaled incumbents that have already invested heavily in store networks, brand equity, and customer retention infrastructure. For Northwind Traders, understanding the structure of this competitive field is a prerequisite for any credible entry strategy. This section examines the three leading competitors, their positioning, their scale, and — critically — the structural barriers their loyalty programs create for new entrants.</w:t>
      </w:r>
    </w:p>
    <w:p>
      <w:r>
        <w:t>All figures in this section are drawn from the fictional *DACH Specialty Coffee Competitor Tracker* (demo source), as referenced in the company methodology. Where data is not present in the source documents, this section explicitly states "Data not available" rather than estimating.</w:t>
      </w:r>
    </w:p>
    <w:p>
      <w:pPr>
        <w:pStyle w:val="Heading2"/>
      </w:pPr>
      <w:r>
        <w:rPr>
          <w:b/>
          <w:color w:val="1F3B73"/>
        </w:rPr>
        <w:t>Market Concentration: The Top Three at a Glance</w:t>
      </w:r>
    </w:p>
    <w:p>
      <w:r>
        <w:t xml:space="preserve">The three largest competitors in the target region collectively generate </w:t>
      </w:r>
      <w:r>
        <w:rPr>
          <w:b/>
        </w:rPr>
        <w:t>EUR 1.6B in revenue</w:t>
      </w:r>
      <w:r>
        <w:t xml:space="preserve"> (calculation based on market data: EUR 0.8B + EUR 0.5B + EUR 0.3B). This combined figure represents the revenue base that any new entrant must compete against for share of wallet, real estate, and consumer attention.</w:t>
      </w:r>
    </w:p>
    <w:p>
      <w:r>
        <w:t>Competitor | Revenue | Stores | Positioning | Revenue per Store (calculation)</w:t>
      </w:r>
    </w:p>
    <w:p>
      <w:r>
        <w:t xml:space="preserve">Competitor A | </w:t>
      </w:r>
      <w:r>
        <w:rPr>
          <w:b/>
        </w:rPr>
        <w:t>EUR 0.8B</w:t>
      </w:r>
      <w:r>
        <w:t xml:space="preserve"> | </w:t>
      </w:r>
      <w:r>
        <w:rPr>
          <w:b/>
        </w:rPr>
        <w:t>310</w:t>
      </w:r>
      <w:r>
        <w:t xml:space="preserve"> | Strong brand recognition | ~EUR 2.58M</w:t>
      </w:r>
    </w:p>
    <w:p>
      <w:r>
        <w:t xml:space="preserve">Competitor B | </w:t>
      </w:r>
      <w:r>
        <w:rPr>
          <w:b/>
        </w:rPr>
        <w:t>EUR 0.5B</w:t>
      </w:r>
      <w:r>
        <w:t xml:space="preserve"> | </w:t>
      </w:r>
      <w:r>
        <w:rPr>
          <w:b/>
        </w:rPr>
        <w:t>190</w:t>
      </w:r>
      <w:r>
        <w:t xml:space="preserve"> | Aggressive pricing | ~EUR 2.63M</w:t>
      </w:r>
    </w:p>
    <w:p>
      <w:r>
        <w:t xml:space="preserve">Competitor C | </w:t>
      </w:r>
      <w:r>
        <w:rPr>
          <w:b/>
        </w:rPr>
        <w:t>EUR 0.3B</w:t>
      </w:r>
      <w:r>
        <w:t xml:space="preserve"> | </w:t>
      </w:r>
      <w:r>
        <w:rPr>
          <w:b/>
        </w:rPr>
        <w:t>120</w:t>
      </w:r>
      <w:r>
        <w:t xml:space="preserve"> | Premium positioning | ~EUR 2.50M</w:t>
      </w:r>
    </w:p>
    <w:p>
      <w:r>
        <w:rPr>
          <w:b/>
        </w:rPr>
        <w:t>Combined</w:t>
      </w:r>
      <w:r>
        <w:t xml:space="preserve"> | </w:t>
      </w:r>
      <w:r>
        <w:rPr>
          <w:b/>
        </w:rPr>
        <w:t>EUR 1.6B</w:t>
      </w:r>
      <w:r>
        <w:t xml:space="preserve"> | </w:t>
      </w:r>
      <w:r>
        <w:rPr>
          <w:b/>
        </w:rPr>
        <w:t>620</w:t>
      </w:r>
      <w:r>
        <w:t xml:space="preserve"> | — | ~EUR 2.58M (avg.)</w:t>
      </w:r>
    </w:p>
    <w:p>
      <w:r>
        <w:t>*Note: Revenue-per-store figures are derived calculations (revenue ÷ store count) based on source data and are labeled as such per methodology rules.*</w:t>
      </w:r>
    </w:p>
    <w:p>
      <w:pPr>
        <w:pStyle w:val="Heading2"/>
      </w:pPr>
      <w:r>
        <w:rPr>
          <w:b/>
          <w:color w:val="1F3B73"/>
        </w:rPr>
        <w:t>Competitor A: The Scale Leader</w:t>
      </w:r>
    </w:p>
    <w:p>
      <w:r>
        <w:t xml:space="preserve">Competitor A is the dominant player by both revenue and footprint, with </w:t>
      </w:r>
      <w:r>
        <w:rPr>
          <w:b/>
        </w:rPr>
        <w:t>EUR 0.8B in revenue across 310 stores</w:t>
      </w:r>
      <w:r>
        <w:t xml:space="preserve">. Its defining characteristic is </w:t>
      </w:r>
      <w:r>
        <w:rPr>
          <w:b/>
        </w:rPr>
        <w:t>strong brand recognition</w:t>
      </w:r>
      <w:r>
        <w:t xml:space="preserve"> — a strategic asset that reduces customer acquisition costs, supports premium pricing, and eases expansion into adjacent locations.</w:t>
      </w:r>
    </w:p>
    <w:p>
      <w:r>
        <w:t>For Northwind Traders, Competitor A represents the primary competitive threat. Its scale allows it to negotiate favorable lease terms, secure prime high-traffic locations, and absorb marketing costs that would be prohibitive for a new entrant. Its brand recognition also means that in many consumer minds, it *is* specialty coffee in the region — a positioning Northwind must differentiate against rather than compete with head-on.</w:t>
      </w:r>
    </w:p>
    <w:p>
      <w:pPr>
        <w:pStyle w:val="Heading2"/>
      </w:pPr>
      <w:r>
        <w:rPr>
          <w:b/>
          <w:color w:val="1F3B73"/>
        </w:rPr>
        <w:t>Competitor B: The Price Aggressor</w:t>
      </w:r>
    </w:p>
    <w:p>
      <w:r>
        <w:t xml:space="preserve">Competitor B operates </w:t>
      </w:r>
      <w:r>
        <w:rPr>
          <w:b/>
        </w:rPr>
        <w:t>190 stores</w:t>
      </w:r>
      <w:r>
        <w:t xml:space="preserve"> and generates </w:t>
      </w:r>
      <w:r>
        <w:rPr>
          <w:b/>
        </w:rPr>
        <w:t>EUR 0.5B in revenue</w:t>
      </w:r>
      <w:r>
        <w:t xml:space="preserve">, pursuing an </w:t>
      </w:r>
      <w:r>
        <w:rPr>
          <w:b/>
        </w:rPr>
        <w:t>aggressive pricing strategy</w:t>
      </w:r>
      <w:r>
        <w:t xml:space="preserve">. Its revenue-per-store calculation (~EUR 2.63M) is the highest of the three, suggesting that its pricing strategy is paired with either high transaction volumes or efficient store economics — though the source data does not specify which, and this should be treated as </w:t>
      </w:r>
      <w:r>
        <w:rPr>
          <w:b/>
        </w:rPr>
        <w:t>Data not available</w:t>
      </w:r>
      <w:r>
        <w:t xml:space="preserve"> pending further research.</w:t>
      </w:r>
    </w:p>
    <w:p>
      <w:r>
        <w:t>The strategic implication is significant: Competitor B compresses margins across the market and makes price-based differentiation a losing proposition for a new entrant. Northwind Traders should not attempt to undercut Competitor B. Instead, the entry strategy should compete on dimensions where aggressive pricing is a weakness — product quality, provenance, experience, and sustainability credentials.</w:t>
      </w:r>
    </w:p>
    <w:p>
      <w:pPr>
        <w:pStyle w:val="Heading2"/>
      </w:pPr>
      <w:r>
        <w:rPr>
          <w:b/>
          <w:color w:val="1F3B73"/>
        </w:rPr>
        <w:t>Competitor C: The Premium Player</w:t>
      </w:r>
    </w:p>
    <w:p>
      <w:r>
        <w:t xml:space="preserve">Competitor C is the smallest of the three at </w:t>
      </w:r>
      <w:r>
        <w:rPr>
          <w:b/>
        </w:rPr>
        <w:t>EUR 0.3B in revenue and 120 stores</w:t>
      </w:r>
      <w:r>
        <w:t xml:space="preserve">, but occupies the strategically important </w:t>
      </w:r>
      <w:r>
        <w:rPr>
          <w:b/>
        </w:rPr>
        <w:t>premium positioning</w:t>
      </w:r>
      <w:r>
        <w:t xml:space="preserve"> segment. Its revenue-per-store (~EUR 2.50M) is the lowest of the three, which may reflect a deliberate trade-off: premium positioning often prioritizes margin per transaction and brand exclusivity over raw volume.</w:t>
      </w:r>
    </w:p>
    <w:p>
      <w:r>
        <w:t>Competitor C is the most direct positioning analogue for a specialty coffee entrant like Northwind Traders. This creates both risk and opportunity. The risk is direct competition for the same premium-oriented consumer. The opportunity is that Competitor C's smaller footprint (</w:t>
      </w:r>
      <w:r>
        <w:rPr>
          <w:b/>
        </w:rPr>
        <w:t>120 stores</w:t>
      </w:r>
      <w:r>
        <w:t>) leaves meaningful geographic whitespace — particularly outside major metropolitan centers — where premium demand may be underserved.</w:t>
      </w:r>
    </w:p>
    <w:p>
      <w:pPr>
        <w:pStyle w:val="Heading2"/>
      </w:pPr>
      <w:r>
        <w:rPr>
          <w:b/>
          <w:color w:val="1F3B73"/>
        </w:rPr>
        <w:t>The Structural Barrier: Loyalty Programs</w:t>
      </w:r>
    </w:p>
    <w:p>
      <w:r>
        <w:t xml:space="preserve">Beyond scale and pricing, the most consequential competitive barrier is the </w:t>
      </w:r>
      <w:r>
        <w:rPr>
          <w:b/>
        </w:rPr>
        <w:t>established loyalty programs</w:t>
      </w:r>
      <w:r>
        <w:t xml:space="preserve"> operated by the incumbents. According to the source data, these programs </w:t>
      </w:r>
      <w:r>
        <w:rPr>
          <w:b/>
        </w:rPr>
        <w:t>create switching barriers for new entrants</w:t>
      </w:r>
      <w:r>
        <w:t>. This is a critical finding for Northwind's entry planning.</w:t>
      </w:r>
    </w:p>
    <w:p>
      <w:r>
        <w:t>Loyalty programs in specialty coffee work through three mechanisms:</w:t>
      </w:r>
    </w:p>
    <w:p>
      <w:pPr>
        <w:pStyle w:val="ListNumber"/>
      </w:pPr>
      <w:r>
        <w:rPr>
          <w:b/>
        </w:rPr>
        <w:t>Behavioral lock-in</w:t>
      </w:r>
      <w:r>
        <w:t xml:space="preserve"> — accumulated points, free-drink thresholds, and tier status incentivize repeat visits to the incumbent.</w:t>
      </w:r>
    </w:p>
    <w:p>
      <w:pPr>
        <w:pStyle w:val="ListNumber"/>
      </w:pPr>
      <w:r>
        <w:rPr>
          <w:b/>
        </w:rPr>
        <w:t>Data advantage</w:t>
      </w:r>
      <w:r>
        <w:t xml:space="preserve"> — incumbents capture transaction-level consumer data that enables personalized offers and precise targeting, raising the cost of customer acquisition for newcomers.</w:t>
      </w:r>
    </w:p>
    <w:p>
      <w:pPr>
        <w:pStyle w:val="ListNumber"/>
      </w:pPr>
      <w:r>
        <w:rPr>
          <w:b/>
        </w:rPr>
        <w:t>Sunk-cost psychology</w:t>
      </w:r>
      <w:r>
        <w:t xml:space="preserve"> — consumers are reluctant to abandon accumulated rewards, making trial of a new brand less likely even when the product is superior.</w:t>
      </w:r>
    </w:p>
    <w:p>
      <w:r>
        <w:t xml:space="preserve">With three scaled incumbents each operating loyalty programs across a combined </w:t>
      </w:r>
      <w:r>
        <w:rPr>
          <w:b/>
        </w:rPr>
        <w:t>620 stores</w:t>
      </w:r>
      <w:r>
        <w:t>, a new entrant faces a market where a large share of target consumers are already enrolled in at least one competing program. Northwind Traders cannot assume that a superior product alone will drive trial; it must design a counter-strategy — likely a differentiated loyalty proposition or a partnership-based acquisition channel — from day one.</w:t>
      </w:r>
    </w:p>
    <w:p>
      <w:pPr>
        <w:pStyle w:val="Heading2"/>
      </w:pPr>
      <w:r>
        <w:rPr>
          <w:b/>
          <w:color w:val="1F3B73"/>
        </w:rPr>
        <w:t>Implications for Northwind Traders</w:t>
      </w:r>
    </w:p>
    <w:p>
      <w:r>
        <w:t>Several actionable insights emerge from this competitive analysis:</w:t>
      </w:r>
    </w:p>
    <w:p>
      <w:pPr>
        <w:pStyle w:val="ListBullet"/>
      </w:pPr>
      <w:r>
        <w:rPr>
          <w:b/>
        </w:rPr>
        <w:t>Avoid price competition.</w:t>
      </w:r>
      <w:r>
        <w:t xml:space="preserve"> Competitor B's aggressive pricing makes price-led entry unviable. Northwind should position on quality, sustainability, and experience — dimensions supported by consumer trends in the source data (48% willingness to pay a premium for sustainably sourced beans).</w:t>
      </w:r>
    </w:p>
    <w:p>
      <w:pPr>
        <w:pStyle w:val="ListBullet"/>
      </w:pPr>
      <w:r>
        <w:rPr>
          <w:b/>
        </w:rPr>
        <w:t>Target geographic whitespace.</w:t>
      </w:r>
      <w:r>
        <w:t xml:space="preserve"> Competitor C's premium positioning is backed by only 120 stores. Premium demand outside the densest urban cores may be underserved.</w:t>
      </w:r>
    </w:p>
    <w:p>
      <w:pPr>
        <w:pStyle w:val="ListBullet"/>
      </w:pPr>
      <w:r>
        <w:rPr>
          <w:b/>
        </w:rPr>
        <w:t>Plan for loyalty from the outset.</w:t>
      </w:r>
      <w:r>
        <w:t xml:space="preserve"> Given entrenched loyalty programs across 620 incumbent stores, customer acquisition will require a deliberate retention and rewards strategy, not an afterthought.</w:t>
      </w:r>
    </w:p>
    <w:p>
      <w:pPr>
        <w:pStyle w:val="ListBullet"/>
      </w:pPr>
      <w:r>
        <w:rPr>
          <w:b/>
        </w:rPr>
        <w:t>Leverage the physical channel.</w:t>
      </w:r>
      <w:r>
        <w:t xml:space="preserve"> With 71% of purchases in the target region occurring in physical stores, store experience remains the primary competitive battleground — and the primary defense against incumbent loyalty lock-in.</w:t>
      </w:r>
    </w:p>
    <w:p>
      <w:pPr>
        <w:pStyle w:val="Heading2"/>
      </w:pPr>
      <w:r>
        <w:rPr>
          <w:b/>
          <w:color w:val="1F3B73"/>
        </w:rPr>
        <w:t>Data Gaps</w:t>
      </w:r>
    </w:p>
    <w:p>
      <w:r>
        <w:t xml:space="preserve">The following data points are </w:t>
      </w:r>
      <w:r>
        <w:rPr>
          <w:b/>
        </w:rPr>
        <w:t>not available</w:t>
      </w:r>
      <w:r>
        <w:t xml:space="preserve"> in the source documents and would be required for a fully robust competitive assessment: individual competitor loyalty program membership numbers, competitor profitability or margin data, competitor store-level performance by city, and any competitor expansion plans. These should be prioritized in any follow-up research phase.</w:t>
      </w:r>
    </w:p>
    <w:p>
      <w:pPr>
        <w:pStyle w:val="Heading2"/>
      </w:pPr>
      <w:r>
        <w:rPr>
          <w:b/>
          <w:color w:val="1F3B73"/>
        </w:rPr>
        <w:t>Conclusion</w:t>
      </w:r>
    </w:p>
    <w:p>
      <w:r>
        <w:t xml:space="preserve">The German and Austrian specialty coffee market is led by three scaled, well-positioned incumbents with a combined </w:t>
      </w:r>
      <w:r>
        <w:rPr>
          <w:b/>
        </w:rPr>
        <w:t>EUR 1.6B revenue base</w:t>
      </w:r>
      <w:r>
        <w:t xml:space="preserve"> and </w:t>
      </w:r>
      <w:r>
        <w:rPr>
          <w:b/>
        </w:rPr>
        <w:t>620 stores</w:t>
      </w:r>
      <w:r>
        <w:t xml:space="preserve">. Competitor A leads on brand, Competitor B on price, and Competitor C on premium positioning. The most durable barrier to entry is not scale or price, but the </w:t>
      </w:r>
      <w:r>
        <w:rPr>
          <w:b/>
        </w:rPr>
        <w:t>loyalty programs</w:t>
      </w:r>
      <w:r>
        <w:t xml:space="preserve"> that lock in consumer behavior across the incumbent base. Northwind Traders' entry strategy must therefore be built around differentiation, geographic targeting, and a credible loyalty counter-offer — not a frontal assault on the incumbents' core strengths.</w:t>
      </w:r>
    </w:p>
    <w:p>
      <w:pPr>
        <w:pStyle w:val="Heading1"/>
      </w:pPr>
      <w:r>
        <w:rPr>
          <w:b/>
          <w:color w:val="1F3B73"/>
        </w:rPr>
        <w:t>Key Risks and Barriers</w:t>
      </w:r>
    </w:p>
    <w:p>
      <w:pPr>
        <w:pStyle w:val="Heading2"/>
      </w:pPr>
      <w:r>
        <w:rPr>
          <w:b/>
          <w:color w:val="1F3B73"/>
        </w:rPr>
        <w:t>Introduction</w:t>
      </w:r>
    </w:p>
    <w:p>
      <w:r>
        <w:t>Northwind Traders' proposed expansion into Germany and Austria presents a compelling market opportunity, but a rigorous assessment of entry barriers is essential before capital commitment. This section identifies and evaluates the principal risks across five dimensions — regulatory, infrastructural, competitive, operational, and cultural — drawing exclusively on the fictional "European Coffee Retail Review 2025," the "Urban Coffee Consumer Survey 2025," and the "DACH Specialty Coffee Competitor Tracker," as defined in the company methodology. Where data required to quantify a barrier is absent from these sources, this report explicitly states "Data not available" rather than estimating. All derived figures are labeled as calculations.</w:t>
      </w:r>
    </w:p>
    <w:p>
      <w:pPr>
        <w:pStyle w:val="Heading2"/>
      </w:pPr>
      <w:r>
        <w:rPr>
          <w:b/>
          <w:color w:val="1F3B73"/>
        </w:rPr>
        <w:t>Regulatory Barriers</w:t>
      </w:r>
    </w:p>
    <w:p>
      <w:r>
        <w:rPr>
          <w:b/>
        </w:rPr>
        <w:t>EU food safety compliance.</w:t>
      </w:r>
      <w:r>
        <w:t xml:space="preserve"> As a food business operator, Northwind Traders would be subject to EU food safety regulation in both target markets. The source materials confirm that food safety compliance is a required entry condition but do not specify certification costs, inspection timelines, or per-store compliance budgets. </w:t>
      </w:r>
      <w:r>
        <w:rPr>
          <w:b/>
        </w:rPr>
        <w:t>Data not available</w:t>
      </w:r>
      <w:r>
        <w:t xml:space="preserve"> for quantified compliance cost estimates. Management should treat this as a mandatory, non-negotiable workstream requiring specialist legal counsel in each jurisdiction.</w:t>
      </w:r>
    </w:p>
    <w:p>
      <w:r>
        <w:rPr>
          <w:b/>
        </w:rPr>
        <w:t>GDPR for loyalty programs.</w:t>
      </w:r>
      <w:r>
        <w:t xml:space="preserve"> Northwind's loyalty program model depends on customer data collection, which triggers obligations under the EU General Data Protection Regulation. The source materials identify GDPR compliance as a named regulatory barrier but provide no figures on implementation cost or consent-management infrastructure requirements. </w:t>
      </w:r>
      <w:r>
        <w:rPr>
          <w:b/>
        </w:rPr>
        <w:t>Data not available.</w:t>
      </w:r>
      <w:r>
        <w:t xml:space="preserve"> This is nonetheless a material risk: loyalty mechanics must be designed for consent-first data capture from day one, and retrofitting compliance after launch is typically more expensive than building it into the initial program design.</w:t>
      </w:r>
    </w:p>
    <w:p>
      <w:r>
        <w:rPr>
          <w:b/>
        </w:rPr>
        <w:t>National packaging recycling laws.</w:t>
      </w:r>
      <w:r>
        <w:t xml:space="preserve"> Germany and Austria each operate national packaging recycling regimes that impose registration and licensing obligations on retailers placing packaged goods on the market. The source documents flag these laws as a barrier category but do not quantify fees or administrative burden. </w:t>
      </w:r>
      <w:r>
        <w:rPr>
          <w:b/>
        </w:rPr>
        <w:t>Data not available.</w:t>
      </w:r>
      <w:r>
        <w:t xml:space="preserve"> Compliance is mandatory and applies to takeaway cups, retail bean packaging, and food packaging across the store estate.</w:t>
      </w:r>
    </w:p>
    <w:p>
      <w:r>
        <w:rPr>
          <w:b/>
        </w:rPr>
        <w:t>Assessment:</w:t>
      </w:r>
      <w:r>
        <w:t xml:space="preserve"> Regulatory barriers are certain and unavoidable rather than probabilistic. None can be deferred post-entry. The absence of quantified cost data in the source materials is itself a planning risk and should be closed through primary legal and compliance diligence before final investment approval.</w:t>
      </w:r>
    </w:p>
    <w:p>
      <w:pPr>
        <w:pStyle w:val="Heading2"/>
      </w:pPr>
      <w:r>
        <w:rPr>
          <w:b/>
          <w:color w:val="1F3B73"/>
        </w:rPr>
        <w:t>Infrastructural Barriers</w:t>
      </w:r>
    </w:p>
    <w:p>
      <w:r>
        <w:t xml:space="preserve">The most clearly quantified infrastructural barrier is retail rent. According to the "European Coffee Retail Review 2025," </w:t>
      </w:r>
      <w:r>
        <w:rPr>
          <w:b/>
        </w:rPr>
        <w:t>high street rent in the top five cities is a significant cost barrier</w:t>
      </w:r>
      <w:r>
        <w:t xml:space="preserve"> for specialty coffee entrants. This directly constrains the economics of the physical-store-led strategy that consumer preferences demand (see Cultural Barriers below).</w:t>
      </w:r>
    </w:p>
    <w:p>
      <w:r>
        <w:t xml:space="preserve">It is important to note what the sources do not contain: the review does not provide absolute rent figures per square meter, rent-to-revenue ratios, or typical lease terms for the target cities. </w:t>
      </w:r>
      <w:r>
        <w:rPr>
          <w:b/>
        </w:rPr>
        <w:t>Data not available</w:t>
      </w:r>
      <w:r>
        <w:t xml:space="preserve"> for these metrics. Accordingly, this report does not apply external industry benchmarks; any rent-to-revenue threshold used in later financial modeling must be sourced from primary lease negotiations or licensed market data and labeled as such.</w:t>
      </w:r>
    </w:p>
    <w:p>
      <w:r>
        <w:t>The practical implication is that site selection discipline becomes a core risk-control lever. Flagship locations in prime high streets carry the highest rent burden, and the source data offers no evidence that premium pricing in these locations offsets that burden. Northwind should treat rent exposure as a portfolio-level risk to be actively managed rather than a fixed cost of entry.</w:t>
      </w:r>
    </w:p>
    <w:p>
      <w:pPr>
        <w:pStyle w:val="Heading2"/>
      </w:pPr>
      <w:r>
        <w:rPr>
          <w:b/>
          <w:color w:val="1F3B73"/>
        </w:rPr>
        <w:t>Competitive Barriers</w:t>
      </w:r>
    </w:p>
    <w:p>
      <w:r>
        <w:t xml:space="preserve">The "DACH Specialty Coffee Competitor Tracker" identifies a structural competitive barrier: </w:t>
      </w:r>
      <w:r>
        <w:rPr>
          <w:b/>
        </w:rPr>
        <w:t>established competitor loyalty programs make customer acquisition challenging.</w:t>
      </w:r>
      <w:r>
        <w:t xml:space="preserve"> Incumbent chains have already habituated consumers to app-based rewards, subscription offers, and points-based retention mechanics. A new entrant must therefore either match or differentiate against entrenched loyalty schemes — a costly proposition when the incumbent's program is already embedded in customer behavior.</w:t>
      </w:r>
    </w:p>
    <w:p>
      <w:r>
        <w:t xml:space="preserve">The tracker does not disclose competitor loyalty program penetration rates, member counts, or retention economics. </w:t>
      </w:r>
      <w:r>
        <w:rPr>
          <w:b/>
        </w:rPr>
        <w:t>Data not available.</w:t>
      </w:r>
      <w:r>
        <w:t xml:space="preserve"> What can be stated with confidence from the sources is directional: customer acquisition in this market is contested, and organic trial alone is unlikely to build a sufficient base. This raises the strategic weight of the loyalty program as an acquisition and retention tool — which in turn increases GDPR compliance exposure, creating an interlock between the competitive and regulatory risk categories.</w:t>
      </w:r>
    </w:p>
    <w:p>
      <w:pPr>
        <w:pStyle w:val="Heading2"/>
      </w:pPr>
      <w:r>
        <w:rPr>
          <w:b/>
          <w:color w:val="1F3B73"/>
        </w:rPr>
        <w:t>Operational Barriers</w:t>
      </w:r>
    </w:p>
    <w:p>
      <w:r>
        <w:t xml:space="preserve">Specialty coffee retail carries staffing expectations that differ from mainstream coffee service. The source materials indicate that </w:t>
      </w:r>
      <w:r>
        <w:rPr>
          <w:b/>
        </w:rPr>
        <w:t>staff certification expectations for specialty coffee may require training investments.</w:t>
      </w:r>
      <w:r>
        <w:t xml:space="preserve"> Barista certification, brewing-method expertise, and product knowledge are part of the specialty proposition; a workforce without these capabilities would undermine the brand positioning that justifies premium pricing.</w:t>
      </w:r>
    </w:p>
    <w:p>
      <w:r>
        <w:t xml:space="preserve">The sources do not quantify training cost per employee, certification duration, or staff turnover assumptions. </w:t>
      </w:r>
      <w:r>
        <w:rPr>
          <w:b/>
        </w:rPr>
        <w:t>Data not available.</w:t>
      </w:r>
      <w:r>
        <w:t xml:space="preserve"> Northwind should nonetheless plan for a structured training program as a precondition of store opening, not an afterthought. In a market where competitors already operate certified staff, an under-trained workforce is a direct competitive disadvantage.</w:t>
      </w:r>
    </w:p>
    <w:p>
      <w:pPr>
        <w:pStyle w:val="Heading2"/>
      </w:pPr>
      <w:r>
        <w:rPr>
          <w:b/>
          <w:color w:val="1F3B73"/>
        </w:rPr>
        <w:t>Cultural Barriers</w:t>
      </w:r>
    </w:p>
    <w:p>
      <w:r>
        <w:t xml:space="preserve">The "Urban Coffee Consumer Survey 2025" provides the single most consequential cultural data point in this analysis: </w:t>
      </w:r>
      <w:r>
        <w:rPr>
          <w:b/>
        </w:rPr>
        <w:t>71% of consumers prefer physical stores.</w:t>
      </w:r>
      <w:r>
        <w:t xml:space="preserve"> This is a decisive figure. It means that a digital-first or asset-light entry strategy would address only a minority of demand. To compete for the mainstream consumer, Northwind requires a significant physical retail footprint — which collides directly with the high street rent barrier identified above.</w:t>
      </w:r>
    </w:p>
    <w:p>
      <w:r>
        <w:t xml:space="preserve">This creates the central strategic tension of the entry case: consumer behavior mandates stores, and store economics are constrained by rent. The survey data does not break down the 71% preference by city, age cohort, or frequency of visit. </w:t>
      </w:r>
      <w:r>
        <w:rPr>
          <w:b/>
        </w:rPr>
        <w:t>Data not available.</w:t>
      </w:r>
      <w:r>
        <w:t xml:space="preserve"> Nor does it indicate what share of in-store preference consumers would convert to online or click-and-collect channels. These gaps should be addressed through primary consumer research before finalizing the store rollout plan.</w:t>
      </w:r>
    </w:p>
    <w:p>
      <w:pPr>
        <w:pStyle w:val="Heading2"/>
      </w:pPr>
      <w:r>
        <w:rPr>
          <w:b/>
          <w:color w:val="1F3B73"/>
        </w:rPr>
        <w:t>Consolidated Risk Assessment and Actionable Insights</w:t>
      </w:r>
    </w:p>
    <w:p>
      <w:r>
        <w:t>Risk Category | Evidence from Sources | Quantification Status</w:t>
      </w:r>
    </w:p>
    <w:p>
      <w:r>
        <w:t>Regulatory — EU food safety | Named barrier | Data not available</w:t>
      </w:r>
    </w:p>
    <w:p>
      <w:r>
        <w:t>Regulatory — GDPR | Named barrier | Data not available</w:t>
      </w:r>
    </w:p>
    <w:p>
      <w:r>
        <w:t>Regulatory — packaging laws | Named barrier | Data not available</w:t>
      </w:r>
    </w:p>
    <w:p>
      <w:r>
        <w:t>Infrastructural — rent | High street rent in top 5 cities a significant cost barrier | Qualitative only</w:t>
      </w:r>
    </w:p>
    <w:p>
      <w:r>
        <w:t>Competitive — loyalty | Established competitor programs impede acquisition | Qualitative only</w:t>
      </w:r>
    </w:p>
    <w:p>
      <w:r>
        <w:t>Operational — staffing | Certification expectations require training investment | Qualitative only</w:t>
      </w:r>
    </w:p>
    <w:p>
      <w:r>
        <w:t xml:space="preserve">Cultural — channel preference | </w:t>
      </w:r>
      <w:r>
        <w:rPr>
          <w:b/>
        </w:rPr>
        <w:t>71% prefer physical stores</w:t>
      </w:r>
      <w:r>
        <w:t xml:space="preserve"> | Quantified</w:t>
      </w:r>
    </w:p>
    <w:p>
      <w:r>
        <w:rPr>
          <w:b/>
        </w:rPr>
        <w:t>Actionable insights for the executive team:</w:t>
      </w:r>
    </w:p>
    <w:p>
      <w:pPr>
        <w:pStyle w:val="ListNumber"/>
      </w:pPr>
      <w:r>
        <w:rPr>
          <w:b/>
        </w:rPr>
        <w:t>Close the quantification gaps before investment approval.</w:t>
      </w:r>
      <w:r>
        <w:t xml:space="preserve"> Six of seven identified barriers are evidenced qualitatively but not quantified in the source materials. Commission primary diligence on rent, compliance costs, and training budgets — do not substitute external benchmarks, per methodology.</w:t>
      </w:r>
    </w:p>
    <w:p>
      <w:pPr>
        <w:pStyle w:val="ListNumber"/>
      </w:pPr>
      <w:r>
        <w:rPr>
          <w:b/>
        </w:rPr>
        <w:t>Treat the 71% physical-store preference and the high street rent barrier as a single, linked decision.</w:t>
      </w:r>
      <w:r>
        <w:t xml:space="preserve"> The store estate size and location strategy must be modeled jointly, not sequentially.</w:t>
      </w:r>
    </w:p>
    <w:p>
      <w:pPr>
        <w:pStyle w:val="ListNumber"/>
      </w:pPr>
      <w:r>
        <w:rPr>
          <w:b/>
        </w:rPr>
        <w:t>Design the loyalty program for GDPR from the outset.</w:t>
      </w:r>
      <w:r>
        <w:t xml:space="preserve"> Competitive pressure to launch loyalty mechanics early must not outrun compliance design.</w:t>
      </w:r>
    </w:p>
    <w:p>
      <w:pPr>
        <w:pStyle w:val="ListNumber"/>
      </w:pPr>
      <w:r>
        <w:rPr>
          <w:b/>
        </w:rPr>
        <w:t>Budget certification training as a launch precondition,</w:t>
      </w:r>
      <w:r>
        <w:t xml:space="preserve"> not a post-opening optimization.</w:t>
      </w:r>
    </w:p>
    <w:p>
      <w:pPr>
        <w:pStyle w:val="ListNumber"/>
      </w:pPr>
      <w:r>
        <w:rPr>
          <w:b/>
        </w:rPr>
        <w:t>Sequence market entry to manage rent exposure.</w:t>
      </w:r>
      <w:r>
        <w:t xml:space="preserve"> The sources do not support a specific sequencing recommendation; this should follow from the rent and footfall diligence above.</w:t>
      </w:r>
    </w:p>
    <w:p>
      <w:r>
        <w:t>In summary, the entry case is viable but conditional. The barriers are real, the quantified evidence base is thin, and the methodology prohibits filling those gaps with unsourced assumptions. The disciplined path forward is targeted primary research to convert "Data not available" into decision-grade inputs before capital is committed.</w:t>
      </w:r>
    </w:p>
    <w:p>
      <w:pPr>
        <w:pStyle w:val="Heading1"/>
      </w:pPr>
      <w:r>
        <w:rPr>
          <w:b/>
          <w:color w:val="1F3B73"/>
        </w:rPr>
        <w:t>Recommendations</w:t>
      </w:r>
    </w:p>
    <w:p>
      <w:pPr>
        <w:pStyle w:val="Heading2"/>
      </w:pPr>
      <w:r>
        <w:rPr>
          <w:b/>
          <w:color w:val="1F3B73"/>
        </w:rPr>
        <w:t>Introduction</w:t>
      </w:r>
    </w:p>
    <w:p>
      <w:r>
        <w:t xml:space="preserve">This section translates the market analysis into a concrete, actionable market entry plan for Northwind Traders' expansion into Germany and Austria. The recommendations are grounded exclusively in the figures contained in the *European Coffee Retail Review 2025*, the *Urban Coffee Consumer Survey 2025*, and the *DACH Specialty Coffee Competitor Tracker* (all fictional demo sources per the project methodology). Where the underlying data does not support a specific recommendation, this is explicitly flagged as </w:t>
      </w:r>
      <w:r>
        <w:rPr>
          <w:b/>
        </w:rPr>
        <w:t>"Data not available."</w:t>
      </w:r>
      <w:r>
        <w:t xml:space="preserve"> The recommendations are structured around five pillars: (1) a phased city-level entry strategy, (2) a sustainability-led product positioning, (3) investment in staff quality and certification, (4) a GDPR-compliant loyalty program, and (5) partnership or acquisition options to accelerate market share capture.</w:t>
      </w:r>
    </w:p>
    <w:p>
      <w:pPr>
        <w:pStyle w:val="Heading2"/>
      </w:pPr>
      <w:r>
        <w:rPr>
          <w:b/>
          <w:color w:val="1F3B73"/>
        </w:rPr>
        <w:t>1. Adopt a Phased, City-Level Entry Strategy</w:t>
      </w:r>
    </w:p>
    <w:p>
      <w:r>
        <w:t xml:space="preserve">Rather than a simultaneous national rollout, Northwind Traders should enter Germany and Austria through a </w:t>
      </w:r>
      <w:r>
        <w:rPr>
          <w:b/>
        </w:rPr>
        <w:t>phased strategy targeting 2–3 high-potential cities first</w:t>
      </w:r>
      <w:r>
        <w:t>. This approach limits capital exposure, allows operational learnings to be captured before scaling, and reduces the risk of brand dilution in unfamiliar markets.</w:t>
      </w:r>
    </w:p>
    <w:p>
      <w:r>
        <w:t>The rationale is supported by the competitive data: the *DACH Specialty Coffee Competitor Tracker* identifies a dense field of established specialty coffee operators in the major German and Austrian metropolitan areas, meaning that a broad, simultaneous launch would place Northwind in direct competition with incumbents across multiple fronts at once. A phased entry allows the company to concentrate marketing spend, secure prime locations, and build local brand awareness before expanding.</w:t>
      </w:r>
    </w:p>
    <w:p>
      <w:r>
        <w:rPr>
          <w:b/>
        </w:rPr>
        <w:t>Actionable insight:</w:t>
      </w:r>
      <w:r>
        <w:t xml:space="preserve"> Select the initial 2–3 cities based on the highest concentration of specialty coffee demand and lowest competitive saturation as reported in the *DACH Specialty Coffee Competitor Tracker*. The specific city-level ranking and per-city competitor counts are </w:t>
      </w:r>
      <w:r>
        <w:rPr>
          <w:b/>
        </w:rPr>
        <w:t>Data not available</w:t>
      </w:r>
      <w:r>
        <w:t xml:space="preserve"> in the current source set; a supplementary city-screening exercise is recommended before final site selection.</w:t>
      </w:r>
    </w:p>
    <w:p>
      <w:pPr>
        <w:pStyle w:val="Heading2"/>
      </w:pPr>
      <w:r>
        <w:rPr>
          <w:b/>
          <w:color w:val="1F3B73"/>
        </w:rPr>
        <w:t>2. Leverage the Sustainability Trend</w:t>
      </w:r>
    </w:p>
    <w:p>
      <w:r>
        <w:t xml:space="preserve">The *Urban Coffee Consumer Survey 2025* indicates that </w:t>
      </w:r>
      <w:r>
        <w:rPr>
          <w:b/>
        </w:rPr>
        <w:t>48% of consumers</w:t>
      </w:r>
      <w:r>
        <w:t xml:space="preserve"> cite sustainability as a key factor in their coffee purchasing decisions. This represents Northwind's single strongest differentiation lever in a crowded market.</w:t>
      </w:r>
    </w:p>
    <w:p>
      <w:r>
        <w:rPr>
          <w:b/>
        </w:rPr>
        <w:t>Recommendation:</w:t>
      </w:r>
      <w:r>
        <w:t xml:space="preserve"> Source certified sustainable beans (e.g., recognized third-party certification schemes) as the default product line for the German and Austrian market. This should be positioned not as a premium add-on but as the standard offering, supported by in-store communication and packaging that makes the certification visible at the point of sale.</w:t>
      </w:r>
    </w:p>
    <w:p>
      <w:r>
        <w:rPr>
          <w:b/>
        </w:rPr>
        <w:t>Actionable insight:</w:t>
      </w:r>
      <w:r>
        <w:t xml:space="preserve"> Aligning the core product line with the preferences of </w:t>
      </w:r>
      <w:r>
        <w:rPr>
          <w:b/>
        </w:rPr>
        <w:t>48% of consumers</w:t>
      </w:r>
      <w:r>
        <w:t xml:space="preserve"> allows Northwind to convert a market-wide trend into a concrete positioning advantage, particularly against incumbents whose sustainability credentials are not uniformly certified. The cost impact of certified sourcing on gross margin is </w:t>
      </w:r>
      <w:r>
        <w:rPr>
          <w:b/>
        </w:rPr>
        <w:t>Data not available</w:t>
      </w:r>
      <w:r>
        <w:t xml:space="preserve"> and should be modeled as part of the financial business case.</w:t>
      </w:r>
    </w:p>
    <w:p>
      <w:pPr>
        <w:pStyle w:val="Heading2"/>
      </w:pPr>
      <w:r>
        <w:rPr>
          <w:b/>
          <w:color w:val="1F3B73"/>
        </w:rPr>
        <w:t>3. Invest in Staff Training and Certification</w:t>
      </w:r>
    </w:p>
    <w:p>
      <w:r>
        <w:t>Specialty coffee is a craft-driven category in which barista skill directly influences product quality, customer satisfaction, and brand perception. The *European Coffee Retail Review 2025* frames Germany and Austria as mature specialty coffee markets with elevated consumer expectations regarding preparation quality and product knowledge.</w:t>
      </w:r>
    </w:p>
    <w:p>
      <w:r>
        <w:rPr>
          <w:b/>
        </w:rPr>
        <w:t>Recommendation:</w:t>
      </w:r>
      <w:r>
        <w:t xml:space="preserve"> Establish a structured training and certification program for all Northwind staff in the new markets, benchmarked to recognized specialty coffee standards. This investment serves two purposes: it protects the brand's quality reputation and it creates a defensible operational capability that is difficult for lower-cost competitors to replicate quickly.</w:t>
      </w:r>
    </w:p>
    <w:p>
      <w:r>
        <w:rPr>
          <w:b/>
        </w:rPr>
        <w:t>Actionable insight:</w:t>
      </w:r>
      <w:r>
        <w:t xml:space="preserve"> Training and certification should be treated as a pre-launch requirement, completed before the first store opens, rather than as an ongoing development activity. The specific certification bodies, program duration, and cost per employee are </w:t>
      </w:r>
      <w:r>
        <w:rPr>
          <w:b/>
        </w:rPr>
        <w:t>Data not available</w:t>
      </w:r>
      <w:r>
        <w:t xml:space="preserve"> in the current sources and should be defined during operational planning.</w:t>
      </w:r>
    </w:p>
    <w:p>
      <w:pPr>
        <w:pStyle w:val="Heading2"/>
      </w:pPr>
      <w:r>
        <w:rPr>
          <w:b/>
          <w:color w:val="1F3B73"/>
        </w:rPr>
        <w:t>4. Develop a GDPR-Compliant Loyalty Program</w:t>
      </w:r>
    </w:p>
    <w:p>
      <w:r>
        <w:t>Established competitors in Germany and Austria benefit from existing customer bases and loyalty mechanisms. To compete effectively, Northwind should launch a loyalty program from day one — but one designed with GDPR compliance as a foundational requirement rather than a retrofit.</w:t>
      </w:r>
    </w:p>
    <w:p>
      <w:r>
        <w:rPr>
          <w:b/>
        </w:rPr>
        <w:t>Recommendation:</w:t>
      </w:r>
      <w:r>
        <w:t xml:space="preserve"> Build a loyalty program that collects only the data necessary for its function, provides transparent consent mechanisms, and offers clear value exchange to the customer (e.g., rewards tied to repeat visits or sustainable product purchases). GDPR compliance should be positioned as a trust signal in a market where data privacy awareness is high.</w:t>
      </w:r>
    </w:p>
    <w:p>
      <w:r>
        <w:rPr>
          <w:b/>
        </w:rPr>
        <w:t>Actionable insight:</w:t>
      </w:r>
      <w:r>
        <w:t xml:space="preserve"> A privacy-first loyalty program simultaneously satisfies regulatory requirements and reinforces the brand's ethical positioning, complementing the sustainability angle described in Section 2. The projected impact of the loyalty program on customer retention and repeat visit frequency is </w:t>
      </w:r>
      <w:r>
        <w:rPr>
          <w:b/>
        </w:rPr>
        <w:t>Data not available</w:t>
      </w:r>
      <w:r>
        <w:t xml:space="preserve"> and should be validated through a pilot in the first entry city.</w:t>
      </w:r>
    </w:p>
    <w:p>
      <w:pPr>
        <w:pStyle w:val="Heading2"/>
      </w:pPr>
      <w:r>
        <w:rPr>
          <w:b/>
          <w:color w:val="1F3B73"/>
        </w:rPr>
        <w:t>5. Consider Partnerships or Acquisitions</w:t>
      </w:r>
    </w:p>
    <w:p>
      <w:r>
        <w:t>Given the competitive density described in the *DACH Specialty Coffee Competitor Tracker*, organic growth alone may be slow and capital-intensive. Partnerships or acquisitions offer a faster route to market share and can help overcome entry barriers.</w:t>
      </w:r>
    </w:p>
    <w:p>
      <w:r>
        <w:rPr>
          <w:b/>
        </w:rPr>
        <w:t>Recommendation:</w:t>
      </w:r>
      <w:r>
        <w:t xml:space="preserve"> Evaluate two parallel tracks:</w:t>
      </w:r>
    </w:p>
    <w:p>
      <w:pPr>
        <w:pStyle w:val="ListBullet"/>
      </w:pPr>
      <w:r>
        <w:rPr>
          <w:b/>
        </w:rPr>
        <w:t>Partnerships</w:t>
      </w:r>
      <w:r>
        <w:t xml:space="preserve"> with local operators, roasters, or retail landlords to gain immediate access to prime locations, supply chains, and local customer bases.</w:t>
      </w:r>
    </w:p>
    <w:p>
      <w:pPr>
        <w:pStyle w:val="ListBullet"/>
      </w:pPr>
      <w:r>
        <w:rPr>
          <w:b/>
        </w:rPr>
        <w:t>Selective acquisitions</w:t>
      </w:r>
      <w:r>
        <w:t xml:space="preserve"> of smaller, well-regarded specialty coffee operators in the target cities, which would provide instant brand credibility, trained staff, and existing customer relationships.</w:t>
      </w:r>
    </w:p>
    <w:p>
      <w:r>
        <w:rPr>
          <w:b/>
        </w:rPr>
        <w:t>Actionable insight:</w:t>
      </w:r>
      <w:r>
        <w:t xml:space="preserve"> Acquisitions should be assessed against the same city-selection criteria used in Section 1, prioritizing targets in the initial 2–3 entry cities. The availability, valuation, and financial profile of potential acquisition targets are </w:t>
      </w:r>
      <w:r>
        <w:rPr>
          <w:b/>
        </w:rPr>
        <w:t>Data not available</w:t>
      </w:r>
      <w:r>
        <w:t xml:space="preserve"> in the current source set; a dedicated target-screening exercise is required.</w:t>
      </w:r>
    </w:p>
    <w:p>
      <w:pPr>
        <w:pStyle w:val="Heading2"/>
      </w:pPr>
      <w:r>
        <w:rPr>
          <w:b/>
          <w:color w:val="1F3B73"/>
        </w:rPr>
        <w:t>Summary of Recommendations</w:t>
      </w:r>
    </w:p>
    <w:p>
      <w:r>
        <w:t># | Recommendation | Key Data Point</w:t>
      </w:r>
    </w:p>
    <w:p>
      <w:r>
        <w:t>1 | Phased entry via 2–3 cities | Competitive density per *DACH Competitor Tracker*</w:t>
      </w:r>
    </w:p>
    <w:p>
      <w:r>
        <w:t xml:space="preserve">2 | Certified sustainable sourcing | </w:t>
      </w:r>
      <w:r>
        <w:rPr>
          <w:b/>
        </w:rPr>
        <w:t>48%</w:t>
      </w:r>
      <w:r>
        <w:t xml:space="preserve"> of consumers value sustainability</w:t>
      </w:r>
    </w:p>
    <w:p>
      <w:r>
        <w:t>3 | Staff training and certification | Mature market quality expectations</w:t>
      </w:r>
    </w:p>
    <w:p>
      <w:r>
        <w:t>4 | GDPR-compliant loyalty program | Regulatory requirement (EU/GDPR)</w:t>
      </w:r>
    </w:p>
    <w:p>
      <w:r>
        <w:t>5 | Partnerships or acquisitions | Competitive density per *DACH Competitor Tracker*</w:t>
      </w:r>
    </w:p>
    <w:p>
      <w:r>
        <w:rPr>
          <w:b/>
        </w:rPr>
        <w:t>Note on data limitations:</w:t>
      </w:r>
      <w:r>
        <w:t xml:space="preserve"> Several operational parameters required for full implementation — including city-level competitor counts, certification costs, loyalty program retention impact, and acquisition target profiles — are </w:t>
      </w:r>
      <w:r>
        <w:rPr>
          <w:b/>
        </w:rPr>
        <w:t>Data not available</w:t>
      </w:r>
      <w:r>
        <w:t xml:space="preserve"> in the current source set. These should be addressed through targeted supplementary research before final board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