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64" w:lineRule="auto"/>
      </w:pPr>
      <w:r>
        <w:rPr>
          <w:rFonts w:ascii="Calibri" w:hAnsi="Calibri" w:eastAsia="Calibri" w:cs="Calibri"/>
          <w:b/>
          <w:color w:val="606060"/>
          <w:sz w:val="21"/>
        </w:rPr>
        <w:t>SUPPORTOPS AI AGENT</w:t>
      </w:r>
    </w:p>
    <w:p>
      <w:pPr>
        <w:spacing w:before="0" w:after="80" w:line="264" w:lineRule="auto"/>
      </w:pPr>
      <w:r>
        <w:rPr>
          <w:rFonts w:ascii="Calibri" w:hAnsi="Calibri" w:eastAsia="Calibri" w:cs="Calibri"/>
          <w:b/>
          <w:color w:val="000000"/>
          <w:sz w:val="52"/>
        </w:rPr>
        <w:t>Architecture &amp; Flow</w:t>
      </w:r>
    </w:p>
    <w:p>
      <w:pPr>
        <w:spacing w:before="0" w:after="280" w:line="252" w:lineRule="auto"/>
      </w:pPr>
      <w:r>
        <w:rPr>
          <w:rFonts w:ascii="Calibri" w:hAnsi="Calibri" w:eastAsia="Calibri" w:cs="Calibri"/>
          <w:color w:val="606060"/>
          <w:sz w:val="26"/>
        </w:rPr>
        <w:t>Production-like technical overview for a manual RAG support backend</w:t>
      </w:r>
    </w:p>
    <w:p>
      <w:pPr>
        <w:spacing w:before="0" w:after="40" w:line="252" w:lineRule="auto"/>
      </w:pPr>
      <w:r>
        <w:rPr>
          <w:rFonts w:ascii="Calibri" w:hAnsi="Calibri" w:eastAsia="Calibri" w:cs="Calibri"/>
          <w:b/>
          <w:color w:val="232323"/>
          <w:sz w:val="21"/>
        </w:rPr>
        <w:t xml:space="preserve">Audience: </w:t>
      </w:r>
      <w:r>
        <w:rPr>
          <w:rFonts w:ascii="Calibri" w:hAnsi="Calibri" w:eastAsia="Calibri" w:cs="Calibri"/>
          <w:color w:val="232323"/>
          <w:sz w:val="21"/>
        </w:rPr>
        <w:t>GitHub reviewers, hiring reviewers, backend/AI engineers</w:t>
      </w:r>
    </w:p>
    <w:p>
      <w:pPr>
        <w:spacing w:before="0" w:after="40" w:line="252" w:lineRule="auto"/>
      </w:pPr>
      <w:r>
        <w:rPr>
          <w:rFonts w:ascii="Calibri" w:hAnsi="Calibri" w:eastAsia="Calibri" w:cs="Calibri"/>
          <w:b/>
          <w:color w:val="232323"/>
          <w:sz w:val="21"/>
        </w:rPr>
        <w:t xml:space="preserve">Purpose: </w:t>
      </w:r>
      <w:r>
        <w:rPr>
          <w:rFonts w:ascii="Calibri" w:hAnsi="Calibri" w:eastAsia="Calibri" w:cs="Calibri"/>
          <w:color w:val="232323"/>
          <w:sz w:val="21"/>
        </w:rPr>
        <w:t>Explain current architecture, runtime flow, operational boundaries, and extension points</w:t>
      </w:r>
    </w:p>
    <w:p>
      <w:pPr>
        <w:spacing w:before="0" w:after="40" w:line="252" w:lineRule="auto"/>
      </w:pPr>
      <w:r>
        <w:rPr>
          <w:rFonts w:ascii="Calibri" w:hAnsi="Calibri" w:eastAsia="Calibri" w:cs="Calibri"/>
          <w:b/>
          <w:color w:val="232323"/>
          <w:sz w:val="21"/>
        </w:rPr>
        <w:t xml:space="preserve">Current scope: </w:t>
      </w:r>
      <w:r>
        <w:rPr>
          <w:rFonts w:ascii="Calibri" w:hAnsi="Calibri" w:eastAsia="Calibri" w:cs="Calibri"/>
          <w:color w:val="232323"/>
          <w:sz w:val="21"/>
        </w:rPr>
        <w:t>Manual RAG MVP, LangChain comparison endpoint, Telegram UI, tracing, lifecycle, routing and evaluation</w:t>
      </w:r>
    </w:p>
    <w:p>
      <w:pPr>
        <w:spacing w:before="0" w:after="40" w:line="252" w:lineRule="auto"/>
      </w:pPr>
      <w:r>
        <w:rPr>
          <w:rFonts w:ascii="Calibri" w:hAnsi="Calibri" w:eastAsia="Calibri" w:cs="Calibri"/>
          <w:b/>
          <w:color w:val="232323"/>
          <w:sz w:val="21"/>
        </w:rPr>
        <w:t xml:space="preserve">Snapshot date: </w:t>
      </w:r>
      <w:r>
        <w:rPr>
          <w:rFonts w:ascii="Calibri" w:hAnsi="Calibri" w:eastAsia="Calibri" w:cs="Calibri"/>
          <w:color w:val="232323"/>
          <w:sz w:val="21"/>
        </w:rPr>
        <w:t>June 8, 2026</w:t>
      </w:r>
    </w:p>
    <w:p>
      <w:pPr>
        <w:spacing w:before="200" w:after="280" w:line="264" w:lineRule="auto"/>
        <w:pBdr>
          <w:bottom w:val="single" w:sz="10" w:space="4" w:color="2E74B5"/>
        </w:pBdr>
      </w:pPr>
    </w:p>
    <w:p>
      <w:pPr>
        <w:pStyle w:val="Heading1"/>
      </w:pPr>
      <w:r>
        <w:t>1. Executive Summary</w:t>
      </w:r>
    </w:p>
    <w:p>
      <w:pPr>
        <w:spacing w:before="0" w:after="120" w:line="264" w:lineRule="auto"/>
      </w:pPr>
      <w:r>
        <w:rPr>
          <w:rFonts w:ascii="Calibri" w:hAnsi="Calibri" w:eastAsia="Calibri" w:cs="Calibri"/>
        </w:rPr>
        <w:t>SupportOps AI Agent is a local-first support automation backend. It lets a user upload support knowledge base documents, indexes the content into PostgreSQL and Qdrant, then answers questions by retrieving relevant chunks and prompting a local Ollama model.</w:t>
      </w:r>
    </w:p>
    <w:p>
      <w:pPr>
        <w:spacing w:before="0" w:after="120" w:line="264" w:lineRule="auto"/>
      </w:pPr>
      <w:r>
        <w:rPr>
          <w:rFonts w:ascii="Calibri" w:hAnsi="Calibri" w:eastAsia="Calibri" w:cs="Calibri"/>
        </w:rPr>
        <w:t>The project is intentionally built as a hand-written RAG system first. That keeps the important production seams visible: parsing, chunking, embedding, vector search, prompt assembly, tool calls, persistence, tracing, and error handling. A parallel LangChain endpoint lives beside the manual flow for comparison, not replacement.</w:t>
      </w:r>
    </w:p>
    <w:tbl>
      <w:tblPr>
        <w:tblW w:type="dxa" w:w="9240"/>
        <w:jc w:val="left"/>
        <w:tblLook w:firstColumn="1" w:firstRow="1" w:lastColumn="0" w:lastRow="0" w:noHBand="0" w:noVBand="1" w:val="04A0"/>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240"/>
      </w:tblGrid>
      <w:tr>
        <w:tc>
          <w:tcPr>
            <w:tcW w:type="dxa" w:w="9240"/>
            <w:tcMar>
              <w:top w:w="80" w:type="dxa"/>
              <w:start w:w="120" w:type="dxa"/>
              <w:bottom w:w="80" w:type="dxa"/>
              <w:end w:w="120" w:type="dxa"/>
            </w:tcMar>
            <w:vAlign w:val="center"/>
            <w:shd w:fill="ECF6EF"/>
          </w:tcPr>
          <w:p>
            <w:pPr>
              <w:spacing w:before="40" w:after="40" w:line="264" w:lineRule="auto"/>
            </w:pPr>
            <w:r>
              <w:rPr>
                <w:rFonts w:ascii="Calibri" w:hAnsi="Calibri" w:eastAsia="Calibri" w:cs="Calibri"/>
                <w:b/>
                <w:color w:val="1F4D78"/>
                <w:sz w:val="21"/>
              </w:rPr>
              <w:t xml:space="preserve">Current shape: </w:t>
            </w:r>
            <w:r>
              <w:rPr>
                <w:rFonts w:ascii="Calibri" w:hAnsi="Calibri" w:eastAsia="Calibri" w:cs="Calibri"/>
                <w:color w:val="232323"/>
                <w:sz w:val="21"/>
              </w:rPr>
              <w:t>The application is a backend-only MVP with FastAPI APIs, Telegram as a lightweight chat UI, persistent document lifecycle operations, OpenTelemetry tracing, and a new cascade intent router in front of /api/v1/chat.</w:t>
            </w:r>
          </w:p>
        </w:tc>
      </w:tr>
    </w:tbl>
    <w:p>
      <w:pPr>
        <w:spacing w:after="40"/>
      </w:pPr>
    </w:p>
    <w:p>
      <w:pPr>
        <w:pStyle w:val="Heading1"/>
      </w:pPr>
      <w:r>
        <w:t>2. Architecture at a Glance</w:t>
      </w:r>
    </w:p>
    <w:p>
      <w:pPr>
        <w:spacing w:before="0" w:after="120" w:line="264" w:lineRule="auto"/>
      </w:pPr>
      <w:r>
        <w:rPr>
          <w:rFonts w:ascii="Calibri" w:hAnsi="Calibri" w:eastAsia="Calibri" w:cs="Calibri"/>
        </w:rPr>
        <w:t>The codebase is organized around thin HTTP routes and explicit application services. Business logic is kept out of FastAPI handlers where possible, while persistence and vector search are isolated behind dedicated modules.</w:t>
      </w:r>
    </w:p>
    <w:tbl>
      <w:tblPr>
        <w:tblStyle w:val="TableGrid"/>
        <w:tblW w:type="dxa" w:w="9360"/>
        <w:tblLook w:firstColumn="1" w:firstRow="1" w:lastColumn="0" w:lastRow="0" w:noHBand="0" w:noVBand="1" w:val="04A0"/>
        <w:jc w:val="left"/>
        <w:tblInd w:w="120" w:type="dxa"/>
        <w:tblLayout w:type="fixed"/>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Pr>
      <w:tblGrid>
        <w:gridCol w:w="1500"/>
        <w:gridCol w:w="2650"/>
        <w:gridCol w:w="5210"/>
      </w:tblGrid>
      <w:tr>
        <w:tc>
          <w:tcPr>
            <w:tcW w:type="dxa" w:w="150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Layer</w:t>
            </w:r>
          </w:p>
        </w:tc>
        <w:tc>
          <w:tcPr>
            <w:tcW w:type="dxa" w:w="265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Primary modules</w:t>
            </w:r>
          </w:p>
        </w:tc>
        <w:tc>
          <w:tcPr>
            <w:tcW w:type="dxa" w:w="521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Responsibility</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API</w:t>
            </w:r>
          </w:p>
        </w:tc>
        <w:tc>
          <w:tcPr>
            <w:tcW w:type="dxa" w:w="26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app/api/routes/*</w:t>
            </w:r>
          </w:p>
        </w:tc>
        <w:tc>
          <w:tcPr>
            <w:tcW w:type="dxa" w:w="521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HTTP endpoints, request validation, dependency wiring, error translation</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Routing</w:t>
            </w:r>
          </w:p>
        </w:tc>
        <w:tc>
          <w:tcPr>
            <w:tcW w:type="dxa" w:w="26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app/routing/*</w:t>
            </w:r>
          </w:p>
        </w:tc>
        <w:tc>
          <w:tcPr>
            <w:tcW w:type="dxa" w:w="521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Cascade intent classification before chat orchestration</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Agents</w:t>
            </w:r>
          </w:p>
        </w:tc>
        <w:tc>
          <w:tcPr>
            <w:tcW w:type="dxa" w:w="26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app/agents/*</w:t>
            </w:r>
          </w:p>
        </w:tc>
        <w:tc>
          <w:tcPr>
            <w:tcW w:type="dxa" w:w="521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Support-specific orchestration, tool decisions, persistence of agent runs</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Services</w:t>
            </w:r>
          </w:p>
        </w:tc>
        <w:tc>
          <w:tcPr>
            <w:tcW w:type="dxa" w:w="26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app/services/*</w:t>
            </w:r>
          </w:p>
        </w:tc>
        <w:tc>
          <w:tcPr>
            <w:tcW w:type="dxa" w:w="521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Document parsing, chunking, embeddings, Ollama calls, ingestion, RAG helpers</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Vector store</w:t>
            </w:r>
          </w:p>
        </w:tc>
        <w:tc>
          <w:tcPr>
            <w:tcW w:type="dxa" w:w="26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app/vectorstore/qdrant_store.py</w:t>
            </w:r>
          </w:p>
        </w:tc>
        <w:tc>
          <w:tcPr>
            <w:tcW w:type="dxa" w:w="521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Qdrant collection management, upsert, search, delete</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Database</w:t>
            </w:r>
          </w:p>
        </w:tc>
        <w:tc>
          <w:tcPr>
            <w:tcW w:type="dxa" w:w="26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app/models/*, app/db/*</w:t>
            </w:r>
          </w:p>
        </w:tc>
        <w:tc>
          <w:tcPr>
            <w:tcW w:type="dxa" w:w="521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SQLAlchemy models, async engine/session, migrations</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Integrations</w:t>
            </w:r>
          </w:p>
        </w:tc>
        <w:tc>
          <w:tcPr>
            <w:tcW w:type="dxa" w:w="26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app/integrations/telegram/*</w:t>
            </w:r>
          </w:p>
        </w:tc>
        <w:tc>
          <w:tcPr>
            <w:tcW w:type="dxa" w:w="521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aiogram bot, access control, chat client, answer formatting</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Evaluation</w:t>
            </w:r>
          </w:p>
        </w:tc>
        <w:tc>
          <w:tcPr>
            <w:tcW w:type="dxa" w:w="26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app/evaluation/*</w:t>
            </w:r>
          </w:p>
        </w:tc>
        <w:tc>
          <w:tcPr>
            <w:tcW w:type="dxa" w:w="521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Intent routing dataset and local accuracy report</w:t>
            </w:r>
          </w:p>
        </w:tc>
      </w:tr>
    </w:tbl>
    <w:p>
      <w:pPr>
        <w:spacing w:after="40"/>
      </w:pPr>
    </w:p>
    <w:p>
      <w:pPr>
        <w:pStyle w:val="Heading1"/>
      </w:pPr>
      <w:r>
        <w:t>3. Runtime Topology</w:t>
      </w:r>
    </w:p>
    <w:p>
      <w:pPr>
        <w:spacing w:before="0" w:after="120" w:line="264" w:lineRule="auto"/>
      </w:pPr>
      <w:r>
        <w:rPr>
          <w:rFonts w:ascii="Calibri" w:hAnsi="Calibri" w:eastAsia="Calibri" w:cs="Calibri"/>
        </w:rPr>
        <w:t>Local development runs several independent processes. Docker Compose provides storage and observability services; Ollama runs outside Compose; FastAPI and the Telegram bot run as separate application processes.</w:t>
      </w:r>
    </w:p>
    <w:tbl>
      <w:tblPr>
        <w:tblStyle w:val="TableGrid"/>
        <w:tblW w:type="dxa" w:w="9360"/>
        <w:tblLook w:firstColumn="1" w:firstRow="1" w:lastColumn="0" w:lastRow="0" w:noHBand="0" w:noVBand="1" w:val="04A0"/>
        <w:jc w:val="left"/>
        <w:tblInd w:w="120" w:type="dxa"/>
        <w:tblLayout w:type="fixed"/>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Pr>
      <w:tblGrid>
        <w:gridCol w:w="1900"/>
        <w:gridCol w:w="2400"/>
        <w:gridCol w:w="5060"/>
      </w:tblGrid>
      <w:tr>
        <w:tc>
          <w:tcPr>
            <w:tcW w:type="dxa" w:w="190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Component</w:t>
            </w:r>
          </w:p>
        </w:tc>
        <w:tc>
          <w:tcPr>
            <w:tcW w:type="dxa" w:w="240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Default endpoint</w:t>
            </w:r>
          </w:p>
        </w:tc>
        <w:tc>
          <w:tcPr>
            <w:tcW w:type="dxa" w:w="506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Role</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FastAPI</w:t>
            </w:r>
          </w:p>
        </w:tc>
        <w:tc>
          <w:tcPr>
            <w:tcW w:type="dxa" w:w="24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http://localhost:8000</w:t>
            </w:r>
          </w:p>
        </w:tc>
        <w:tc>
          <w:tcPr>
            <w:tcW w:type="dxa" w:w="5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Main HTTP API for health, documents, chat, LLM health</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PostgreSQL</w:t>
            </w:r>
          </w:p>
        </w:tc>
        <w:tc>
          <w:tcPr>
            <w:tcW w:type="dxa" w:w="24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localhost:5433</w:t>
            </w:r>
          </w:p>
        </w:tc>
        <w:tc>
          <w:tcPr>
            <w:tcW w:type="dxa" w:w="5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Source-of-truth metadata and conversation history</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Qdrant</w:t>
            </w:r>
          </w:p>
        </w:tc>
        <w:tc>
          <w:tcPr>
            <w:tcW w:type="dxa" w:w="24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http://localhost:6333</w:t>
            </w:r>
          </w:p>
        </w:tc>
        <w:tc>
          <w:tcPr>
            <w:tcW w:type="dxa" w:w="5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Vector search over chunk embeddings and payload text</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Redis</w:t>
            </w:r>
          </w:p>
        </w:tc>
        <w:tc>
          <w:tcPr>
            <w:tcW w:type="dxa" w:w="24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redis://localhost:6379/0</w:t>
            </w:r>
          </w:p>
        </w:tc>
        <w:tc>
          <w:tcPr>
            <w:tcW w:type="dxa" w:w="5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Prepared for future background jobs and cache</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Ollama</w:t>
            </w:r>
          </w:p>
        </w:tc>
        <w:tc>
          <w:tcPr>
            <w:tcW w:type="dxa" w:w="24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http://localhost:11434</w:t>
            </w:r>
          </w:p>
        </w:tc>
        <w:tc>
          <w:tcPr>
            <w:tcW w:type="dxa" w:w="5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Local qwen2.5:7b chat generation</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Jaeger</w:t>
            </w:r>
          </w:p>
        </w:tc>
        <w:tc>
          <w:tcPr>
            <w:tcW w:type="dxa" w:w="24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http://localhost:16686</w:t>
            </w:r>
          </w:p>
        </w:tc>
        <w:tc>
          <w:tcPr>
            <w:tcW w:type="dxa" w:w="5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Trace inspection for ingestion, chat, lifecycle flows</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Telegram bot</w:t>
            </w:r>
          </w:p>
        </w:tc>
        <w:tc>
          <w:tcPr>
            <w:tcW w:type="dxa" w:w="24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long polling process</w:t>
            </w:r>
          </w:p>
        </w:tc>
        <w:tc>
          <w:tcPr>
            <w:tcW w:type="dxa" w:w="5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Local chat UI over HTTP backend or direct service mode</w:t>
            </w:r>
          </w:p>
        </w:tc>
      </w:tr>
    </w:tbl>
    <w:p>
      <w:pPr>
        <w:spacing w:after="40"/>
      </w:pPr>
    </w:p>
    <w:p>
      <w:pPr>
        <w:pStyle w:val="Heading1"/>
      </w:pPr>
      <w:r>
        <w:t>4. Data Model and Storage Boundaries</w:t>
      </w:r>
    </w:p>
    <w:p>
      <w:pPr>
        <w:spacing w:before="0" w:after="120" w:line="264" w:lineRule="auto"/>
      </w:pPr>
      <w:r>
        <w:rPr>
          <w:rFonts w:ascii="Calibri" w:hAnsi="Calibri" w:eastAsia="Calibri" w:cs="Calibri"/>
        </w:rPr>
        <w:t>The persistence design separates relational application state from vector search state. PostgreSQL keeps auditable domain records; Qdrant keeps vectors and retrieval payloads. The bridge is DocumentChunk.qdrant_point_id plus the document_id payload in Qdrant.</w:t>
      </w:r>
    </w:p>
    <w:tbl>
      <w:tblPr>
        <w:tblStyle w:val="TableGrid"/>
        <w:tblW w:type="dxa" w:w="9360"/>
        <w:tblLook w:firstColumn="1" w:firstRow="1" w:lastColumn="0" w:lastRow="0" w:noHBand="0" w:noVBand="1" w:val="04A0"/>
        <w:jc w:val="left"/>
        <w:tblInd w:w="120" w:type="dxa"/>
        <w:tblLayout w:type="fixed"/>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Pr>
      <w:tblGrid>
        <w:gridCol w:w="1850"/>
        <w:gridCol w:w="1850"/>
        <w:gridCol w:w="5660"/>
      </w:tblGrid>
      <w:tr>
        <w:tc>
          <w:tcPr>
            <w:tcW w:type="dxa" w:w="185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Entity</w:t>
            </w:r>
          </w:p>
        </w:tc>
        <w:tc>
          <w:tcPr>
            <w:tcW w:type="dxa" w:w="185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Storage</w:t>
            </w:r>
          </w:p>
        </w:tc>
        <w:tc>
          <w:tcPr>
            <w:tcW w:type="dxa" w:w="566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Purpose</w:t>
            </w:r>
          </w:p>
        </w:tc>
      </w:tr>
      <w:tr>
        <w:tc>
          <w:tcPr>
            <w:tcW w:type="dxa" w:w="18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Document</w:t>
            </w:r>
          </w:p>
        </w:tc>
        <w:tc>
          <w:tcPr>
            <w:tcW w:type="dxa" w:w="18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PostgreSQL</w:t>
            </w:r>
          </w:p>
        </w:tc>
        <w:tc>
          <w:tcPr>
            <w:tcW w:type="dxa" w:w="56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Uploaded file metadata and indexing status: processing, indexed, failed</w:t>
            </w:r>
          </w:p>
        </w:tc>
      </w:tr>
      <w:tr>
        <w:tc>
          <w:tcPr>
            <w:tcW w:type="dxa" w:w="18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DocumentChunk</w:t>
            </w:r>
          </w:p>
        </w:tc>
        <w:tc>
          <w:tcPr>
            <w:tcW w:type="dxa" w:w="18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PostgreSQL</w:t>
            </w:r>
          </w:p>
        </w:tc>
        <w:tc>
          <w:tcPr>
            <w:tcW w:type="dxa" w:w="56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Chunk text metadata, page number, index, Qdrant point id</w:t>
            </w:r>
          </w:p>
        </w:tc>
      </w:tr>
      <w:tr>
        <w:tc>
          <w:tcPr>
            <w:tcW w:type="dxa" w:w="18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Qdrant point</w:t>
            </w:r>
          </w:p>
        </w:tc>
        <w:tc>
          <w:tcPr>
            <w:tcW w:type="dxa" w:w="18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Qdrant</w:t>
            </w:r>
          </w:p>
        </w:tc>
        <w:tc>
          <w:tcPr>
            <w:tcW w:type="dxa" w:w="56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384-dimensional vector plus document_id, chunk_id, filename, page, text payload</w:t>
            </w:r>
          </w:p>
        </w:tc>
      </w:tr>
      <w:tr>
        <w:tc>
          <w:tcPr>
            <w:tcW w:type="dxa" w:w="18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Conversation</w:t>
            </w:r>
          </w:p>
        </w:tc>
        <w:tc>
          <w:tcPr>
            <w:tcW w:type="dxa" w:w="18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PostgreSQL</w:t>
            </w:r>
          </w:p>
        </w:tc>
        <w:tc>
          <w:tcPr>
            <w:tcW w:type="dxa" w:w="56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Dialogue container for HTTP or Telegram sessions</w:t>
            </w:r>
          </w:p>
        </w:tc>
      </w:tr>
      <w:tr>
        <w:tc>
          <w:tcPr>
            <w:tcW w:type="dxa" w:w="18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Message</w:t>
            </w:r>
          </w:p>
        </w:tc>
        <w:tc>
          <w:tcPr>
            <w:tcW w:type="dxa" w:w="18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PostgreSQL</w:t>
            </w:r>
          </w:p>
        </w:tc>
        <w:tc>
          <w:tcPr>
            <w:tcW w:type="dxa" w:w="56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User, assistant, and system messages</w:t>
            </w:r>
          </w:p>
        </w:tc>
      </w:tr>
      <w:tr>
        <w:tc>
          <w:tcPr>
            <w:tcW w:type="dxa" w:w="18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AgentRun</w:t>
            </w:r>
          </w:p>
        </w:tc>
        <w:tc>
          <w:tcPr>
            <w:tcW w:type="dxa" w:w="18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PostgreSQL</w:t>
            </w:r>
          </w:p>
        </w:tc>
        <w:tc>
          <w:tcPr>
            <w:tcW w:type="dxa" w:w="56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Execution audit: intent, status, latency, model, retrieved chunk count</w:t>
            </w:r>
          </w:p>
        </w:tc>
      </w:tr>
      <w:tr>
        <w:tc>
          <w:tcPr>
            <w:tcW w:type="dxa" w:w="18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ToolCall</w:t>
            </w:r>
          </w:p>
        </w:tc>
        <w:tc>
          <w:tcPr>
            <w:tcW w:type="dxa" w:w="18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PostgreSQL</w:t>
            </w:r>
          </w:p>
        </w:tc>
        <w:tc>
          <w:tcPr>
            <w:tcW w:type="dxa" w:w="56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Persisted fake-tool calls and outputs for traceability</w:t>
            </w:r>
          </w:p>
        </w:tc>
      </w:tr>
    </w:tbl>
    <w:p>
      <w:pPr>
        <w:spacing w:after="40"/>
      </w:pPr>
    </w:p>
    <w:p>
      <w:pPr>
        <w:pStyle w:val="Heading1"/>
      </w:pPr>
      <w:r>
        <w:t>5. Document Ingestion Flow</w:t>
      </w:r>
    </w:p>
    <w:p>
      <w:pPr>
        <w:spacing w:before="0" w:after="120" w:line="264" w:lineRule="auto"/>
      </w:pPr>
      <w:r>
        <w:rPr>
          <w:rFonts w:ascii="Calibri" w:hAnsi="Calibri" w:eastAsia="Calibri" w:cs="Calibri"/>
        </w:rPr>
        <w:t>Document upload is synchronous in the current MVP. The implementation is production-shaped, but deliberately not yet moved to a worker queue.</w:t>
      </w:r>
    </w:p>
    <w:p>
      <w:pPr>
        <w:pStyle w:val="ListNumber"/>
      </w:pPr>
      <w:r>
        <w:rPr>
          <w:rFonts w:ascii="Calibri" w:hAnsi="Calibri" w:eastAsia="Calibri" w:cs="Calibri"/>
        </w:rPr>
        <w:t>POST /api/v1/documents/upload accepts an UploadFile.</w:t>
      </w:r>
    </w:p>
    <w:p>
      <w:pPr>
        <w:pStyle w:val="ListNumber"/>
      </w:pPr>
      <w:r>
        <w:rPr>
          <w:rFonts w:ascii="Calibri" w:hAnsi="Calibri" w:eastAsia="Calibri" w:cs="Calibri"/>
        </w:rPr>
        <w:t>DocumentIngestionService creates a Document row with status processing.</w:t>
      </w:r>
    </w:p>
    <w:p>
      <w:pPr>
        <w:pStyle w:val="ListNumber"/>
      </w:pPr>
      <w:r>
        <w:rPr>
          <w:rFonts w:ascii="Calibri" w:hAnsi="Calibri" w:eastAsia="Calibri" w:cs="Calibri"/>
        </w:rPr>
        <w:t>The uploaded bytes are saved into a temporary file for parser compatibility.</w:t>
      </w:r>
    </w:p>
    <w:p>
      <w:pPr>
        <w:pStyle w:val="ListNumber"/>
      </w:pPr>
      <w:r>
        <w:rPr>
          <w:rFonts w:ascii="Calibri" w:hAnsi="Calibri" w:eastAsia="Calibri" w:cs="Calibri"/>
        </w:rPr>
        <w:t>DocumentParser extracts text from .txt, .md, or text-layer PDF files.</w:t>
      </w:r>
    </w:p>
    <w:p>
      <w:pPr>
        <w:pStyle w:val="ListNumber"/>
      </w:pPr>
      <w:r>
        <w:rPr>
          <w:rFonts w:ascii="Calibri" w:hAnsi="Calibri" w:eastAsia="Calibri" w:cs="Calibri"/>
        </w:rPr>
        <w:t>TextChunkingService splits pages into overlapping chunks and keeps page metadata.</w:t>
      </w:r>
    </w:p>
    <w:p>
      <w:pPr>
        <w:pStyle w:val="ListNumber"/>
      </w:pPr>
      <w:r>
        <w:rPr>
          <w:rFonts w:ascii="Calibri" w:hAnsi="Calibri" w:eastAsia="Calibri" w:cs="Calibri"/>
        </w:rPr>
        <w:t>EmbeddingService computes local E5 passage embeddings with normalize_embeddings=True.</w:t>
      </w:r>
    </w:p>
    <w:p>
      <w:pPr>
        <w:pStyle w:val="ListNumber"/>
      </w:pPr>
      <w:r>
        <w:rPr>
          <w:rFonts w:ascii="Calibri" w:hAnsi="Calibri" w:eastAsia="Calibri" w:cs="Calibri"/>
        </w:rPr>
        <w:t>QdrantVectorStore upserts vectors into the configured collection with payload text.</w:t>
      </w:r>
    </w:p>
    <w:p>
      <w:pPr>
        <w:pStyle w:val="ListNumber"/>
      </w:pPr>
      <w:r>
        <w:rPr>
          <w:rFonts w:ascii="Calibri" w:hAnsi="Calibri" w:eastAsia="Calibri" w:cs="Calibri"/>
        </w:rPr>
        <w:t>DocumentChunk rows are persisted with qdrant_point_id.</w:t>
      </w:r>
    </w:p>
    <w:p>
      <w:pPr>
        <w:pStyle w:val="ListNumber"/>
      </w:pPr>
      <w:r>
        <w:rPr>
          <w:rFonts w:ascii="Calibri" w:hAnsi="Calibri" w:eastAsia="Calibri" w:cs="Calibri"/>
        </w:rPr>
        <w:t>Document.status becomes indexed, or failed if parsing, embedding, or Qdrant upsert fails.</w:t>
      </w:r>
    </w:p>
    <w:tbl>
      <w:tblPr>
        <w:tblW w:type="dxa" w:w="9240"/>
        <w:jc w:val="left"/>
        <w:tblLook w:firstColumn="1" w:firstRow="1" w:lastColumn="0" w:lastRow="0" w:noHBand="0" w:noVBand="1" w:val="04A0"/>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240"/>
      </w:tblGrid>
      <w:tr>
        <w:tc>
          <w:tcPr>
            <w:tcW w:type="dxa" w:w="9240"/>
            <w:tcMar>
              <w:top w:w="80" w:type="dxa"/>
              <w:start w:w="120" w:type="dxa"/>
              <w:bottom w:w="80" w:type="dxa"/>
              <w:end w:w="120" w:type="dxa"/>
            </w:tcMar>
            <w:vAlign w:val="center"/>
            <w:shd w:fill="FFF4E5"/>
          </w:tcPr>
          <w:p>
            <w:pPr>
              <w:spacing w:before="40" w:after="40" w:line="264" w:lineRule="auto"/>
            </w:pPr>
            <w:r>
              <w:rPr>
                <w:rFonts w:ascii="Calibri" w:hAnsi="Calibri" w:eastAsia="Calibri" w:cs="Calibri"/>
                <w:b/>
                <w:color w:val="1F4D78"/>
                <w:sz w:val="21"/>
              </w:rPr>
              <w:t xml:space="preserve">Failure model: </w:t>
            </w:r>
            <w:r>
              <w:rPr>
                <w:rFonts w:ascii="Calibri" w:hAnsi="Calibri" w:eastAsia="Calibri" w:cs="Calibri"/>
                <w:color w:val="232323"/>
                <w:sz w:val="21"/>
              </w:rPr>
              <w:t>If indexing fails, the API returns a clear service error and the Document row remains visible with status failed. That makes broken uploads inspectable instead of disappearing silently.</w:t>
            </w:r>
          </w:p>
        </w:tc>
      </w:tr>
    </w:tbl>
    <w:p>
      <w:pPr>
        <w:spacing w:after="40"/>
      </w:pPr>
    </w:p>
    <w:p>
      <w:pPr>
        <w:pStyle w:val="Heading1"/>
      </w:pPr>
      <w:r>
        <w:t>6. Document Lifecycle</w:t>
      </w:r>
    </w:p>
    <w:p>
      <w:pPr>
        <w:spacing w:before="0" w:after="120" w:line="264" w:lineRule="auto"/>
      </w:pPr>
      <w:r>
        <w:rPr>
          <w:rFonts w:ascii="Calibri" w:hAnsi="Calibri" w:eastAsia="Calibri" w:cs="Calibri"/>
        </w:rPr>
        <w:t>The project now supports delete and replace-style reindexing. Both operations update PostgreSQL and Qdrant so sources disappear or change consistently across the manual RAG and LangChain RAG endpoints.</w:t>
      </w:r>
    </w:p>
    <w:tbl>
      <w:tblPr>
        <w:tblStyle w:val="TableGrid"/>
        <w:tblW w:type="dxa" w:w="9360"/>
        <w:tblLook w:firstColumn="1" w:firstRow="1" w:lastColumn="0" w:lastRow="0" w:noHBand="0" w:noVBand="1" w:val="04A0"/>
        <w:jc w:val="left"/>
        <w:tblInd w:w="120" w:type="dxa"/>
        <w:tblLayout w:type="fixed"/>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Pr>
      <w:tblGrid>
        <w:gridCol w:w="1500"/>
        <w:gridCol w:w="3100"/>
        <w:gridCol w:w="4760"/>
      </w:tblGrid>
      <w:tr>
        <w:tc>
          <w:tcPr>
            <w:tcW w:type="dxa" w:w="150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Operation</w:t>
            </w:r>
          </w:p>
        </w:tc>
        <w:tc>
          <w:tcPr>
            <w:tcW w:type="dxa" w:w="310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Endpoint</w:t>
            </w:r>
          </w:p>
        </w:tc>
        <w:tc>
          <w:tcPr>
            <w:tcW w:type="dxa" w:w="476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Important behavior</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Delete</w:t>
            </w:r>
          </w:p>
        </w:tc>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DELETE /api/v1/documents/{document_id}</w:t>
            </w:r>
          </w:p>
        </w:tc>
        <w:tc>
          <w:tcPr>
            <w:tcW w:type="dxa" w:w="47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Deletes Qdrant points first, then PostgreSQL chunks and document row. Falls back to payload-filter delete by document_id.</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Reindex</w:t>
            </w:r>
          </w:p>
        </w:tc>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POST /api/v1/documents/{document_id}/reindex</w:t>
            </w:r>
          </w:p>
        </w:tc>
        <w:tc>
          <w:tcPr>
            <w:tcW w:type="dxa" w:w="47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Requires a new file because original files are not persisted. Cleans old vectors/chunks, updates metadata, then runs the upload pipeline.</w:t>
            </w:r>
          </w:p>
        </w:tc>
      </w:tr>
    </w:tbl>
    <w:p>
      <w:pPr>
        <w:spacing w:after="40"/>
      </w:pPr>
    </w:p>
    <w:tbl>
      <w:tblPr>
        <w:tblW w:type="dxa" w:w="9240"/>
        <w:jc w:val="left"/>
        <w:tblLook w:firstColumn="1" w:firstRow="1" w:lastColumn="0" w:lastRow="0" w:noHBand="0" w:noVBand="1" w:val="04A0"/>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240"/>
      </w:tblGrid>
      <w:tr>
        <w:tc>
          <w:tcPr>
            <w:tcW w:type="dxa" w:w="9240"/>
            <w:tcMar>
              <w:top w:w="80" w:type="dxa"/>
              <w:start w:w="120" w:type="dxa"/>
              <w:bottom w:w="80" w:type="dxa"/>
              <w:end w:w="120" w:type="dxa"/>
            </w:tcMar>
            <w:vAlign w:val="center"/>
            <w:shd w:fill="FFF4E5"/>
          </w:tcPr>
          <w:p>
            <w:pPr>
              <w:spacing w:before="40" w:after="40" w:line="264" w:lineRule="auto"/>
            </w:pPr>
            <w:r>
              <w:rPr>
                <w:rFonts w:ascii="Calibri" w:hAnsi="Calibri" w:eastAsia="Calibri" w:cs="Calibri"/>
                <w:b/>
                <w:color w:val="1F4D78"/>
                <w:sz w:val="21"/>
              </w:rPr>
              <w:t xml:space="preserve">Consistency rule: </w:t>
            </w:r>
            <w:r>
              <w:rPr>
                <w:rFonts w:ascii="Calibri" w:hAnsi="Calibri" w:eastAsia="Calibri" w:cs="Calibri"/>
                <w:color w:val="232323"/>
                <w:sz w:val="21"/>
              </w:rPr>
              <w:t>If Qdrant deletion fails during delete, PostgreSQL rows are not removed. This avoids stale vectors without relational metadata. During MVP reindex, old chunks are not restored if replacement indexing fails after cleanup; the document is marked failed.</w:t>
            </w:r>
          </w:p>
        </w:tc>
      </w:tr>
    </w:tbl>
    <w:p>
      <w:pPr>
        <w:spacing w:after="40"/>
      </w:pPr>
    </w:p>
    <w:p>
      <w:pPr>
        <w:pStyle w:val="Heading1"/>
      </w:pPr>
      <w:r>
        <w:t>7. Chat and Manual RAG Flow</w:t>
      </w:r>
    </w:p>
    <w:p>
      <w:pPr>
        <w:spacing w:before="0" w:after="120" w:line="264" w:lineRule="auto"/>
      </w:pPr>
      <w:r>
        <w:rPr>
          <w:rFonts w:ascii="Calibri" w:hAnsi="Calibri" w:eastAsia="Calibri" w:cs="Calibri"/>
        </w:rPr>
        <w:t>The default endpoint remains the hand-written RAG implementation. It is useful for learning and for debugging because each moving part is visible in code and traces.</w:t>
      </w:r>
    </w:p>
    <w:p>
      <w:pPr>
        <w:pStyle w:val="ListNumber"/>
      </w:pPr>
      <w:r>
        <w:rPr>
          <w:rFonts w:ascii="Calibri" w:hAnsi="Calibri" w:eastAsia="Calibri" w:cs="Calibri"/>
        </w:rPr>
        <w:t>POST /api/v1/chat receives message or question plus optional context fields.</w:t>
      </w:r>
    </w:p>
    <w:p>
      <w:pPr>
        <w:pStyle w:val="ListNumber"/>
      </w:pPr>
      <w:r>
        <w:rPr>
          <w:rFonts w:ascii="Calibri" w:hAnsi="Calibri" w:eastAsia="Calibri" w:cs="Calibri"/>
        </w:rPr>
        <w:t>The route calls the cascade intent router before entering the RAG agent.</w:t>
      </w:r>
    </w:p>
    <w:p>
      <w:pPr>
        <w:pStyle w:val="ListNumber"/>
      </w:pPr>
      <w:r>
        <w:rPr>
          <w:rFonts w:ascii="Calibri" w:hAnsi="Calibri" w:eastAsia="Calibri" w:cs="Calibri"/>
        </w:rPr>
        <w:t>If the scenario is rag_question, the existing SupportAgent.chat flow runs unchanged.</w:t>
      </w:r>
    </w:p>
    <w:p>
      <w:pPr>
        <w:pStyle w:val="ListNumber"/>
      </w:pPr>
      <w:r>
        <w:rPr>
          <w:rFonts w:ascii="Calibri" w:hAnsi="Calibri" w:eastAsia="Calibri" w:cs="Calibri"/>
        </w:rPr>
        <w:t>SupportAgent creates or loads a Conversation and saves the user Message.</w:t>
      </w:r>
    </w:p>
    <w:p>
      <w:pPr>
        <w:pStyle w:val="ListNumber"/>
      </w:pPr>
      <w:r>
        <w:rPr>
          <w:rFonts w:ascii="Calibri" w:hAnsi="Calibri" w:eastAsia="Calibri" w:cs="Calibri"/>
        </w:rPr>
        <w:t>The agent classifies support sub-intent with keyword rules for refund, payment, order, technical issue, or unknown.</w:t>
      </w:r>
    </w:p>
    <w:p>
      <w:pPr>
        <w:pStyle w:val="ListNumber"/>
      </w:pPr>
      <w:r>
        <w:rPr>
          <w:rFonts w:ascii="Calibri" w:hAnsi="Calibri" w:eastAsia="Calibri" w:cs="Calibri"/>
        </w:rPr>
        <w:t>The query is embedded with the E5 query prefix.</w:t>
      </w:r>
    </w:p>
    <w:p>
      <w:pPr>
        <w:pStyle w:val="ListNumber"/>
      </w:pPr>
      <w:r>
        <w:rPr>
          <w:rFonts w:ascii="Calibri" w:hAnsi="Calibri" w:eastAsia="Calibri" w:cs="Calibri"/>
        </w:rPr>
        <w:t>Qdrant returns top chunks with scores and payload metadata.</w:t>
      </w:r>
    </w:p>
    <w:p>
      <w:pPr>
        <w:pStyle w:val="ListNumber"/>
      </w:pPr>
      <w:r>
        <w:rPr>
          <w:rFonts w:ascii="Calibri" w:hAnsi="Calibri" w:eastAsia="Calibri" w:cs="Calibri"/>
        </w:rPr>
        <w:t>Optional fake tools run when the agent detects an order-status request with an order id.</w:t>
      </w:r>
    </w:p>
    <w:p>
      <w:pPr>
        <w:pStyle w:val="ListNumber"/>
      </w:pPr>
      <w:r>
        <w:rPr>
          <w:rFonts w:ascii="Calibri" w:hAnsi="Calibri" w:eastAsia="Calibri" w:cs="Calibri"/>
        </w:rPr>
        <w:t>The prompt contains system instructions, intent, retrieved context, tool results, user question, and answer rules.</w:t>
      </w:r>
    </w:p>
    <w:p>
      <w:pPr>
        <w:pStyle w:val="ListNumber"/>
      </w:pPr>
      <w:r>
        <w:rPr>
          <w:rFonts w:ascii="Calibri" w:hAnsi="Calibri" w:eastAsia="Calibri" w:cs="Calibri"/>
        </w:rPr>
        <w:t>Ollama qwen2.5:7b generates the final answer; assistant message, AgentRun, and ToolCalls are persisted.</w:t>
      </w:r>
    </w:p>
    <w:p>
      <w:pPr>
        <w:pStyle w:val="Heading1"/>
      </w:pPr>
      <w:r>
        <w:t>8. Cascade Intent Routing</w:t>
      </w:r>
    </w:p>
    <w:p>
      <w:pPr>
        <w:spacing w:before="0" w:after="120" w:line="264" w:lineRule="auto"/>
      </w:pPr>
      <w:r>
        <w:rPr>
          <w:rFonts w:ascii="Calibri" w:hAnsi="Calibri" w:eastAsia="Calibri" w:cs="Calibri"/>
        </w:rPr>
        <w:t>A lightweight routing layer now sits in front of /api/v1/chat. It chooses the scenario before the RAG agent runs. This keeps the old RAG flow intact while allowing non-RAG chat actions to grow alongside it.</w:t>
      </w:r>
    </w:p>
    <w:tbl>
      <w:tblPr>
        <w:tblStyle w:val="TableGrid"/>
        <w:tblW w:type="dxa" w:w="9360"/>
        <w:tblLook w:firstColumn="1" w:firstRow="1" w:lastColumn="0" w:lastRow="0" w:noHBand="0" w:noVBand="1" w:val="04A0"/>
        <w:jc w:val="left"/>
        <w:tblInd w:w="120" w:type="dxa"/>
        <w:tblLayout w:type="fixed"/>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Pr>
      <w:tblGrid>
        <w:gridCol w:w="1750"/>
        <w:gridCol w:w="2450"/>
        <w:gridCol w:w="3100"/>
        <w:gridCol w:w="2060"/>
      </w:tblGrid>
      <w:tr>
        <w:tc>
          <w:tcPr>
            <w:tcW w:type="dxa" w:w="175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Router step</w:t>
            </w:r>
          </w:p>
        </w:tc>
        <w:tc>
          <w:tcPr>
            <w:tcW w:type="dxa" w:w="245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Source</w:t>
            </w:r>
          </w:p>
        </w:tc>
        <w:tc>
          <w:tcPr>
            <w:tcW w:type="dxa" w:w="310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Examples</w:t>
            </w:r>
          </w:p>
        </w:tc>
        <w:tc>
          <w:tcPr>
            <w:tcW w:type="dxa" w:w="206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Result</w:t>
            </w:r>
          </w:p>
        </w:tc>
      </w:tr>
      <w:tr>
        <w:tc>
          <w:tcPr>
            <w:tcW w:type="dxa" w:w="17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Context router</w:t>
            </w:r>
          </w:p>
        </w:tc>
        <w:tc>
          <w:tcPr>
            <w:tcW w:type="dxa" w:w="24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app/routing/context_router.py</w:t>
            </w:r>
          </w:p>
        </w:tc>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action=summarize with selected_text; customer_id; document_id</w:t>
            </w:r>
          </w:p>
        </w:tc>
        <w:tc>
          <w:tcPr>
            <w:tcW w:type="dxa" w:w="2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High-confidence decision from explicit request fields</w:t>
            </w:r>
          </w:p>
        </w:tc>
      </w:tr>
      <w:tr>
        <w:tc>
          <w:tcPr>
            <w:tcW w:type="dxa" w:w="17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Rule router</w:t>
            </w:r>
          </w:p>
        </w:tc>
        <w:tc>
          <w:tcPr>
            <w:tcW w:type="dxa" w:w="24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app/routing/rule_router.py</w:t>
            </w:r>
          </w:p>
        </w:tc>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refund/SLA/document; churn/next-best-action; summarize; destructive keywords</w:t>
            </w:r>
          </w:p>
        </w:tc>
        <w:tc>
          <w:tcPr>
            <w:tcW w:type="dxa" w:w="2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Deterministic keyword classification</w:t>
            </w:r>
          </w:p>
        </w:tc>
      </w:tr>
      <w:tr>
        <w:tc>
          <w:tcPr>
            <w:tcW w:type="dxa" w:w="17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LLM router</w:t>
            </w:r>
          </w:p>
        </w:tc>
        <w:tc>
          <w:tcPr>
            <w:tcW w:type="dxa" w:w="24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app/routing/llm_router.py</w:t>
            </w:r>
          </w:p>
        </w:tc>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Ambiguous request not caught by context or rules</w:t>
            </w:r>
          </w:p>
        </w:tc>
        <w:tc>
          <w:tcPr>
            <w:tcW w:type="dxa" w:w="2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Strict JSON classification through Ollama</w:t>
            </w:r>
          </w:p>
        </w:tc>
      </w:tr>
      <w:tr>
        <w:tc>
          <w:tcPr>
            <w:tcW w:type="dxa" w:w="17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Fallback</w:t>
            </w:r>
          </w:p>
        </w:tc>
        <w:tc>
          <w:tcPr>
            <w:tcW w:type="dxa" w:w="245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app/routing/classifier.py</w:t>
            </w:r>
          </w:p>
        </w:tc>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Low confidence or invalid LLM output</w:t>
            </w:r>
          </w:p>
        </w:tc>
        <w:tc>
          <w:tcPr>
            <w:tcW w:type="dxa" w:w="2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unsupported with controlled response</w:t>
            </w:r>
          </w:p>
        </w:tc>
      </w:tr>
    </w:tbl>
    <w:p>
      <w:pPr>
        <w:spacing w:after="40"/>
      </w:pPr>
    </w:p>
    <w:p>
      <w:pPr>
        <w:spacing w:before="0" w:after="120" w:line="264" w:lineRule="auto"/>
      </w:pPr>
      <w:r>
        <w:rPr>
          <w:rFonts w:ascii="Calibri" w:hAnsi="Calibri" w:eastAsia="Calibri" w:cs="Calibri"/>
        </w:rPr>
        <w:t>Current high-level intents are rag_question, summarization, customer_analysis, and unsupported. ChatResponse also carries optional intent, intent_confidence, and router_source metadata, while the LangChain endpoint keeps the old response shape by excluding null fields.</w:t>
      </w:r>
    </w:p>
    <w:p>
      <w:pPr>
        <w:pStyle w:val="Heading1"/>
      </w:pPr>
      <w:r>
        <w:t>9. LangChain Comparison Flow</w:t>
      </w:r>
    </w:p>
    <w:p>
      <w:pPr>
        <w:spacing w:before="0" w:after="120" w:line="264" w:lineRule="auto"/>
      </w:pPr>
      <w:r>
        <w:rPr>
          <w:rFonts w:ascii="Calibri" w:hAnsi="Calibri" w:eastAsia="Calibri" w:cs="Calibri"/>
        </w:rPr>
        <w:t>The LangChain implementation is intentionally parallel. It uses the same PostgreSQL conversation records and the same Qdrant collection, so manual and framework-assisted retrieval can be compared on identical data.</w:t>
      </w:r>
    </w:p>
    <w:tbl>
      <w:tblPr>
        <w:tblStyle w:val="TableGrid"/>
        <w:tblW w:type="dxa" w:w="9360"/>
        <w:tblLook w:firstColumn="1" w:firstRow="1" w:lastColumn="0" w:lastRow="0" w:noHBand="0" w:noVBand="1" w:val="04A0"/>
        <w:jc w:val="left"/>
        <w:tblInd w:w="120" w:type="dxa"/>
        <w:tblLayout w:type="fixed"/>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Pr>
      <w:tblGrid>
        <w:gridCol w:w="2200"/>
        <w:gridCol w:w="3500"/>
        <w:gridCol w:w="3660"/>
      </w:tblGrid>
      <w:tr>
        <w:tc>
          <w:tcPr>
            <w:tcW w:type="dxa" w:w="220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Area</w:t>
            </w:r>
          </w:p>
        </w:tc>
        <w:tc>
          <w:tcPr>
            <w:tcW w:type="dxa" w:w="350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Manual /api/v1/chat</w:t>
            </w:r>
          </w:p>
        </w:tc>
        <w:tc>
          <w:tcPr>
            <w:tcW w:type="dxa" w:w="366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LangChain /api/v1/chat/langchain</w:t>
            </w:r>
          </w:p>
        </w:tc>
      </w:tr>
      <w:tr>
        <w:tc>
          <w:tcPr>
            <w:tcW w:type="dxa" w:w="22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Retrieval</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EmbeddingService + QdrantVectorStore.search</w:t>
            </w:r>
          </w:p>
        </w:tc>
        <w:tc>
          <w:tcPr>
            <w:tcW w:type="dxa" w:w="36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langchain-qdrant similarity search</w:t>
            </w:r>
          </w:p>
        </w:tc>
      </w:tr>
      <w:tr>
        <w:tc>
          <w:tcPr>
            <w:tcW w:type="dxa" w:w="22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Prompting</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Explicit message list assembled in SupportAgent</w:t>
            </w:r>
          </w:p>
        </w:tc>
        <w:tc>
          <w:tcPr>
            <w:tcW w:type="dxa" w:w="36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ChatPromptTemplate in LangChainRAGService</w:t>
            </w:r>
          </w:p>
        </w:tc>
      </w:tr>
      <w:tr>
        <w:tc>
          <w:tcPr>
            <w:tcW w:type="dxa" w:w="22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LLM call</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OllamaLLMService over HTTP /api/chat</w:t>
            </w:r>
          </w:p>
        </w:tc>
        <w:tc>
          <w:tcPr>
            <w:tcW w:type="dxa" w:w="36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ChatOllama from langchain-ollama</w:t>
            </w:r>
          </w:p>
        </w:tc>
      </w:tr>
      <w:tr>
        <w:tc>
          <w:tcPr>
            <w:tcW w:type="dxa" w:w="22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Sources</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Built from RetrievedChunk payload</w:t>
            </w:r>
          </w:p>
        </w:tc>
        <w:tc>
          <w:tcPr>
            <w:tcW w:type="dxa" w:w="36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Built from retrieved document metadata and point payload</w:t>
            </w:r>
          </w:p>
        </w:tc>
      </w:tr>
      <w:tr>
        <w:tc>
          <w:tcPr>
            <w:tcW w:type="dxa" w:w="22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Telegram</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Uses default manual endpoint in HTTP mode</w:t>
            </w:r>
          </w:p>
        </w:tc>
        <w:tc>
          <w:tcPr>
            <w:tcW w:type="dxa" w:w="36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Not used by Telegram by default</w:t>
            </w:r>
          </w:p>
        </w:tc>
      </w:tr>
    </w:tbl>
    <w:p>
      <w:pPr>
        <w:spacing w:after="40"/>
      </w:pPr>
    </w:p>
    <w:p>
      <w:pPr>
        <w:pStyle w:val="Heading1"/>
      </w:pPr>
      <w:r>
        <w:t>10. Prompting, Tools, and Answer Contract</w:t>
      </w:r>
    </w:p>
    <w:p>
      <w:pPr>
        <w:spacing w:before="0" w:after="120" w:line="264" w:lineRule="auto"/>
      </w:pPr>
      <w:r>
        <w:rPr>
          <w:rFonts w:ascii="Calibri" w:hAnsi="Calibri" w:eastAsia="Calibri" w:cs="Calibri"/>
        </w:rPr>
        <w:t>The support prompt is constrained: answer like a support operator, use only retrieved context and tool results, do not invent facts, do not mention filenames or internal vector details in the answer, and leave sources to the API response.</w:t>
      </w:r>
    </w:p>
    <w:p>
      <w:pPr>
        <w:pStyle w:val="ListBullet"/>
      </w:pPr>
      <w:r>
        <w:rPr>
          <w:rFonts w:ascii="Calibri" w:hAnsi="Calibri" w:eastAsia="Calibri" w:cs="Calibri"/>
        </w:rPr>
        <w:t>Sources are returned in ChatResponse.sources, not written by the LLM.</w:t>
      </w:r>
    </w:p>
    <w:p>
      <w:pPr>
        <w:pStyle w:val="ListBullet"/>
      </w:pPr>
      <w:r>
        <w:rPr>
          <w:rFonts w:ascii="Calibri" w:hAnsi="Calibri" w:eastAsia="Calibri" w:cs="Calibri"/>
        </w:rPr>
        <w:t>If context is insufficient, the expected answer is: В базе знаний недостаточно информации для ответа на этот вопрос.</w:t>
      </w:r>
    </w:p>
    <w:p>
      <w:pPr>
        <w:pStyle w:val="ListBullet"/>
      </w:pPr>
      <w:r>
        <w:rPr>
          <w:rFonts w:ascii="Calibri" w:hAnsi="Calibri" w:eastAsia="Calibri" w:cs="Calibri"/>
        </w:rPr>
        <w:t>Fake tools are intentionally simple but persisted as ToolCall rows to model a production audit trail.</w:t>
      </w:r>
    </w:p>
    <w:p>
      <w:pPr>
        <w:pStyle w:val="ListBullet"/>
      </w:pPr>
      <w:r>
        <w:rPr>
          <w:rFonts w:ascii="Calibri" w:hAnsi="Calibri" w:eastAsia="Calibri" w:cs="Calibri"/>
        </w:rPr>
        <w:t>The first real tool path is order_status: if an order id is detected, get_order_status(order_id) is called and included in TOOL RESULTS.</w:t>
      </w:r>
    </w:p>
    <w:p>
      <w:pPr>
        <w:pStyle w:val="Heading1"/>
      </w:pPr>
      <w:r>
        <w:t>11. Telegram Bot Integration</w:t>
      </w:r>
    </w:p>
    <w:p>
      <w:pPr>
        <w:spacing w:before="0" w:after="120" w:line="264" w:lineRule="auto"/>
      </w:pPr>
      <w:r>
        <w:rPr>
          <w:rFonts w:ascii="Calibri" w:hAnsi="Calibri" w:eastAsia="Calibri" w:cs="Calibri"/>
        </w:rPr>
        <w:t>Telegram is the current chat UI. It is a separate aiogram long-polling process and is not started inside FastAPI. In the stable local mode, it calls POST /api/v1/chat over HTTP.</w:t>
      </w:r>
    </w:p>
    <w:tbl>
      <w:tblPr>
        <w:tblStyle w:val="TableGrid"/>
        <w:tblW w:type="dxa" w:w="9360"/>
        <w:tblLook w:firstColumn="1" w:firstRow="1" w:lastColumn="0" w:lastRow="0" w:noHBand="0" w:noVBand="1" w:val="04A0"/>
        <w:jc w:val="left"/>
        <w:tblInd w:w="120" w:type="dxa"/>
        <w:tblLayout w:type="fixed"/>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Pr>
      <w:tblGrid>
        <w:gridCol w:w="2500"/>
        <w:gridCol w:w="6860"/>
      </w:tblGrid>
      <w:tr>
        <w:tc>
          <w:tcPr>
            <w:tcW w:type="dxa" w:w="250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Command or setting</w:t>
            </w:r>
          </w:p>
        </w:tc>
        <w:tc>
          <w:tcPr>
            <w:tcW w:type="dxa" w:w="686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Behavior</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/start</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Introduces the bot and explains that it answers from the uploaded knowledge base</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/help</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Shows commands and example questions</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/new</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Resets the in-memory conversation_id for the Telegram user</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/sources</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Shows detailed sources from the previous answer</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TELEGRAM_ALLOWED_USER_IDS</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Optional comma-separated access-control allow list</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TELEGRAM_USE_BACKEND_HTTP</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true keeps bot and backend separated; false calls SupportAgent directly</w:t>
            </w:r>
          </w:p>
        </w:tc>
      </w:tr>
    </w:tbl>
    <w:p>
      <w:pPr>
        <w:spacing w:after="40"/>
      </w:pPr>
    </w:p>
    <w:p>
      <w:pPr>
        <w:pStyle w:val="Heading1"/>
      </w:pPr>
      <w:r>
        <w:t>12. Observability</w:t>
      </w:r>
    </w:p>
    <w:p>
      <w:pPr>
        <w:spacing w:before="0" w:after="120" w:line="264" w:lineRule="auto"/>
      </w:pPr>
      <w:r>
        <w:rPr>
          <w:rFonts w:ascii="Calibri" w:hAnsi="Calibri" w:eastAsia="Calibri" w:cs="Calibri"/>
        </w:rPr>
        <w:t>OpenTelemetry tracing is optional and disabled by default. When enabled, traces are exported to Jaeger through OTLP HTTP. Manual spans are added around high-value application boundaries instead of logging private prompt or document text.</w:t>
      </w:r>
    </w:p>
    <w:tbl>
      <w:tblPr>
        <w:tblStyle w:val="TableGrid"/>
        <w:tblW w:type="dxa" w:w="9360"/>
        <w:tblLook w:firstColumn="1" w:firstRow="1" w:lastColumn="0" w:lastRow="0" w:noHBand="0" w:noVBand="1" w:val="04A0"/>
        <w:jc w:val="left"/>
        <w:tblInd w:w="120" w:type="dxa"/>
        <w:tblLayout w:type="fixed"/>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Pr>
      <w:tblGrid>
        <w:gridCol w:w="1900"/>
        <w:gridCol w:w="7460"/>
      </w:tblGrid>
      <w:tr>
        <w:tc>
          <w:tcPr>
            <w:tcW w:type="dxa" w:w="190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Flow</w:t>
            </w:r>
          </w:p>
        </w:tc>
        <w:tc>
          <w:tcPr>
            <w:tcW w:type="dxa" w:w="746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Representative spans</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Manual chat</w:t>
            </w:r>
          </w:p>
        </w:tc>
        <w:tc>
          <w:tcPr>
            <w:tcW w:type="dxa" w:w="74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support_agent.chat, intent.classify, rag.embedding_query, qdrant.search, tools.run, llm.ollama.generate, db.agent_run.save</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LangChain chat</w:t>
            </w:r>
          </w:p>
        </w:tc>
        <w:tc>
          <w:tcPr>
            <w:tcW w:type="dxa" w:w="74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langchain_rag.answer, langchain_rag.retrieve, langchain_rag.build_prompt, langchain_rag.generate</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Document upload</w:t>
            </w:r>
          </w:p>
        </w:tc>
        <w:tc>
          <w:tcPr>
            <w:tcW w:type="dxa" w:w="74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document_ingestion.index_uploaded_document, document.parse, chunking.split_pages, embedding.embed_documents, qdrant.upsert_chunks</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Lifecycle</w:t>
            </w:r>
          </w:p>
        </w:tc>
        <w:tc>
          <w:tcPr>
            <w:tcW w:type="dxa" w:w="74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document.delete, qdrant.delete_points, db.document.delete, document.reindex, qdrant.upsert_new_points</w:t>
            </w:r>
          </w:p>
        </w:tc>
      </w:tr>
    </w:tbl>
    <w:p>
      <w:pPr>
        <w:spacing w:after="40"/>
      </w:pPr>
    </w:p>
    <w:tbl>
      <w:tblPr>
        <w:tblW w:type="dxa" w:w="9240"/>
        <w:jc w:val="left"/>
        <w:tblLook w:firstColumn="1" w:firstRow="1" w:lastColumn="0" w:lastRow="0" w:noHBand="0" w:noVBand="1" w:val="04A0"/>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240"/>
      </w:tblGrid>
      <w:tr>
        <w:tc>
          <w:tcPr>
            <w:tcW w:type="dxa" w:w="9240"/>
            <w:tcMar>
              <w:top w:w="80" w:type="dxa"/>
              <w:start w:w="120" w:type="dxa"/>
              <w:bottom w:w="80" w:type="dxa"/>
              <w:end w:w="120" w:type="dxa"/>
            </w:tcMar>
            <w:vAlign w:val="center"/>
            <w:shd w:fill="ECF6EF"/>
          </w:tcPr>
          <w:p>
            <w:pPr>
              <w:spacing w:before="40" w:after="40" w:line="264" w:lineRule="auto"/>
            </w:pPr>
            <w:r>
              <w:rPr>
                <w:rFonts w:ascii="Calibri" w:hAnsi="Calibri" w:eastAsia="Calibri" w:cs="Calibri"/>
                <w:b/>
                <w:color w:val="1F4D78"/>
                <w:sz w:val="21"/>
              </w:rPr>
              <w:t xml:space="preserve">Trace hygiene: </w:t>
            </w:r>
            <w:r>
              <w:rPr>
                <w:rFonts w:ascii="Calibri" w:hAnsi="Calibri" w:eastAsia="Calibri" w:cs="Calibri"/>
                <w:color w:val="232323"/>
                <w:sz w:val="21"/>
              </w:rPr>
              <w:t>Spans carry safe attributes such as intent, message_length, model_name, retrieval_limit, chunk counts, status, and latency metadata. Full prompts, answers, document text, and secrets are intentionally excluded.</w:t>
            </w:r>
          </w:p>
        </w:tc>
      </w:tr>
    </w:tbl>
    <w:p>
      <w:pPr>
        <w:spacing w:after="40"/>
      </w:pPr>
    </w:p>
    <w:p>
      <w:pPr>
        <w:pStyle w:val="Heading1"/>
      </w:pPr>
      <w:r>
        <w:t>13. Tests and Evaluation</w:t>
      </w:r>
    </w:p>
    <w:p>
      <w:pPr>
        <w:spacing w:before="0" w:after="120" w:line="264" w:lineRule="auto"/>
      </w:pPr>
      <w:r>
        <w:rPr>
          <w:rFonts w:ascii="Calibri" w:hAnsi="Calibri" w:eastAsia="Calibri" w:cs="Calibri"/>
        </w:rPr>
        <w:t>The test suite is designed to keep the manual architecture stable while allowing new integrations to be added safely. External-service-heavy tests are separated from fast unit tests where practical.</w:t>
      </w:r>
    </w:p>
    <w:tbl>
      <w:tblPr>
        <w:tblStyle w:val="TableGrid"/>
        <w:tblW w:type="dxa" w:w="9360"/>
        <w:tblLook w:firstColumn="1" w:firstRow="1" w:lastColumn="0" w:lastRow="0" w:noHBand="0" w:noVBand="1" w:val="04A0"/>
        <w:jc w:val="left"/>
        <w:tblInd w:w="120" w:type="dxa"/>
        <w:tblLayout w:type="fixed"/>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Pr>
      <w:tblGrid>
        <w:gridCol w:w="2300"/>
        <w:gridCol w:w="7060"/>
      </w:tblGrid>
      <w:tr>
        <w:tc>
          <w:tcPr>
            <w:tcW w:type="dxa" w:w="230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Area</w:t>
            </w:r>
          </w:p>
        </w:tc>
        <w:tc>
          <w:tcPr>
            <w:tcW w:type="dxa" w:w="706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Representative tests</w:t>
            </w:r>
          </w:p>
        </w:tc>
      </w:tr>
      <w:tr>
        <w:tc>
          <w:tcPr>
            <w:tcW w:type="dxa" w:w="23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Parsing and chunking</w:t>
            </w:r>
          </w:p>
        </w:tc>
        <w:tc>
          <w:tcPr>
            <w:tcW w:type="dxa" w:w="7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txt/md parsing, empty files, unsupported extensions, overlap behavior</w:t>
            </w:r>
          </w:p>
        </w:tc>
      </w:tr>
      <w:tr>
        <w:tc>
          <w:tcPr>
            <w:tcW w:type="dxa" w:w="23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Embeddings</w:t>
            </w:r>
          </w:p>
        </w:tc>
        <w:tc>
          <w:tcPr>
            <w:tcW w:type="dxa" w:w="7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document/query embedding shape and 384-dimensional vectors</w:t>
            </w:r>
          </w:p>
        </w:tc>
      </w:tr>
      <w:tr>
        <w:tc>
          <w:tcPr>
            <w:tcW w:type="dxa" w:w="23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Vector store</w:t>
            </w:r>
          </w:p>
        </w:tc>
        <w:tc>
          <w:tcPr>
            <w:tcW w:type="dxa" w:w="7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collection setup, upsert/search, delete point behavior</w:t>
            </w:r>
          </w:p>
        </w:tc>
      </w:tr>
      <w:tr>
        <w:tc>
          <w:tcPr>
            <w:tcW w:type="dxa" w:w="23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Agents and LangChain</w:t>
            </w:r>
          </w:p>
        </w:tc>
        <w:tc>
          <w:tcPr>
            <w:tcW w:type="dxa" w:w="7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message persistence, AgentRun persistence, source mapping, LLM error handling</w:t>
            </w:r>
          </w:p>
        </w:tc>
      </w:tr>
      <w:tr>
        <w:tc>
          <w:tcPr>
            <w:tcW w:type="dxa" w:w="23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Telegram</w:t>
            </w:r>
          </w:p>
        </w:tc>
        <w:tc>
          <w:tcPr>
            <w:tcW w:type="dxa" w:w="7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access control, answer formatting, HTTP payload formation</w:t>
            </w:r>
          </w:p>
        </w:tc>
      </w:tr>
      <w:tr>
        <w:tc>
          <w:tcPr>
            <w:tcW w:type="dxa" w:w="23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Routing</w:t>
            </w:r>
          </w:p>
        </w:tc>
        <w:tc>
          <w:tcPr>
            <w:tcW w:type="dxa" w:w="7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context priority, rules, mocked LLM fallback, /chat branch behavior</w:t>
            </w:r>
          </w:p>
        </w:tc>
      </w:tr>
      <w:tr>
        <w:tc>
          <w:tcPr>
            <w:tcW w:type="dxa" w:w="23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Lifecycle</w:t>
            </w:r>
          </w:p>
        </w:tc>
        <w:tc>
          <w:tcPr>
            <w:tcW w:type="dxa" w:w="70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delete/reindex DB behavior, Qdrant cleanup, failure status</w:t>
            </w:r>
          </w:p>
        </w:tc>
      </w:tr>
    </w:tbl>
    <w:p>
      <w:pPr>
        <w:spacing w:after="40"/>
      </w:pPr>
    </w:p>
    <w:p>
      <w:pPr>
        <w:spacing w:before="0" w:after="120" w:line="264" w:lineRule="auto"/>
      </w:pPr>
      <w:r>
        <w:rPr>
          <w:rFonts w:ascii="Calibri" w:hAnsi="Calibri" w:eastAsia="Calibri" w:cs="Calibri"/>
        </w:rPr>
        <w:t>The intent evaluation command runs a small JSONL dataset through classify_intent and reports total, correct, accuracy, router source counts, and failed cases.</w:t>
      </w:r>
    </w:p>
    <w:p>
      <w:pPr>
        <w:spacing w:before="0" w:after="60" w:line="240" w:lineRule="auto"/>
      </w:pPr>
      <w:r>
        <w:rPr>
          <w:rFonts w:ascii="Consolas" w:hAnsi="Consolas" w:eastAsia="Consolas" w:cs="Consolas"/>
          <w:color w:val="323232"/>
          <w:sz w:val="19"/>
        </w:rPr>
        <w:t>make eval-intents</w:t>
      </w:r>
    </w:p>
    <w:p>
      <w:pPr>
        <w:pStyle w:val="Heading1"/>
      </w:pPr>
      <w:r>
        <w:t>14. Local Operations Cheat Sheet</w:t>
      </w:r>
    </w:p>
    <w:tbl>
      <w:tblPr>
        <w:tblStyle w:val="TableGrid"/>
        <w:tblW w:type="dxa" w:w="9360"/>
        <w:tblLook w:firstColumn="1" w:firstRow="1" w:lastColumn="0" w:lastRow="0" w:noHBand="0" w:noVBand="1" w:val="04A0"/>
        <w:jc w:val="left"/>
        <w:tblInd w:w="120" w:type="dxa"/>
        <w:tblLayout w:type="fixed"/>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Pr>
      <w:tblGrid>
        <w:gridCol w:w="2500"/>
        <w:gridCol w:w="6860"/>
      </w:tblGrid>
      <w:tr>
        <w:tc>
          <w:tcPr>
            <w:tcW w:type="dxa" w:w="250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Task</w:t>
            </w:r>
          </w:p>
        </w:tc>
        <w:tc>
          <w:tcPr>
            <w:tcW w:type="dxa" w:w="686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Command</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Install project</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python3.12 -m venv .venv; source .venv/bin/activate; pip install -e ".[dev]"</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Start infrastructure</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make docker-up</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Apply migrations</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make migrate</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Start FastAPI</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make dev</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Install Ollama model</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ollama pull qwen2.5:7b</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Run Telegram bot</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make telegram-bot</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Run tests</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make test</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Run lint</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make lint</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Run intent evaluation</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make eval-intents</w:t>
            </w:r>
          </w:p>
        </w:tc>
      </w:tr>
    </w:tbl>
    <w:p>
      <w:pPr>
        <w:spacing w:after="40"/>
      </w:pPr>
    </w:p>
    <w:p>
      <w:pPr>
        <w:pStyle w:val="Heading1"/>
      </w:pPr>
      <w:r>
        <w:t>15. Code Index</w:t>
      </w:r>
    </w:p>
    <w:p>
      <w:pPr>
        <w:spacing w:before="0" w:after="120" w:line="264" w:lineRule="auto"/>
      </w:pPr>
      <w:r>
        <w:rPr>
          <w:rFonts w:ascii="Calibri" w:hAnsi="Calibri" w:eastAsia="Calibri" w:cs="Calibri"/>
        </w:rPr>
        <w:t>Use this index when reviewing or extending the project.</w:t>
      </w:r>
    </w:p>
    <w:tbl>
      <w:tblPr>
        <w:tblStyle w:val="TableGrid"/>
        <w:tblW w:type="dxa" w:w="9360"/>
        <w:tblLook w:firstColumn="1" w:firstRow="1" w:lastColumn="0" w:lastRow="0" w:noHBand="0" w:noVBand="1" w:val="04A0"/>
        <w:jc w:val="left"/>
        <w:tblInd w:w="120" w:type="dxa"/>
        <w:tblLayout w:type="fixed"/>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Pr>
      <w:tblGrid>
        <w:gridCol w:w="3100"/>
        <w:gridCol w:w="6260"/>
      </w:tblGrid>
      <w:tr>
        <w:tc>
          <w:tcPr>
            <w:tcW w:type="dxa" w:w="310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Need to inspect</w:t>
            </w:r>
          </w:p>
        </w:tc>
        <w:tc>
          <w:tcPr>
            <w:tcW w:type="dxa" w:w="6260"/>
            <w:tcMar>
              <w:top w:w="80" w:type="dxa"/>
              <w:start w:w="120" w:type="dxa"/>
              <w:bottom w:w="80" w:type="dxa"/>
              <w:end w:w="120" w:type="dxa"/>
            </w:tcMar>
            <w:vAlign w:val="center"/>
            <w:shd w:fill="F2F4F7"/>
          </w:tcPr>
          <w:p>
            <w:pPr>
              <w:spacing w:before="0" w:after="0" w:line="252" w:lineRule="auto"/>
            </w:pPr>
            <w:r>
              <w:rPr>
                <w:rFonts w:ascii="Calibri" w:hAnsi="Calibri" w:eastAsia="Calibri" w:cs="Calibri"/>
                <w:b/>
                <w:color w:val="232323"/>
                <w:sz w:val="20"/>
              </w:rPr>
              <w:t>Start here</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FastAPI composition</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app/main.py</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Settings and env defaults</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app/core/config.py</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Manual chat endpoint</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app/api/routes/chat.py</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LangChain chat endpoint</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app/api/routes/chat_langchain.py</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Document endpoints</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app/api/routes/documents.py</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Document indexing and lifecycle</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app/services/document_ingestion_service.py</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Manual support agent</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app/agents/support_agent.py</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LangChain support agent</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app/agents/langchain_support_agent.py</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LangChain RAG service</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app/services/langchain_rag_service.py</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Qdrant integration</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app/vectorstore/qdrant_store.py</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Intent routing</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app/routing/classifier.py</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Telegram bot</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cs="Calibri"/>
                <w:color w:val="232323"/>
                <w:sz w:val="20"/>
              </w:rPr>
              <w:t>app/integrations/telegram/handlers.py</w:t>
            </w:r>
          </w:p>
        </w:tc>
      </w:tr>
    </w:tbl>
    <w:p>
      <w:pPr>
        <w:spacing w:after="40"/>
      </w:pPr>
    </w:p>
    <w:p>
      <w:pPr>
        <w:pStyle w:val="Heading1"/>
      </w:pPr>
      <w:r>
        <w:t>16. Roadmap</w:t>
      </w:r>
    </w:p>
    <w:p>
      <w:pPr>
        <w:pStyle w:val="ListBullet"/>
      </w:pPr>
      <w:r>
        <w:rPr>
          <w:rFonts w:ascii="Calibri" w:hAnsi="Calibri" w:eastAsia="Calibri" w:cs="Calibri"/>
        </w:rPr>
        <w:t>Move document indexing to background workers backed by Redis or another queue.</w:t>
      </w:r>
    </w:p>
    <w:p>
      <w:pPr>
        <w:pStyle w:val="ListBullet"/>
      </w:pPr>
      <w:r>
        <w:rPr>
          <w:rFonts w:ascii="Calibri" w:hAnsi="Calibri" w:eastAsia="Calibri" w:cs="Calibri"/>
        </w:rPr>
        <w:t>Add authentication, user-scoped knowledge bases, and authorization around document lifecycle operations.</w:t>
      </w:r>
    </w:p>
    <w:p>
      <w:pPr>
        <w:pStyle w:val="ListBullet"/>
      </w:pPr>
      <w:r>
        <w:rPr>
          <w:rFonts w:ascii="Calibri" w:hAnsi="Calibri" w:eastAsia="Calibri" w:cs="Calibri"/>
        </w:rPr>
        <w:t>Persist Telegram session mapping in PostgreSQL instead of in-memory state.</w:t>
      </w:r>
    </w:p>
    <w:p>
      <w:pPr>
        <w:pStyle w:val="ListBullet"/>
      </w:pPr>
      <w:r>
        <w:rPr>
          <w:rFonts w:ascii="Calibri" w:hAnsi="Calibri" w:eastAsia="Calibri" w:cs="Calibri"/>
        </w:rPr>
        <w:t>Add streaming chat responses and better user-facing progress for slow LLM calls.</w:t>
      </w:r>
    </w:p>
    <w:p>
      <w:pPr>
        <w:pStyle w:val="ListBullet"/>
      </w:pPr>
      <w:r>
        <w:rPr>
          <w:rFonts w:ascii="Calibri" w:hAnsi="Calibri" w:eastAsia="Calibri" w:cs="Calibri"/>
        </w:rPr>
        <w:t>Add OCR for scanned PDFs and richer parsing diagnostics.</w:t>
      </w:r>
    </w:p>
    <w:p>
      <w:pPr>
        <w:pStyle w:val="ListBullet"/>
      </w:pPr>
      <w:r>
        <w:rPr>
          <w:rFonts w:ascii="Calibri" w:hAnsi="Calibri" w:eastAsia="Calibri" w:cs="Calibri"/>
        </w:rPr>
        <w:t>Promote fake tools into real integrations with typed contracts and retries.</w:t>
      </w:r>
    </w:p>
    <w:p>
      <w:pPr>
        <w:pStyle w:val="ListBullet"/>
      </w:pPr>
      <w:r>
        <w:rPr>
          <w:rFonts w:ascii="Calibri" w:hAnsi="Calibri" w:eastAsia="Calibri" w:cs="Calibri"/>
        </w:rPr>
        <w:t>Expand evaluation beyond intent routing into retrieval quality and answer faithfulness.</w:t>
      </w:r>
    </w:p>
    <w:p>
      <w:pPr>
        <w:pStyle w:val="Heading1"/>
      </w:pPr>
      <w:r>
        <w:t>17. Reviewer Takeaway</w:t>
      </w:r>
    </w:p>
    <w:p>
      <w:pPr>
        <w:spacing w:before="0" w:after="120" w:line="264" w:lineRule="auto"/>
      </w:pPr>
      <w:r>
        <w:rPr>
          <w:rFonts w:ascii="Calibri" w:hAnsi="Calibri" w:eastAsia="Calibri" w:cs="Calibri"/>
        </w:rPr>
        <w:t>The project is valuable because it avoids hiding core RAG behavior behind a framework too early. The manual implementation makes tradeoffs observable, while the LangChain endpoint, Telegram adapter, document lifecycle, tracing, and evaluation layer show how the same MVP can evolve toward production without a full rewrite.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color w:val="606060"/>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Bdr>
        <w:bottom w:val="single" w:sz="4" w:space="2" w:color="DADCE0"/>
      </w:pBdr>
    </w:pPr>
    <w:r/>
    <w:r>
      <w:rPr>
        <w:rFonts w:ascii="Calibri" w:hAnsi="Calibri" w:eastAsia="Calibri" w:cs="Calibri"/>
        <w:b/>
        <w:color w:val="606060"/>
        <w:sz w:val="18"/>
      </w:rPr>
      <w:t>SupportOps AI Agent</w:t>
    </w:r>
    <w:r>
      <w:tab/>
    </w:r>
    <w:r>
      <w:rPr>
        <w:rFonts w:ascii="Calibri" w:hAnsi="Calibri" w:eastAsia="Calibri" w:cs="Calibri"/>
        <w:color w:val="606060"/>
        <w:sz w:val="18"/>
      </w:rPr>
      <w:t>Architecture &amp; 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Inline">
    <w:name w:val="Code Inline"/>
    <w:rPr>
      <w:rFonts w:ascii="Consolas" w:hAnsi="Consolas"/>
      <w:color w:val="282828"/>
      <w:sz w:val="19"/>
    </w:rPr>
  </w:style>
  <w:style w:type="paragraph" w:customStyle="1" w:styleId="MutedNote">
    <w:name w:val="Muted Note"/>
    <w:pPr>
      <w:spacing w:after="80" w:line="252" w:lineRule="auto"/>
    </w:pPr>
    <w:rPr>
      <w:rFonts w:ascii="Calibri" w:hAnsi="Calibri"/>
      <w:color w:val="60606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SupportOps AI Agent: Architecture &amp; Flow</dc:title>
  <dc:subject>Technical overview for a production-like support RAG backend</dc:subject>
  <dc:creator>Codex</dc:creator>
  <cp:keywords>FastAPI, RAG, Qdrant, Ollama, PostgreSQL, Telegram, OpenTelemetry</cp:keywords>
  <dc:description>Generated from repository README, PROJECT_FLOW, and source structure.</dc:description>
  <cp:lastModifiedBy/>
  <cp:revision>1</cp:revision>
  <dcterms:created xsi:type="dcterms:W3CDTF">2013-12-23T23:15:00Z</dcterms:created>
  <dcterms:modified xsi:type="dcterms:W3CDTF">2013-12-23T23:15:00Z</dcterms:modified>
  <cp:category/>
</cp:coreProperties>
</file>