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H - SPECIAL CONTRACT REQUIREMENTS</w:t>
      </w:r>
    </w:p>
    <w:p>
      <w:r>
        <w:rPr>
          <w:b/>
        </w:rPr>
        <w:t>Solicitation Number:</w:t>
      </w:r>
      <w:r>
        <w:t xml:space="preserve"> TBD </w:t>
      </w:r>
      <w:r>
        <w:rPr>
          <w:b/>
        </w:rPr>
        <w:t>Program:</w:t>
      </w:r>
      <w:r>
        <w:t xml:space="preserve"> TBD </w:t>
      </w:r>
      <w:r>
        <w:rPr>
          <w:b/>
        </w:rPr>
        <w:t>Date:</w:t>
      </w:r>
      <w:r>
        <w:t xml:space="preserve"> January 15, 2026</w:t>
      </w:r>
    </w:p>
    <w:p>
      <w:pPr>
        <w:spacing w:before="120" w:after="120"/>
      </w:pPr>
    </w:p>
    <w:p>
      <w:pPr>
        <w:pStyle w:val="Heading2"/>
      </w:pPr>
      <w:r>
        <w:t>H.1 PERFORMANCE REQUIREMENTS</w:t>
      </w:r>
    </w:p>
    <w:p>
      <w:pPr>
        <w:pStyle w:val="Heading3"/>
      </w:pPr>
      <w:r>
        <w:t>H.1.1 Key Performance Parameters (KPPs)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H.1.2 Performance Standards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H.1.3 Quality Assurance</w:t>
      </w:r>
    </w:p>
    <w:p>
      <w:r>
        <w:rPr>
          <w:highlight w:val="yellow"/>
        </w:rPr>
        <w:t>Performance shall be monitored per the Quality Assurance Surveillance Plan (QASP) in Section J.</w:t>
      </w:r>
    </w:p>
    <w:p>
      <w:pPr>
        <w:spacing w:before="120" w:after="120"/>
      </w:pPr>
    </w:p>
    <w:p>
      <w:pPr>
        <w:pStyle w:val="Heading2"/>
      </w:pPr>
      <w:r>
        <w:t>H.2 CYBERSECURITY REQUIREMENTS</w:t>
      </w:r>
    </w:p>
    <w:p>
      <w:pPr>
        <w:pStyle w:val="Heading3"/>
      </w:pPr>
      <w:r>
        <w:t>H.2.1 NIST 800-171 Compliance</w:t>
      </w:r>
    </w:p>
    <w:p>
      <w:r>
        <w:rPr>
          <w:highlight w:val="yellow"/>
        </w:rPr>
        <w:t>The contractor shall implement security controls per NIST 800-171 Rev 2 - "Protecting Controlled Unclassified Information in Nonfederal Systems and Organizations."</w:t>
      </w:r>
    </w:p>
    <w:p>
      <w:r>
        <w:rPr>
          <w:b/>
          <w:highlight w:val="yellow"/>
        </w:rPr>
        <w:t>Required Controls:</w:t>
      </w:r>
      <w:r>
        <w:rPr>
          <w:highlight w:val="yellow"/>
        </w:rPr>
        <w:t xml:space="preserve"> All 110 security requirements in NIST 800-171</w:t>
      </w:r>
    </w:p>
    <w:p>
      <w:pPr>
        <w:pStyle w:val="Heading3"/>
      </w:pPr>
      <w:r>
        <w:t>H.2.2 CMMC Certification</w:t>
      </w:r>
    </w:p>
    <w:p>
      <w:r>
        <w:rPr>
          <w:b/>
          <w:highlight w:val="yellow"/>
        </w:rPr>
        <w:t>CMMC Level Required:</w:t>
      </w:r>
      <w:r>
        <w:rPr>
          <w:highlight w:val="yellow"/>
        </w:rPr>
        <w:t xml:space="preserve"> Level 2</w:t>
      </w:r>
    </w:p>
    <w:p>
      <w:r>
        <w:rPr>
          <w:highlight w:val="yellow"/>
        </w:rPr>
        <w:t>The contractor shall achieve and maintain CMMC Level 2 certification within 12 months of contract award.</w:t>
      </w:r>
    </w:p>
    <w:p>
      <w:pPr>
        <w:pStyle w:val="Heading3"/>
      </w:pPr>
      <w:r>
        <w:t>H.2.3 Cybersecurity Clauses</w:t>
      </w:r>
    </w:p>
    <w:p>
      <w:r>
        <w:rPr>
          <w:highlight w:val="yellow"/>
        </w:rPr>
        <w:t>The following DFARS cybersecurity clauses apply:</w:t>
      </w:r>
    </w:p>
    <w:p>
      <w:pPr>
        <w:pStyle w:val="ListBullet"/>
      </w:pPr>
      <w:r>
        <w:rPr>
          <w:highlight w:val="yellow"/>
        </w:rPr>
        <w:t>DFARS 252.204-7008 - Compliance with Safeguarding Covered Defense Information Controls</w:t>
      </w:r>
    </w:p>
    <w:p>
      <w:pPr>
        <w:pStyle w:val="ListBullet"/>
      </w:pPr>
      <w:r>
        <w:rPr>
          <w:highlight w:val="yellow"/>
        </w:rPr>
        <w:t>DFARS 252.204-7012 - Safeguarding Covered Defense Information and Cyber Incident Reporting</w:t>
      </w:r>
    </w:p>
    <w:p>
      <w:pPr>
        <w:pStyle w:val="ListBullet"/>
      </w:pPr>
      <w:r>
        <w:rPr>
          <w:highlight w:val="yellow"/>
        </w:rPr>
        <w:t>DFARS 252.204-7019 - Notice of NIST SP 800-171 DoD Assessment Requirements</w:t>
      </w:r>
    </w:p>
    <w:p>
      <w:pPr>
        <w:pStyle w:val="ListBullet"/>
      </w:pPr>
      <w:r>
        <w:rPr>
          <w:highlight w:val="yellow"/>
        </w:rPr>
        <w:t>DFARS 252.204-7020 - NIST SP 800-171 DoD Assessment Requirements</w:t>
      </w:r>
    </w:p>
    <w:p>
      <w:pPr>
        <w:pStyle w:val="Heading3"/>
      </w:pPr>
      <w:r>
        <w:t>H.2.4 Incident Reporting</w:t>
      </w:r>
    </w:p>
    <w:p>
      <w:r>
        <w:rPr>
          <w:highlight w:val="yellow"/>
        </w:rPr>
        <w:t>Cyber incidents shall be reported to DoD within 72 hours per DFARS 252.204-7012.</w:t>
      </w:r>
    </w:p>
    <w:p>
      <w:pPr>
        <w:spacing w:before="120" w:after="120"/>
      </w:pPr>
    </w:p>
    <w:p>
      <w:pPr>
        <w:pStyle w:val="Heading2"/>
      </w:pPr>
      <w:r>
        <w:t>H.3 DATA RIGHTS AND INTELLECTUAL PROPERTY</w:t>
      </w:r>
    </w:p>
    <w:p>
      <w:pPr>
        <w:pStyle w:val="Heading3"/>
      </w:pPr>
      <w:r>
        <w:t>H.3.1 Technical Data Rights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H.3.2 Computer Software Rights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H.3.3 Intellectual Property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H.4 SECURITY REQUIREMENTS</w:t>
      </w:r>
    </w:p>
    <w:p>
      <w:pPr>
        <w:pStyle w:val="Heading3"/>
      </w:pPr>
      <w:r>
        <w:t>H.4.1 Clearance Requirements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H.4.2 Facility Clearance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H.4.3 Classified Information Handling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H.5 REPORTING REQUIREMENTS</w:t>
      </w:r>
    </w:p>
    <w:p>
      <w:pPr>
        <w:pStyle w:val="Heading3"/>
      </w:pPr>
      <w:r>
        <w:t>H.5.1 Progress Reports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H.5.2 Status Reports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H.5.3 Financial Reports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H.6 TRAINING REQUIREMENTS</w:t>
      </w:r>
    </w:p>
    <w:p>
      <w:pPr>
        <w:pStyle w:val="Heading3"/>
      </w:pPr>
      <w:r>
        <w:t>H.6.1 User Training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H.6.2 Administrator Training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H.6.3 Training Documentation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H.7 TRANSITION REQUIREMENTS</w:t>
      </w:r>
    </w:p>
    <w:p>
      <w:pPr>
        <w:pStyle w:val="Heading3"/>
      </w:pPr>
      <w:r>
        <w:t>H.7.1 Transition-In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H.7.2 Transition-Out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H.7.3 Knowledge Transfer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H.8 GOVERNMENT-FURNISHED PROPERTY (GFP)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H.9 CONTRACTOR-FURNISHED PROPERTY (CFP)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H.10 TRAVEL REQUIREMENTS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H.11 MEETINGS AND REVIEWS</w:t>
      </w:r>
    </w:p>
    <w:p>
      <w:pPr>
        <w:pStyle w:val="Heading3"/>
      </w:pPr>
      <w:r>
        <w:t>H.11.1 Kickoff Meeting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H.11.2 Progress Reviews</w:t>
      </w:r>
    </w:p>
    <w:p>
      <w:r>
        <w:rPr>
          <w:highlight w:val="yellow"/>
        </w:rPr>
        <w:t>TBD - To be specified based on contract requirements</w:t>
      </w:r>
    </w:p>
    <w:p>
      <w:pPr>
        <w:pStyle w:val="Heading3"/>
      </w:pPr>
      <w:r>
        <w:t>H.11.3 Final Review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pPr>
        <w:pStyle w:val="Heading2"/>
      </w:pPr>
      <w:r>
        <w:t>H.12 SPECIAL PROVISIONS</w:t>
      </w:r>
    </w:p>
    <w:p>
      <w:r>
        <w:rPr>
          <w:highlight w:val="yellow"/>
        </w:rPr>
        <w:t>TBD - To be specified based on contract requirements</w:t>
      </w:r>
    </w:p>
    <w:p>
      <w:pPr>
        <w:spacing w:before="120" w:after="120"/>
      </w:pPr>
    </w:p>
    <w:p>
      <w:r>
        <w:rPr>
          <w:highlight w:val="yellow"/>
        </w:rPr>
        <w:t>*Section H establishes special contract requirements per FAR 15.204-3.*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08:58:58*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H - SPECIAL CONTRACT REQUIREMENTS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