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M - EVALUATION FACTORS FOR AWARD</w:t>
      </w:r>
    </w:p>
    <w:p>
      <w:r>
        <w:rPr>
          <w:b/>
        </w:rPr>
        <w:t>Solicitation Number:</w:t>
      </w:r>
      <w:r>
        <w:t xml:space="preserve"> W56KGU-25-R-0042 (Ground Truth - Project Information, 2025) </w:t>
      </w:r>
      <w:r>
        <w:rPr>
          <w:b/>
        </w:rPr>
        <w:t>Contract Title:</w:t>
      </w:r>
      <w:r>
        <w:t xml:space="preserve"> Advanced Logistics Management System (Ground Truth - Project Information, 2025) </w:t>
      </w:r>
      <w:r>
        <w:rPr>
          <w:b/>
        </w:rPr>
        <w:t>Issued By:</w:t>
      </w:r>
      <w:r>
        <w:t xml:space="preserve"> United States Army (Ground Truth - Project Information, 2025) </w:t>
      </w:r>
      <w:r>
        <w:rPr>
          <w:b/>
        </w:rPr>
        <w:t>Date Issued:</w:t>
      </w:r>
      <w:r>
        <w:t xml:space="preserve"> September 1, 2025 (Ground Truth - Project Information, 2025)</w:t>
      </w:r>
    </w:p>
    <w:p>
      <w:pPr>
        <w:spacing w:before="120" w:after="120"/>
      </w:pPr>
    </w:p>
    <w:p>
      <w:pPr>
        <w:pStyle w:val="Heading2"/>
      </w:pPr>
      <w:r>
        <w:t>M.1 GENERAL INFORMATION</w:t>
      </w:r>
    </w:p>
    <w:p>
      <w:pPr>
        <w:pStyle w:val="Heading3"/>
      </w:pPr>
      <w:r>
        <w:t>M.1.1 Evaluation Process</w:t>
      </w:r>
    </w:p>
    <w:p>
      <w:r>
        <w:rPr>
          <w:highlight w:val="yellow"/>
        </w:rPr>
        <w:t>This section describes the evaluation methodology that will be used to evaluate proposals submitted in response to this Request for Proposal (RFP). The Government will evaluate proposals in accordance with Federal Acquisition Regulation (FAR) Part 15, Subpart 15.3 (FAR 15.3, 2024).</w:t>
      </w:r>
    </w:p>
    <w:p>
      <w:pPr>
        <w:pStyle w:val="Heading3"/>
      </w:pPr>
      <w:r>
        <w:t>M.1.2 Source Selection Authority</w:t>
      </w:r>
    </w:p>
    <w:p>
      <w:r>
        <w:rPr>
          <w:highlight w:val="yellow"/>
        </w:rPr>
        <w:t xml:space="preserve">The Source Selection Authority (SSA) for this acquisition is: </w:t>
      </w:r>
      <w:r>
        <w:rPr>
          <w:b/>
          <w:highlight w:val="yellow"/>
        </w:rPr>
        <w:t>LTC Michael Chen</w:t>
      </w:r>
      <w:r>
        <w:rPr>
          <w:highlight w:val="yellow"/>
        </w:rPr>
        <w:t xml:space="preserve"> (Ground Truth - Project Information, 2025)</w:t>
      </w:r>
    </w:p>
    <w:p>
      <w:r>
        <w:rPr>
          <w:highlight w:val="yellow"/>
        </w:rPr>
        <w:t>The SSA has the ultimate responsibility for source selection and award decision per FAR 15.303 (FAR 15.303, 2024).</w:t>
      </w:r>
    </w:p>
    <w:p>
      <w:pPr>
        <w:pStyle w:val="Heading3"/>
      </w:pPr>
      <w:r>
        <w:t>M.1.3 Evaluation Team</w:t>
      </w:r>
    </w:p>
    <w:p>
      <w:r>
        <w:rPr>
          <w:highlight w:val="yellow"/>
        </w:rPr>
        <w:t>A Source Selection Evaluation Board (SSEB) will be established to evaluate proposals. The SSEB will consist of qualified Government personnel with expertise in:</w:t>
      </w:r>
    </w:p>
    <w:p>
      <w:pPr>
        <w:pStyle w:val="ListBullet"/>
      </w:pPr>
      <w:r>
        <w:rPr>
          <w:highlight w:val="yellow"/>
        </w:rPr>
        <w:t>Technical evaluation</w:t>
      </w:r>
    </w:p>
    <w:p>
      <w:pPr>
        <w:pStyle w:val="ListBullet"/>
      </w:pPr>
      <w:r>
        <w:rPr>
          <w:highlight w:val="yellow"/>
        </w:rPr>
        <w:t>Management evaluation</w:t>
      </w:r>
    </w:p>
    <w:p>
      <w:pPr>
        <w:pStyle w:val="ListBullet"/>
      </w:pPr>
      <w:r>
        <w:rPr>
          <w:highlight w:val="yellow"/>
        </w:rPr>
        <w:t>Past performance assessment</w:t>
      </w:r>
    </w:p>
    <w:p>
      <w:pPr>
        <w:pStyle w:val="ListBullet"/>
      </w:pPr>
      <w:r>
        <w:rPr>
          <w:highlight w:val="yellow"/>
        </w:rPr>
        <w:t>Cost/price analysis</w:t>
      </w:r>
    </w:p>
    <w:p>
      <w:pPr>
        <w:spacing w:before="120" w:after="120"/>
      </w:pPr>
    </w:p>
    <w:p>
      <w:pPr>
        <w:pStyle w:val="Heading2"/>
      </w:pPr>
      <w:r>
        <w:t>M.2 EVALUATION METHODOLOGY</w:t>
      </w:r>
    </w:p>
    <w:p>
      <w:pPr>
        <w:pStyle w:val="Heading3"/>
      </w:pPr>
      <w:r>
        <w:t>M.2.1 Source Selection Approach</w:t>
      </w:r>
    </w:p>
    <w:p>
      <w:r>
        <w:rPr>
          <w:b/>
          <w:highlight w:val="yellow"/>
        </w:rPr>
        <w:t>This acquisition will use: Best Value Trade-Off Process</w:t>
      </w:r>
      <w:r>
        <w:rPr>
          <w:highlight w:val="yellow"/>
        </w:rPr>
        <w:t xml:space="preserve"> (Ground Truth - Project Information, 2025)</w:t>
      </w:r>
    </w:p>
    <w:p>
      <w:r>
        <w:rPr>
          <w:b/>
          <w:highlight w:val="yellow"/>
        </w:rPr>
        <w:t>BEST VALUE TRADE-OFF PROCESS</w:t>
      </w:r>
    </w:p>
    <w:p>
      <w:r>
        <w:rPr>
          <w:highlight w:val="yellow"/>
        </w:rPr>
        <w:t>Award will be made to the offeror whose proposal provides the best value to the Government, considering technical merit, past performance, and cost/price (FAR 15.101-1, 2024). The Government may make trade-offs among cost/price and non-cost factors and may award to other than the lowest priced offeror or other than the highest technically rated offeror.</w:t>
      </w:r>
    </w:p>
    <w:p>
      <w:pPr>
        <w:pStyle w:val="Heading3"/>
      </w:pPr>
      <w:r>
        <w:t>M.2.2 Evaluation Phases</w:t>
      </w:r>
    </w:p>
    <w:p>
      <w:r>
        <w:rPr>
          <w:highlight w:val="yellow"/>
        </w:rPr>
        <w:t>Proposals will be evaluated in the following phases:</w:t>
      </w:r>
    </w:p>
    <w:p>
      <w:r>
        <w:rPr>
          <w:b/>
          <w:highlight w:val="yellow"/>
        </w:rPr>
        <w:t>Phase I: Compliance Review</w:t>
      </w:r>
    </w:p>
    <w:p>
      <w:pPr>
        <w:pStyle w:val="ListBullet"/>
      </w:pPr>
      <w:r>
        <w:rPr>
          <w:highlight w:val="yellow"/>
        </w:rPr>
        <w:t>Verification of proposal completeness</w:t>
      </w:r>
    </w:p>
    <w:p>
      <w:pPr>
        <w:pStyle w:val="ListBullet"/>
      </w:pPr>
      <w:r>
        <w:rPr>
          <w:highlight w:val="yellow"/>
        </w:rPr>
        <w:t>Verification of SAM.gov registration (FAR 4.1102, 2024)</w:t>
      </w:r>
    </w:p>
    <w:p>
      <w:pPr>
        <w:pStyle w:val="ListBullet"/>
      </w:pPr>
      <w:r>
        <w:rPr>
          <w:highlight w:val="yellow"/>
        </w:rPr>
        <w:t>Review for compliance with Section L instructions</w:t>
      </w:r>
    </w:p>
    <w:p>
      <w:pPr>
        <w:pStyle w:val="ListBullet"/>
      </w:pPr>
      <w:r>
        <w:rPr>
          <w:highlight w:val="yellow"/>
        </w:rPr>
        <w:t>Non-compliant proposals may be rejected without further evaluation per FAR 15.306(a)(3) (FAR 15.306, 2024)</w:t>
      </w:r>
    </w:p>
    <w:p>
      <w:r>
        <w:rPr>
          <w:b/>
          <w:highlight w:val="yellow"/>
        </w:rPr>
        <w:t>Phase II: Factor Evaluation</w:t>
      </w:r>
    </w:p>
    <w:p>
      <w:pPr>
        <w:pStyle w:val="ListBullet"/>
      </w:pPr>
      <w:r>
        <w:rPr>
          <w:highlight w:val="yellow"/>
        </w:rPr>
        <w:t>Evaluation of Technical Factor</w:t>
      </w:r>
    </w:p>
    <w:p>
      <w:pPr>
        <w:pStyle w:val="ListBullet"/>
      </w:pPr>
      <w:r>
        <w:rPr>
          <w:highlight w:val="yellow"/>
        </w:rPr>
        <w:t>Evaluation of Management Factor</w:t>
      </w:r>
    </w:p>
    <w:p>
      <w:pPr>
        <w:pStyle w:val="ListBullet"/>
      </w:pPr>
      <w:r>
        <w:rPr>
          <w:highlight w:val="yellow"/>
        </w:rPr>
        <w:t>Evaluation of Past Performance Factor</w:t>
      </w:r>
    </w:p>
    <w:p>
      <w:pPr>
        <w:pStyle w:val="ListBullet"/>
      </w:pPr>
      <w:r>
        <w:rPr>
          <w:highlight w:val="yellow"/>
        </w:rPr>
        <w:t>Evaluation of Cost/Price Factor</w:t>
      </w:r>
    </w:p>
    <w:p>
      <w:r>
        <w:rPr>
          <w:b/>
          <w:highlight w:val="yellow"/>
        </w:rPr>
        <w:t>Phase III: Competitive Range Determination</w:t>
      </w:r>
      <w:r>
        <w:rPr>
          <w:highlight w:val="yellow"/>
        </w:rPr>
        <w:t xml:space="preserve"> (if applicable)</w:t>
      </w:r>
    </w:p>
    <w:p>
      <w:pPr>
        <w:pStyle w:val="ListBullet"/>
      </w:pPr>
      <w:r>
        <w:rPr>
          <w:highlight w:val="yellow"/>
        </w:rPr>
        <w:t>Determination of competitive range based on Phase II evaluations per FAR 15.306(c) (FAR 15.306, 2024)</w:t>
      </w:r>
    </w:p>
    <w:p>
      <w:pPr>
        <w:pStyle w:val="ListBullet"/>
      </w:pPr>
      <w:r>
        <w:rPr>
          <w:highlight w:val="yellow"/>
        </w:rPr>
        <w:t>Offerors not in competitive range will be notified within 5 business days (FAR 15.306, 2024)</w:t>
      </w:r>
    </w:p>
    <w:p>
      <w:r>
        <w:rPr>
          <w:b/>
          <w:highlight w:val="yellow"/>
        </w:rPr>
        <w:t>Phase IV: Discussions</w:t>
      </w:r>
      <w:r>
        <w:rPr>
          <w:highlight w:val="yellow"/>
        </w:rPr>
        <w:t xml:space="preserve"> (if conducted)</w:t>
      </w:r>
    </w:p>
    <w:p>
      <w:pPr>
        <w:pStyle w:val="ListBullet"/>
      </w:pPr>
      <w:r>
        <w:rPr>
          <w:highlight w:val="yellow"/>
        </w:rPr>
        <w:t>Clarifications or discussions with competitive range offerors per FAR 15.306(d) (FAR 15.306, 2024)</w:t>
      </w:r>
    </w:p>
    <w:p>
      <w:pPr>
        <w:pStyle w:val="ListBullet"/>
      </w:pPr>
      <w:r>
        <w:rPr>
          <w:highlight w:val="yellow"/>
        </w:rPr>
        <w:t>Request for Final Proposal Revisions within 10 business days (if applicable) (FAR 15.307, 2024)</w:t>
      </w:r>
    </w:p>
    <w:p>
      <w:r>
        <w:rPr>
          <w:b/>
          <w:highlight w:val="yellow"/>
        </w:rPr>
        <w:t>Phase V: Source Selection Decision</w:t>
      </w:r>
    </w:p>
    <w:p>
      <w:pPr>
        <w:pStyle w:val="ListBullet"/>
      </w:pPr>
      <w:r>
        <w:rPr>
          <w:highlight w:val="yellow"/>
        </w:rPr>
        <w:t>Final evaluation of proposals</w:t>
      </w:r>
    </w:p>
    <w:p>
      <w:pPr>
        <w:pStyle w:val="ListBullet"/>
      </w:pPr>
      <w:r>
        <w:rPr>
          <w:highlight w:val="yellow"/>
        </w:rPr>
        <w:t>Trade-off analysis (Best Value approach)</w:t>
      </w:r>
    </w:p>
    <w:p>
      <w:pPr>
        <w:pStyle w:val="ListBullet"/>
      </w:pPr>
      <w:r>
        <w:rPr>
          <w:highlight w:val="yellow"/>
        </w:rPr>
        <w:t>Award recommendation to SSA within 15 business days (Ground Truth - Project Information, 2025)</w:t>
      </w:r>
    </w:p>
    <w:p>
      <w:pPr>
        <w:pStyle w:val="ListBullet"/>
      </w:pPr>
      <w:r>
        <w:rPr>
          <w:highlight w:val="yellow"/>
        </w:rPr>
        <w:t>Award decision</w:t>
      </w:r>
    </w:p>
    <w:p>
      <w:pPr>
        <w:spacing w:before="120" w:after="120"/>
      </w:pPr>
    </w:p>
    <w:p>
      <w:pPr>
        <w:pStyle w:val="Heading2"/>
      </w:pPr>
      <w:r>
        <w:t>M.3 EVALUATION FACTORS</w:t>
      </w:r>
    </w:p>
    <w:p>
      <w:pPr>
        <w:pStyle w:val="Heading3"/>
      </w:pPr>
      <w:r>
        <w:t>M.3.1 Evaluation Factor Summary</w:t>
      </w:r>
    </w:p>
    <w:p>
      <w:r>
        <w:rPr>
          <w:highlight w:val="yellow"/>
        </w:rPr>
        <w:t>Proposals will be evaluated based on the following factors:</w:t>
      </w:r>
    </w:p>
    <w:p>
      <w:pPr>
        <w:pStyle w:val="ListNumber"/>
      </w:pPr>
      <w:r>
        <w:rPr>
          <w:b/>
          <w:highlight w:val="yellow"/>
        </w:rPr>
        <w:t>Technical Approach</w:t>
      </w:r>
      <w:r>
        <w:rPr>
          <w:highlight w:val="yellow"/>
        </w:rPr>
        <w:t xml:space="preserve"> - 40%</w:t>
      </w:r>
    </w:p>
    <w:p>
      <w:pPr>
        <w:pStyle w:val="ListNumber"/>
      </w:pPr>
      <w:r>
        <w:rPr>
          <w:b/>
          <w:highlight w:val="yellow"/>
        </w:rPr>
        <w:t>Management Approach</w:t>
      </w:r>
      <w:r>
        <w:rPr>
          <w:highlight w:val="yellow"/>
        </w:rPr>
        <w:t xml:space="preserve"> - 30%</w:t>
      </w:r>
    </w:p>
    <w:p>
      <w:pPr>
        <w:pStyle w:val="ListNumber"/>
      </w:pPr>
      <w:r>
        <w:rPr>
          <w:b/>
          <w:highlight w:val="yellow"/>
        </w:rPr>
        <w:t>Past Performance</w:t>
      </w:r>
      <w:r>
        <w:rPr>
          <w:highlight w:val="yellow"/>
        </w:rPr>
        <w:t xml:space="preserve"> - 20%</w:t>
      </w:r>
    </w:p>
    <w:p>
      <w:pPr>
        <w:pStyle w:val="ListNumber"/>
      </w:pPr>
      <w:r>
        <w:rPr>
          <w:b/>
          <w:highlight w:val="yellow"/>
        </w:rPr>
        <w:t>Cost/Price</w:t>
      </w:r>
      <w:r>
        <w:rPr>
          <w:highlight w:val="yellow"/>
        </w:rPr>
        <w:t xml:space="preserve"> - 10%</w:t>
      </w:r>
    </w:p>
    <w:p>
      <w:pPr>
        <w:pStyle w:val="Heading3"/>
      </w:pPr>
      <w:r>
        <w:t>M.3.2 Relative Importance of Evaluation Factors</w:t>
      </w:r>
    </w:p>
    <w:p>
      <w:r>
        <w:rPr>
          <w:b/>
          <w:highlight w:val="yellow"/>
        </w:rPr>
        <w:t>Non-Cost Factors (Technical + Management + Past Performance)</w:t>
      </w:r>
      <w:r>
        <w:rPr>
          <w:highlight w:val="yellow"/>
        </w:rPr>
        <w:t xml:space="preserve"> are </w:t>
      </w:r>
      <w:r>
        <w:rPr>
          <w:b/>
          <w:highlight w:val="yellow"/>
        </w:rPr>
        <w:t>significantly more important</w:t>
      </w:r>
      <w:r>
        <w:rPr>
          <w:highlight w:val="yellow"/>
        </w:rPr>
        <w:t xml:space="preserve"> than </w:t>
      </w:r>
      <w:r>
        <w:rPr>
          <w:b/>
          <w:highlight w:val="yellow"/>
        </w:rPr>
        <w:t>Cost/Price</w:t>
      </w:r>
      <w:r>
        <w:rPr>
          <w:highlight w:val="yellow"/>
        </w:rPr>
        <w:t xml:space="preserve"> when making the source selection decision (Ground Truth - Project Information, 2025).</w:t>
      </w:r>
    </w:p>
    <w:p>
      <w:r>
        <w:rPr>
          <w:b/>
          <w:highlight w:val="yellow"/>
        </w:rPr>
        <w:t>Within Non-Cost Factors:</w:t>
      </w:r>
    </w:p>
    <w:p>
      <w:pPr>
        <w:pStyle w:val="ListBullet"/>
      </w:pPr>
      <w:r>
        <w:rPr>
          <w:b/>
          <w:highlight w:val="yellow"/>
        </w:rPr>
        <w:t>Technical Factor</w:t>
      </w:r>
      <w:r>
        <w:rPr>
          <w:highlight w:val="yellow"/>
        </w:rPr>
        <w:t xml:space="preserve"> is </w:t>
      </w:r>
      <w:r>
        <w:rPr>
          <w:b/>
          <w:highlight w:val="yellow"/>
        </w:rPr>
        <w:t>more important</w:t>
      </w:r>
      <w:r>
        <w:rPr>
          <w:highlight w:val="yellow"/>
        </w:rPr>
        <w:t xml:space="preserve"> than </w:t>
      </w:r>
      <w:r>
        <w:rPr>
          <w:b/>
          <w:highlight w:val="yellow"/>
        </w:rPr>
        <w:t>Management Factor</w:t>
      </w:r>
    </w:p>
    <w:p>
      <w:pPr>
        <w:pStyle w:val="ListBullet"/>
      </w:pPr>
      <w:r>
        <w:rPr>
          <w:b/>
          <w:highlight w:val="yellow"/>
        </w:rPr>
        <w:t>Technical Factor</w:t>
      </w:r>
      <w:r>
        <w:rPr>
          <w:highlight w:val="yellow"/>
        </w:rPr>
        <w:t xml:space="preserve"> is </w:t>
      </w:r>
      <w:r>
        <w:rPr>
          <w:b/>
          <w:highlight w:val="yellow"/>
        </w:rPr>
        <w:t>significantly more important</w:t>
      </w:r>
      <w:r>
        <w:rPr>
          <w:highlight w:val="yellow"/>
        </w:rPr>
        <w:t xml:space="preserve"> than </w:t>
      </w:r>
      <w:r>
        <w:rPr>
          <w:b/>
          <w:highlight w:val="yellow"/>
        </w:rPr>
        <w:t>Past Performance Factor</w:t>
      </w:r>
    </w:p>
    <w:p>
      <w:pPr>
        <w:pStyle w:val="ListBullet"/>
      </w:pPr>
      <w:r>
        <w:rPr>
          <w:b/>
          <w:highlight w:val="yellow"/>
        </w:rPr>
        <w:t>Management Factor</w:t>
      </w:r>
      <w:r>
        <w:rPr>
          <w:highlight w:val="yellow"/>
        </w:rPr>
        <w:t xml:space="preserve"> is </w:t>
      </w:r>
      <w:r>
        <w:rPr>
          <w:b/>
          <w:highlight w:val="yellow"/>
        </w:rPr>
        <w:t>more important</w:t>
      </w:r>
      <w:r>
        <w:rPr>
          <w:highlight w:val="yellow"/>
        </w:rPr>
        <w:t xml:space="preserve"> than </w:t>
      </w:r>
      <w:r>
        <w:rPr>
          <w:b/>
          <w:highlight w:val="yellow"/>
        </w:rPr>
        <w:t>Past Performance Factor</w:t>
      </w:r>
    </w:p>
    <w:p>
      <w:pPr>
        <w:spacing w:before="120" w:after="120"/>
      </w:pPr>
    </w:p>
    <w:p>
      <w:pPr>
        <w:pStyle w:val="Heading2"/>
      </w:pPr>
      <w:r>
        <w:t>M.4 FACTOR 1: TECHNICAL APPROACH</w:t>
      </w:r>
    </w:p>
    <w:p>
      <w:r>
        <w:rPr>
          <w:b/>
          <w:highlight w:val="yellow"/>
        </w:rPr>
        <w:t>Weight:</w:t>
      </w:r>
      <w:r>
        <w:rPr>
          <w:highlight w:val="yellow"/>
        </w:rPr>
        <w:t xml:space="preserve"> 40%</w:t>
      </w:r>
    </w:p>
    <w:p>
      <w:pPr>
        <w:pStyle w:val="Heading3"/>
      </w:pPr>
      <w:r>
        <w:t>M.4.1 Description</w:t>
      </w:r>
    </w:p>
    <w:p>
      <w:r>
        <w:rPr>
          <w:highlight w:val="yellow"/>
        </w:rPr>
        <w:t>The Technical Factor evaluates the offeror's understanding of the requirements and the proposed technical solution's ability to meet the Performance Work Statement (PWS) objectives for the Advanced Logistics Management System serving 2,800 users across 15 Army installations (Ground Truth - Project Information, 2025).</w:t>
      </w:r>
    </w:p>
    <w:p>
      <w:pPr>
        <w:pStyle w:val="Heading3"/>
      </w:pPr>
      <w:r>
        <w:t>M.4.2 Technical Subfactors</w:t>
      </w:r>
    </w:p>
    <w:p>
      <w:r>
        <w:rPr>
          <w:highlight w:val="yellow"/>
        </w:rPr>
        <w:t>The Technical Factor consists of the following subfactors:</w:t>
      </w:r>
    </w:p>
    <w:p>
      <w:pPr>
        <w:pStyle w:val="ListNumber"/>
      </w:pPr>
      <w:r>
        <w:rPr>
          <w:highlight w:val="yellow"/>
        </w:rPr>
        <w:t>Understanding of Requirements - 30%</w:t>
      </w:r>
    </w:p>
    <w:p>
      <w:pPr>
        <w:pStyle w:val="ListNumber"/>
      </w:pPr>
      <w:r>
        <w:rPr>
          <w:highlight w:val="yellow"/>
        </w:rPr>
        <w:t>Technical Solution - 50%</w:t>
      </w:r>
    </w:p>
    <w:p>
      <w:pPr>
        <w:pStyle w:val="ListNumber"/>
      </w:pPr>
      <w:r>
        <w:rPr>
          <w:highlight w:val="yellow"/>
        </w:rPr>
        <w:t>Quality Assurance Approach - 20%</w:t>
      </w:r>
    </w:p>
    <w:p>
      <w:pPr>
        <w:pStyle w:val="Heading3"/>
      </w:pPr>
      <w:r>
        <w:t>M.4.3 Technical Subfactor Descriptions</w:t>
      </w:r>
    </w:p>
    <w:p>
      <w:r>
        <w:rPr>
          <w:b/>
          <w:highlight w:val="yellow"/>
        </w:rPr>
        <w:t>M.4.3.1 Subfactor 1: Understanding of Requirements</w:t>
      </w:r>
    </w:p>
    <w:p>
      <w:r>
        <w:rPr>
          <w:b/>
          <w:highlight w:val="yellow"/>
        </w:rPr>
        <w:t>Weight:</w:t>
      </w:r>
      <w:r>
        <w:rPr>
          <w:highlight w:val="yellow"/>
        </w:rPr>
        <w:t xml:space="preserve"> 30% of Technical Factor</w:t>
      </w:r>
    </w:p>
    <w:p>
      <w:r>
        <w:rPr>
          <w:highlight w:val="yellow"/>
        </w:rPr>
        <w:t>The Government will evaluate the offeror's demonstrated understanding of:</w:t>
      </w:r>
    </w:p>
    <w:p>
      <w:pPr>
        <w:pStyle w:val="ListBullet"/>
      </w:pPr>
      <w:r>
        <w:rPr>
          <w:highlight w:val="yellow"/>
        </w:rPr>
        <w:t>PWS requirements and performance objectives for the 36-month period of performance (Ground Truth - Project Information, 2025)</w:t>
      </w:r>
    </w:p>
    <w:p>
      <w:pPr>
        <w:pStyle w:val="ListBullet"/>
      </w:pPr>
      <w:r>
        <w:rPr>
          <w:highlight w:val="yellow"/>
        </w:rPr>
        <w:t>Technical challenges and complexity for supporting 2,800 users (Ground Truth - Project Information, 2025)</w:t>
      </w:r>
    </w:p>
    <w:p>
      <w:pPr>
        <w:pStyle w:val="ListBullet"/>
      </w:pPr>
      <w:r>
        <w:rPr>
          <w:highlight w:val="yellow"/>
        </w:rPr>
        <w:t>Government's mission and operational environment at Fort Lee, VA and CONUS installations (Ground Truth - Project Information, 2025)</w:t>
      </w:r>
    </w:p>
    <w:p>
      <w:pPr>
        <w:pStyle w:val="ListBullet"/>
      </w:pPr>
      <w:r>
        <w:rPr>
          <w:highlight w:val="yellow"/>
        </w:rPr>
        <w:t>Critical success factors for achieving Initial Operational Capability by June 2026 (Ground Truth - Project Information, 2025)</w:t>
      </w:r>
    </w:p>
    <w:p>
      <w:r>
        <w:rPr>
          <w:b/>
          <w:highlight w:val="yellow"/>
        </w:rPr>
        <w:t>Evaluation Considerations:</w:t>
      </w:r>
    </w:p>
    <w:p>
      <w:pPr>
        <w:pStyle w:val="ListBullet"/>
      </w:pPr>
      <w:r>
        <w:rPr>
          <w:highlight w:val="yellow"/>
        </w:rPr>
        <w:t>Depth and accuracy of requirements understanding</w:t>
      </w:r>
    </w:p>
    <w:p>
      <w:pPr>
        <w:pStyle w:val="ListBullet"/>
      </w:pPr>
      <w:r>
        <w:rPr>
          <w:highlight w:val="yellow"/>
        </w:rPr>
        <w:t>Identification of technical challenges and constraints</w:t>
      </w:r>
    </w:p>
    <w:p>
      <w:pPr>
        <w:pStyle w:val="ListBullet"/>
      </w:pPr>
      <w:r>
        <w:rPr>
          <w:highlight w:val="yellow"/>
        </w:rPr>
        <w:t>Understanding of interdependencies and integration points</w:t>
      </w:r>
    </w:p>
    <w:p>
      <w:pPr>
        <w:pStyle w:val="ListBullet"/>
      </w:pPr>
      <w:r>
        <w:rPr>
          <w:highlight w:val="yellow"/>
        </w:rPr>
        <w:t>Demonstration of domain knowledge</w:t>
      </w:r>
    </w:p>
    <w:p>
      <w:r>
        <w:rPr>
          <w:b/>
          <w:highlight w:val="yellow"/>
        </w:rPr>
        <w:t>M.4.3.2 Subfactor 2: Technical Solution</w:t>
      </w:r>
    </w:p>
    <w:p>
      <w:r>
        <w:rPr>
          <w:b/>
          <w:highlight w:val="yellow"/>
        </w:rPr>
        <w:t>Weight:</w:t>
      </w:r>
      <w:r>
        <w:rPr>
          <w:highlight w:val="yellow"/>
        </w:rPr>
        <w:t xml:space="preserve"> 50% of Technical Factor</w:t>
      </w:r>
    </w:p>
    <w:p>
      <w:r>
        <w:rPr>
          <w:highlight w:val="yellow"/>
        </w:rPr>
        <w:t>The Government will evaluate the proposed technical solution's ability to meet or exceed PWS requirements for the $2,500,000 estimated value program (Ground Truth - Project Information, 2025).</w:t>
      </w:r>
    </w:p>
    <w:p>
      <w:r>
        <w:rPr>
          <w:b/>
          <w:highlight w:val="yellow"/>
        </w:rPr>
        <w:t>Evaluation Considerations:</w:t>
      </w:r>
    </w:p>
    <w:p>
      <w:pPr>
        <w:pStyle w:val="ListBullet"/>
      </w:pPr>
      <w:r>
        <w:rPr>
          <w:highlight w:val="yellow"/>
        </w:rPr>
        <w:t>Technical approach soundness and feasibility</w:t>
      </w:r>
    </w:p>
    <w:p>
      <w:pPr>
        <w:pStyle w:val="ListBullet"/>
      </w:pPr>
      <w:r>
        <w:rPr>
          <w:highlight w:val="yellow"/>
        </w:rPr>
        <w:t>Compliance with PWS performance standards</w:t>
      </w:r>
    </w:p>
    <w:p>
      <w:pPr>
        <w:pStyle w:val="ListBullet"/>
      </w:pPr>
      <w:r>
        <w:rPr>
          <w:highlight w:val="yellow"/>
        </w:rPr>
        <w:t>Innovation and use of best practices/industry standards</w:t>
      </w:r>
    </w:p>
    <w:p>
      <w:pPr>
        <w:pStyle w:val="ListBullet"/>
      </w:pPr>
      <w:r>
        <w:rPr>
          <w:highlight w:val="yellow"/>
        </w:rPr>
        <w:t>Technical risk identification and mitigation</w:t>
      </w:r>
    </w:p>
    <w:p>
      <w:pPr>
        <w:pStyle w:val="ListBullet"/>
      </w:pPr>
      <w:r>
        <w:rPr>
          <w:highlight w:val="yellow"/>
        </w:rPr>
        <w:t>Scalability and flexibility of solution for 2,800 users (Ground Truth - Project Information, 2025)</w:t>
      </w:r>
    </w:p>
    <w:p>
      <w:pPr>
        <w:pStyle w:val="ListBullet"/>
      </w:pPr>
      <w:r>
        <w:rPr>
          <w:highlight w:val="yellow"/>
        </w:rPr>
        <w:t>Security approach and compliance (if applicable)</w:t>
      </w:r>
    </w:p>
    <w:p>
      <w:pPr>
        <w:pStyle w:val="ListBullet"/>
      </w:pPr>
      <w:r>
        <w:rPr>
          <w:highlight w:val="yellow"/>
        </w:rPr>
        <w:t>Technology choices and justification</w:t>
      </w:r>
    </w:p>
    <w:p>
      <w:r>
        <w:rPr>
          <w:b/>
          <w:highlight w:val="yellow"/>
        </w:rPr>
        <w:t>Specific Technical Areas to be Evaluated:</w:t>
      </w:r>
    </w:p>
    <w:p>
      <w:pPr>
        <w:pStyle w:val="ListBullet"/>
      </w:pPr>
      <w:r>
        <w:rPr>
          <w:highlight w:val="yellow"/>
        </w:rPr>
        <w:t>System architecture design</w:t>
      </w:r>
    </w:p>
    <w:p>
      <w:pPr>
        <w:pStyle w:val="ListBullet"/>
      </w:pPr>
      <w:r>
        <w:rPr>
          <w:highlight w:val="yellow"/>
        </w:rPr>
        <w:t>Database management capabilities</w:t>
      </w:r>
    </w:p>
    <w:p>
      <w:pPr>
        <w:pStyle w:val="ListBullet"/>
      </w:pPr>
      <w:r>
        <w:rPr>
          <w:highlight w:val="yellow"/>
        </w:rPr>
        <w:t>User interface design for 2,800 users (Ground Truth - Project Information, 2025)</w:t>
      </w:r>
    </w:p>
    <w:p>
      <w:pPr>
        <w:pStyle w:val="ListBullet"/>
      </w:pPr>
      <w:r>
        <w:rPr>
          <w:highlight w:val="yellow"/>
        </w:rPr>
        <w:t>Integration with existing Army systems</w:t>
      </w:r>
    </w:p>
    <w:p>
      <w:pPr>
        <w:pStyle w:val="ListBullet"/>
      </w:pPr>
      <w:r>
        <w:rPr>
          <w:highlight w:val="yellow"/>
        </w:rPr>
        <w:t>Performance requirements compliance</w:t>
      </w:r>
    </w:p>
    <w:p>
      <w:r>
        <w:rPr>
          <w:b/>
          <w:highlight w:val="yellow"/>
        </w:rPr>
        <w:t>M.4.3.3 Subfactor 3: Quality Assurance Approach</w:t>
      </w:r>
    </w:p>
    <w:p>
      <w:r>
        <w:rPr>
          <w:b/>
          <w:highlight w:val="yellow"/>
        </w:rPr>
        <w:t>Weight:</w:t>
      </w:r>
      <w:r>
        <w:rPr>
          <w:highlight w:val="yellow"/>
        </w:rPr>
        <w:t xml:space="preserve"> 20% of Technical Factor</w:t>
      </w:r>
    </w:p>
    <w:p>
      <w:r>
        <w:rPr>
          <w:highlight w:val="yellow"/>
        </w:rPr>
        <w:t>The Government will evaluate the offeror's proposed quality assurance and quality control approach.</w:t>
      </w:r>
    </w:p>
    <w:p>
      <w:r>
        <w:rPr>
          <w:b/>
          <w:highlight w:val="yellow"/>
        </w:rPr>
        <w:t>Evaluation Considerations:</w:t>
      </w:r>
    </w:p>
    <w:p>
      <w:pPr>
        <w:pStyle w:val="ListBullet"/>
      </w:pPr>
      <w:r>
        <w:rPr>
          <w:highlight w:val="yellow"/>
        </w:rPr>
        <w:t>Quality control processes and procedures</w:t>
      </w:r>
    </w:p>
    <w:p>
      <w:pPr>
        <w:pStyle w:val="ListBullet"/>
      </w:pPr>
      <w:r>
        <w:rPr>
          <w:highlight w:val="yellow"/>
        </w:rPr>
        <w:t>Testing and validation methodology</w:t>
      </w:r>
    </w:p>
    <w:p>
      <w:pPr>
        <w:pStyle w:val="ListBullet"/>
      </w:pPr>
      <w:r>
        <w:rPr>
          <w:highlight w:val="yellow"/>
        </w:rPr>
        <w:t>Defect identification and resolution process within 48 hours (Ground Truth - Project Information, 2025)</w:t>
      </w:r>
    </w:p>
    <w:p>
      <w:pPr>
        <w:pStyle w:val="ListBullet"/>
      </w:pPr>
      <w:r>
        <w:rPr>
          <w:highlight w:val="yellow"/>
        </w:rPr>
        <w:t>Continuous improvement approach</w:t>
      </w:r>
    </w:p>
    <w:p>
      <w:pPr>
        <w:pStyle w:val="ListBullet"/>
      </w:pPr>
      <w:r>
        <w:rPr>
          <w:highlight w:val="yellow"/>
        </w:rPr>
        <w:t>Compliance with quality standards</w:t>
      </w:r>
    </w:p>
    <w:p>
      <w:pPr>
        <w:pStyle w:val="ListBullet"/>
      </w:pPr>
      <w:r>
        <w:rPr>
          <w:highlight w:val="yellow"/>
        </w:rPr>
        <w:t>Metrics and measurement approach</w:t>
      </w:r>
    </w:p>
    <w:p>
      <w:pPr>
        <w:pStyle w:val="Heading3"/>
      </w:pPr>
      <w:r>
        <w:t>M.4.4 Technical Rating Scale</w:t>
      </w:r>
    </w:p>
    <w:p>
      <w:r>
        <w:rPr>
          <w:highlight w:val="yellow"/>
        </w:rPr>
        <w:t>Technical proposals will be rated using the following adjectival ratings:</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Pr>
                <w:b/>
                <w:sz w:val="22"/>
                <w:highlight w:val="yellow"/>
              </w:rPr>
              <w:t>Rating</w:t>
            </w:r>
          </w:p>
        </w:tc>
        <w:tc>
          <w:tcPr>
            <w:tcW w:type="dxa" w:w="2880"/>
            <w:shd w:fill="E8E8E8"/>
          </w:tcPr>
          <w:p>
            <w:r>
              <w:rPr>
                <w:b/>
                <w:sz w:val="22"/>
                <w:highlight w:val="yellow"/>
              </w:rPr>
              <w:t>Definition</w:t>
            </w:r>
          </w:p>
        </w:tc>
        <w:tc>
          <w:tcPr>
            <w:tcW w:type="dxa" w:w="2880"/>
            <w:shd w:fill="E8E8E8"/>
          </w:tcPr>
          <w:p>
            <w:r>
              <w:rPr>
                <w:b/>
                <w:sz w:val="22"/>
                <w:highlight w:val="yellow"/>
              </w:rPr>
              <w:t>Criteria</w:t>
            </w:r>
          </w:p>
        </w:tc>
      </w:tr>
      <w:tr>
        <w:tc>
          <w:tcPr>
            <w:tcW w:type="dxa" w:w="2880"/>
          </w:tcPr>
          <w:p>
            <w:r>
              <w:rPr>
                <w:highlight w:val="yellow"/>
              </w:rPr>
              <w:t>Outstanding</w:t>
            </w:r>
          </w:p>
        </w:tc>
        <w:tc>
          <w:tcPr>
            <w:tcW w:type="dxa" w:w="2880"/>
          </w:tcPr>
          <w:p>
            <w:r>
              <w:rPr>
                <w:highlight w:val="yellow"/>
              </w:rPr>
              <w:t>Proposal meets requirements and exceeds in ways that provide exceptional benefit</w:t>
            </w:r>
          </w:p>
        </w:tc>
        <w:tc>
          <w:tcPr>
            <w:tcW w:type="dxa" w:w="2880"/>
          </w:tcPr>
          <w:p>
            <w:r>
              <w:rPr>
                <w:highlight w:val="yellow"/>
              </w:rPr>
              <w:t>- Exceeds all requirements&lt;br&gt;- Exceptional approach with significant benefits&lt;br&gt;- No weaknesses or deficiencies&lt;br&gt;- Minimal risk</w:t>
            </w:r>
          </w:p>
        </w:tc>
      </w:tr>
      <w:tr>
        <w:tc>
          <w:tcPr>
            <w:tcW w:type="dxa" w:w="2880"/>
          </w:tcPr>
          <w:p>
            <w:r>
              <w:rPr>
                <w:highlight w:val="yellow"/>
              </w:rPr>
              <w:t>Good</w:t>
            </w:r>
          </w:p>
        </w:tc>
        <w:tc>
          <w:tcPr>
            <w:tcW w:type="dxa" w:w="2880"/>
          </w:tcPr>
          <w:p>
            <w:r>
              <w:rPr>
                <w:highlight w:val="yellow"/>
              </w:rPr>
              <w:t>Proposal meets requirements and exceeds in ways that provide benefit</w:t>
            </w:r>
          </w:p>
        </w:tc>
        <w:tc>
          <w:tcPr>
            <w:tcW w:type="dxa" w:w="2880"/>
          </w:tcPr>
          <w:p>
            <w:r>
              <w:rPr>
                <w:highlight w:val="yellow"/>
              </w:rPr>
              <w:t>- Exceeds some requirements&lt;br&gt;- Sound approach with some benefits&lt;br&gt;- Minor weaknesses easily correctable&lt;br&gt;- Low risk</w:t>
            </w:r>
          </w:p>
        </w:tc>
      </w:tr>
      <w:tr>
        <w:tc>
          <w:tcPr>
            <w:tcW w:type="dxa" w:w="2880"/>
          </w:tcPr>
          <w:p>
            <w:r>
              <w:rPr>
                <w:highlight w:val="yellow"/>
              </w:rPr>
              <w:t>Acceptable</w:t>
            </w:r>
          </w:p>
        </w:tc>
        <w:tc>
          <w:tcPr>
            <w:tcW w:type="dxa" w:w="2880"/>
          </w:tcPr>
          <w:p>
            <w:r>
              <w:rPr>
                <w:highlight w:val="yellow"/>
              </w:rPr>
              <w:t>Proposal meets requirements</w:t>
            </w:r>
          </w:p>
        </w:tc>
        <w:tc>
          <w:tcPr>
            <w:tcW w:type="dxa" w:w="2880"/>
          </w:tcPr>
          <w:p>
            <w:r>
              <w:rPr>
                <w:highlight w:val="yellow"/>
              </w:rPr>
              <w:t>- Meets all requirements&lt;br&gt;- Adequate approach&lt;br&gt;- Weaknesses are correctable&lt;br&gt;- Moderate risk</w:t>
            </w:r>
          </w:p>
        </w:tc>
      </w:tr>
      <w:tr>
        <w:tc>
          <w:tcPr>
            <w:tcW w:type="dxa" w:w="2880"/>
          </w:tcPr>
          <w:p>
            <w:r>
              <w:rPr>
                <w:highlight w:val="yellow"/>
              </w:rPr>
              <w:t>Marginal</w:t>
            </w:r>
          </w:p>
        </w:tc>
        <w:tc>
          <w:tcPr>
            <w:tcW w:type="dxa" w:w="2880"/>
          </w:tcPr>
          <w:p>
            <w:r>
              <w:rPr>
                <w:highlight w:val="yellow"/>
              </w:rPr>
              <w:t>Proposal does not clearly meet requirements</w:t>
            </w:r>
          </w:p>
        </w:tc>
        <w:tc>
          <w:tcPr>
            <w:tcW w:type="dxa" w:w="2880"/>
          </w:tcPr>
          <w:p>
            <w:r>
              <w:rPr>
                <w:highlight w:val="yellow"/>
              </w:rPr>
              <w:t>- Does not clearly meet all requirements&lt;br&gt;- Questionable approach&lt;br&gt;- Significant weaknesses&lt;br&gt;- High risk</w:t>
            </w:r>
          </w:p>
        </w:tc>
      </w:tr>
      <w:tr>
        <w:tc>
          <w:tcPr>
            <w:tcW w:type="dxa" w:w="2880"/>
          </w:tcPr>
          <w:p>
            <w:r>
              <w:rPr>
                <w:highlight w:val="yellow"/>
              </w:rPr>
              <w:t>Unacceptable</w:t>
            </w:r>
          </w:p>
        </w:tc>
        <w:tc>
          <w:tcPr>
            <w:tcW w:type="dxa" w:w="2880"/>
          </w:tcPr>
          <w:p>
            <w:r>
              <w:rPr>
                <w:highlight w:val="yellow"/>
              </w:rPr>
              <w:t>Proposal does not meet requirements</w:t>
            </w:r>
          </w:p>
        </w:tc>
        <w:tc>
          <w:tcPr>
            <w:tcW w:type="dxa" w:w="2880"/>
          </w:tcPr>
          <w:p>
            <w:r>
              <w:rPr>
                <w:highlight w:val="yellow"/>
              </w:rPr>
              <w:t>- Fails to meet one or more requirements&lt;br&gt;- Unacceptable approach&lt;br&gt;- Major deficiencies&lt;br&gt;- Unacceptable risk</w:t>
            </w:r>
          </w:p>
        </w:tc>
      </w:tr>
    </w:tbl>
    <w:p/>
    <w:p>
      <w:r>
        <w:rPr>
          <w:b/>
          <w:highlight w:val="yellow"/>
        </w:rPr>
        <w:t>Award Threshold:</w:t>
      </w:r>
      <w:r>
        <w:rPr>
          <w:highlight w:val="yellow"/>
        </w:rPr>
        <w:t xml:space="preserve"> Proposals rated </w:t>
      </w:r>
      <w:r>
        <w:rPr>
          <w:b/>
          <w:highlight w:val="yellow"/>
        </w:rPr>
        <w:t>Unacceptable</w:t>
      </w:r>
      <w:r>
        <w:rPr>
          <w:highlight w:val="yellow"/>
        </w:rPr>
        <w:t xml:space="preserve"> will not be eligible for award per FAR 15.305(a)(3) (FAR 15.305, 2024).</w:t>
      </w:r>
    </w:p>
    <w:p>
      <w:pPr>
        <w:spacing w:before="120" w:after="120"/>
      </w:pPr>
    </w:p>
    <w:p>
      <w:pPr>
        <w:pStyle w:val="Heading2"/>
      </w:pPr>
      <w:r>
        <w:t>M.5 FACTOR 2: MANAGEMENT APPROACH</w:t>
      </w:r>
    </w:p>
    <w:p>
      <w:r>
        <w:rPr>
          <w:b/>
          <w:highlight w:val="yellow"/>
        </w:rPr>
        <w:t>Weight:</w:t>
      </w:r>
      <w:r>
        <w:rPr>
          <w:highlight w:val="yellow"/>
        </w:rPr>
        <w:t xml:space="preserve"> 30%</w:t>
      </w:r>
    </w:p>
    <w:p>
      <w:pPr>
        <w:pStyle w:val="Heading3"/>
      </w:pPr>
      <w:r>
        <w:t>M.5.1 Description</w:t>
      </w:r>
    </w:p>
    <w:p>
      <w:r>
        <w:rPr>
          <w:highlight w:val="yellow"/>
        </w:rPr>
        <w:t>The Management Factor evaluates the offeror's ability to successfully manage and execute the contract over the 36-month period of performance (Ground Truth - Project Information, 2025).</w:t>
      </w:r>
    </w:p>
    <w:p>
      <w:pPr>
        <w:pStyle w:val="Heading3"/>
      </w:pPr>
      <w:r>
        <w:t>M.5.2 Management Subfactors</w:t>
      </w:r>
    </w:p>
    <w:p>
      <w:r>
        <w:rPr>
          <w:highlight w:val="yellow"/>
        </w:rPr>
        <w:t>The Management Factor consists of the following subfactors:</w:t>
      </w:r>
    </w:p>
    <w:p>
      <w:pPr>
        <w:pStyle w:val="ListNumber"/>
      </w:pPr>
      <w:r>
        <w:rPr>
          <w:highlight w:val="yellow"/>
        </w:rPr>
        <w:t>Project Management Plan - 35%</w:t>
      </w:r>
    </w:p>
    <w:p>
      <w:pPr>
        <w:pStyle w:val="ListNumber"/>
      </w:pPr>
      <w:r>
        <w:rPr>
          <w:highlight w:val="yellow"/>
        </w:rPr>
        <w:t>Performance Management - 25%</w:t>
      </w:r>
    </w:p>
    <w:p>
      <w:pPr>
        <w:pStyle w:val="ListNumber"/>
      </w:pPr>
      <w:r>
        <w:rPr>
          <w:highlight w:val="yellow"/>
        </w:rPr>
        <w:t>Communication Plan - 20%</w:t>
      </w:r>
    </w:p>
    <w:p>
      <w:pPr>
        <w:pStyle w:val="ListNumber"/>
      </w:pPr>
      <w:r>
        <w:rPr>
          <w:highlight w:val="yellow"/>
        </w:rPr>
        <w:t>Key Personnel - 20%</w:t>
      </w:r>
    </w:p>
    <w:p>
      <w:pPr>
        <w:pStyle w:val="Heading3"/>
      </w:pPr>
      <w:r>
        <w:t>M.5.3 Management Subfactor Descriptions</w:t>
      </w:r>
    </w:p>
    <w:p>
      <w:r>
        <w:rPr>
          <w:b/>
          <w:highlight w:val="yellow"/>
        </w:rPr>
        <w:t>M.5.3.1 Subfactor 1: Project Management Plan</w:t>
      </w:r>
    </w:p>
    <w:p>
      <w:r>
        <w:rPr>
          <w:b/>
          <w:highlight w:val="yellow"/>
        </w:rPr>
        <w:t>Weight:</w:t>
      </w:r>
      <w:r>
        <w:rPr>
          <w:highlight w:val="yellow"/>
        </w:rPr>
        <w:t xml:space="preserve"> 35% of Management Factor</w:t>
      </w:r>
    </w:p>
    <w:p>
      <w:r>
        <w:rPr>
          <w:highlight w:val="yellow"/>
        </w:rPr>
        <w:t>The Government will evaluate the offeror's project management approach for the 36-month period (Ground Truth - Project Information, 2025).</w:t>
      </w:r>
    </w:p>
    <w:p>
      <w:r>
        <w:rPr>
          <w:b/>
          <w:highlight w:val="yellow"/>
        </w:rPr>
        <w:t>Evaluation Considerations:</w:t>
      </w:r>
    </w:p>
    <w:p>
      <w:pPr>
        <w:pStyle w:val="ListBullet"/>
      </w:pPr>
      <w:r>
        <w:rPr>
          <w:highlight w:val="yellow"/>
        </w:rPr>
        <w:t>Organizational structure and staffing plan</w:t>
      </w:r>
    </w:p>
    <w:p>
      <w:pPr>
        <w:pStyle w:val="ListBullet"/>
      </w:pPr>
      <w:r>
        <w:rPr>
          <w:highlight w:val="yellow"/>
        </w:rPr>
        <w:t>Project execution plan and work breakdown structure</w:t>
      </w:r>
    </w:p>
    <w:p>
      <w:pPr>
        <w:pStyle w:val="ListBullet"/>
      </w:pPr>
      <w:r>
        <w:rPr>
          <w:highlight w:val="yellow"/>
        </w:rPr>
        <w:t>Milestone schedule achieving IOC by June 2026 and FOC by December 2026 (Ground Truth - Project Information, 2025)</w:t>
      </w:r>
    </w:p>
    <w:p>
      <w:pPr>
        <w:pStyle w:val="ListBullet"/>
      </w:pPr>
      <w:r>
        <w:rPr>
          <w:highlight w:val="yellow"/>
        </w:rPr>
        <w:t>Resource allocation and management</w:t>
      </w:r>
    </w:p>
    <w:p>
      <w:pPr>
        <w:pStyle w:val="ListBullet"/>
      </w:pPr>
      <w:r>
        <w:rPr>
          <w:highlight w:val="yellow"/>
        </w:rPr>
        <w:t>Risk management approach</w:t>
      </w:r>
    </w:p>
    <w:p>
      <w:pPr>
        <w:pStyle w:val="ListBullet"/>
      </w:pPr>
      <w:r>
        <w:rPr>
          <w:highlight w:val="yellow"/>
        </w:rPr>
        <w:t>Issue escalation and resolution procedures within 24 hours (Ground Truth - Project Information, 2025)</w:t>
      </w:r>
    </w:p>
    <w:p>
      <w:pPr>
        <w:pStyle w:val="ListBullet"/>
      </w:pPr>
      <w:r>
        <w:rPr>
          <w:highlight w:val="yellow"/>
        </w:rPr>
        <w:t>Change management process</w:t>
      </w:r>
    </w:p>
    <w:p>
      <w:r>
        <w:rPr>
          <w:b/>
          <w:highlight w:val="yellow"/>
        </w:rPr>
        <w:t>M.5.3.2 Subfactor 2: Performance Management</w:t>
      </w:r>
    </w:p>
    <w:p>
      <w:r>
        <w:rPr>
          <w:b/>
          <w:highlight w:val="yellow"/>
        </w:rPr>
        <w:t>Weight:</w:t>
      </w:r>
      <w:r>
        <w:rPr>
          <w:highlight w:val="yellow"/>
        </w:rPr>
        <w:t xml:space="preserve"> 25% of Management Factor</w:t>
      </w:r>
    </w:p>
    <w:p>
      <w:r>
        <w:rPr>
          <w:highlight w:val="yellow"/>
        </w:rPr>
        <w:t>The Government will evaluate the offeror's approach to monitoring and managing performance.</w:t>
      </w:r>
    </w:p>
    <w:p>
      <w:r>
        <w:rPr>
          <w:b/>
          <w:highlight w:val="yellow"/>
        </w:rPr>
        <w:t>Evaluation Considerations:</w:t>
      </w:r>
    </w:p>
    <w:p>
      <w:pPr>
        <w:pStyle w:val="ListBullet"/>
      </w:pPr>
      <w:r>
        <w:rPr>
          <w:highlight w:val="yellow"/>
        </w:rPr>
        <w:t>Performance monitoring and measurement approach</w:t>
      </w:r>
    </w:p>
    <w:p>
      <w:pPr>
        <w:pStyle w:val="ListBullet"/>
      </w:pPr>
      <w:r>
        <w:rPr>
          <w:highlight w:val="yellow"/>
        </w:rPr>
        <w:t>Metrics and key performance indicators (KPIs)</w:t>
      </w:r>
    </w:p>
    <w:p>
      <w:pPr>
        <w:pStyle w:val="ListBullet"/>
      </w:pPr>
      <w:r>
        <w:rPr>
          <w:highlight w:val="yellow"/>
        </w:rPr>
        <w:t>Quality control processes</w:t>
      </w:r>
    </w:p>
    <w:p>
      <w:pPr>
        <w:pStyle w:val="ListBullet"/>
      </w:pPr>
      <w:r>
        <w:rPr>
          <w:highlight w:val="yellow"/>
        </w:rPr>
        <w:t>Corrective action procedures within 72 hours (Ground Truth - Project Information, 2025)</w:t>
      </w:r>
    </w:p>
    <w:p>
      <w:pPr>
        <w:pStyle w:val="ListBullet"/>
      </w:pPr>
      <w:r>
        <w:rPr>
          <w:highlight w:val="yellow"/>
        </w:rPr>
        <w:t>Continuous improvement methodology</w:t>
      </w:r>
    </w:p>
    <w:p>
      <w:pPr>
        <w:pStyle w:val="ListBullet"/>
      </w:pPr>
      <w:r>
        <w:rPr>
          <w:highlight w:val="yellow"/>
        </w:rPr>
        <w:t>Responsiveness to Government feedback within 2 business days (Ground Truth - Project Information, 2025)</w:t>
      </w:r>
    </w:p>
    <w:p>
      <w:r>
        <w:rPr>
          <w:b/>
          <w:highlight w:val="yellow"/>
        </w:rPr>
        <w:t>M.5.3.3 Subfactor 3: Communication Plan</w:t>
      </w:r>
    </w:p>
    <w:p>
      <w:r>
        <w:rPr>
          <w:b/>
          <w:highlight w:val="yellow"/>
        </w:rPr>
        <w:t>Weight:</w:t>
      </w:r>
      <w:r>
        <w:rPr>
          <w:highlight w:val="yellow"/>
        </w:rPr>
        <w:t xml:space="preserve"> 20% of Management Factor</w:t>
      </w:r>
    </w:p>
    <w:p>
      <w:r>
        <w:rPr>
          <w:highlight w:val="yellow"/>
        </w:rPr>
        <w:t>The Government will evaluate the offeror's communication and reporting plan.</w:t>
      </w:r>
    </w:p>
    <w:p>
      <w:r>
        <w:rPr>
          <w:b/>
          <w:highlight w:val="yellow"/>
        </w:rPr>
        <w:t>Evaluation Considerations:</w:t>
      </w:r>
    </w:p>
    <w:p>
      <w:pPr>
        <w:pStyle w:val="ListBullet"/>
      </w:pPr>
      <w:r>
        <w:rPr>
          <w:highlight w:val="yellow"/>
        </w:rPr>
        <w:t>Government interface and communication protocols</w:t>
      </w:r>
    </w:p>
    <w:p>
      <w:pPr>
        <w:pStyle w:val="ListBullet"/>
      </w:pPr>
      <w:r>
        <w:rPr>
          <w:highlight w:val="yellow"/>
        </w:rPr>
        <w:t>Status reporting approach weekly for first 6 months, then bi-weekly (Ground Truth - Project Information, 2025)</w:t>
      </w:r>
    </w:p>
    <w:p>
      <w:pPr>
        <w:pStyle w:val="ListBullet"/>
      </w:pPr>
      <w:r>
        <w:rPr>
          <w:highlight w:val="yellow"/>
        </w:rPr>
        <w:t>Meeting schedules and formats</w:t>
      </w:r>
    </w:p>
    <w:p>
      <w:pPr>
        <w:pStyle w:val="ListBullet"/>
      </w:pPr>
      <w:r>
        <w:rPr>
          <w:highlight w:val="yellow"/>
        </w:rPr>
        <w:t>Issue notification and escalation process within 4 hours (Ground Truth - Project Information, 2025)</w:t>
      </w:r>
    </w:p>
    <w:p>
      <w:pPr>
        <w:pStyle w:val="ListBullet"/>
      </w:pPr>
      <w:r>
        <w:rPr>
          <w:highlight w:val="yellow"/>
        </w:rPr>
        <w:t>Documentation and knowledge management</w:t>
      </w:r>
    </w:p>
    <w:p>
      <w:pPr>
        <w:pStyle w:val="ListBullet"/>
      </w:pPr>
      <w:r>
        <w:rPr>
          <w:highlight w:val="yellow"/>
        </w:rPr>
        <w:t>Stakeholder engagement approach</w:t>
      </w:r>
    </w:p>
    <w:p>
      <w:r>
        <w:rPr>
          <w:b/>
          <w:highlight w:val="yellow"/>
        </w:rPr>
        <w:t>M.5.3.4 Subfactor 4: Key Personnel</w:t>
      </w:r>
    </w:p>
    <w:p>
      <w:r>
        <w:rPr>
          <w:b/>
          <w:highlight w:val="yellow"/>
        </w:rPr>
        <w:t>Weight:</w:t>
      </w:r>
      <w:r>
        <w:rPr>
          <w:highlight w:val="yellow"/>
        </w:rPr>
        <w:t xml:space="preserve"> 20% of Management Factor</w:t>
      </w:r>
    </w:p>
    <w:p>
      <w:r>
        <w:rPr>
          <w:highlight w:val="yellow"/>
        </w:rPr>
        <w:t>The Government will evaluate the qualifications and relevant experience of proposed key personnel.</w:t>
      </w:r>
    </w:p>
    <w:p>
      <w:r>
        <w:rPr>
          <w:b/>
          <w:highlight w:val="yellow"/>
        </w:rPr>
        <w:t>Evaluation Considerations:</w:t>
      </w:r>
    </w:p>
    <w:p>
      <w:pPr>
        <w:pStyle w:val="ListBullet"/>
      </w:pPr>
      <w:r>
        <w:rPr>
          <w:highlight w:val="yellow"/>
        </w:rPr>
        <w:t>Education, certifications, and qualifications</w:t>
      </w:r>
    </w:p>
    <w:p>
      <w:pPr>
        <w:pStyle w:val="ListBullet"/>
      </w:pPr>
      <w:r>
        <w:rPr>
          <w:highlight w:val="yellow"/>
        </w:rPr>
        <w:t>Minimum 5 years relevant experience in similar roles (Ground Truth - Project Information, 2025)</w:t>
      </w:r>
    </w:p>
    <w:p>
      <w:pPr>
        <w:pStyle w:val="ListBullet"/>
      </w:pPr>
      <w:r>
        <w:rPr>
          <w:highlight w:val="yellow"/>
        </w:rPr>
        <w:t>Experience with similar technical solutions</w:t>
      </w:r>
    </w:p>
    <w:p>
      <w:pPr>
        <w:pStyle w:val="ListBullet"/>
      </w:pPr>
      <w:r>
        <w:rPr>
          <w:highlight w:val="yellow"/>
        </w:rPr>
        <w:t>Experience with Government/DoD contracts</w:t>
      </w:r>
    </w:p>
    <w:p>
      <w:pPr>
        <w:pStyle w:val="ListBullet"/>
      </w:pPr>
      <w:r>
        <w:rPr>
          <w:highlight w:val="yellow"/>
        </w:rPr>
        <w:t>Availability and commitment to this effort for full 36 months (Ground Truth - Project Information, 2025)</w:t>
      </w:r>
    </w:p>
    <w:p>
      <w:pPr>
        <w:pStyle w:val="ListBullet"/>
      </w:pPr>
      <w:r>
        <w:rPr>
          <w:highlight w:val="yellow"/>
        </w:rPr>
        <w:t>Team composition and balance of skills</w:t>
      </w:r>
    </w:p>
    <w:p>
      <w:r>
        <w:rPr>
          <w:b/>
          <w:highlight w:val="yellow"/>
        </w:rPr>
        <w:t>Key Personnel Positions:</w:t>
      </w:r>
    </w:p>
    <w:p>
      <w:pPr>
        <w:pStyle w:val="ListBullet"/>
      </w:pPr>
      <w:r>
        <w:rPr>
          <w:highlight w:val="yellow"/>
        </w:rPr>
        <w:t>Program Manager (required)</w:t>
      </w:r>
    </w:p>
    <w:p>
      <w:pPr>
        <w:pStyle w:val="ListBullet"/>
      </w:pPr>
      <w:r>
        <w:rPr>
          <w:highlight w:val="yellow"/>
        </w:rPr>
        <w:t>Technical Lead (required)</w:t>
      </w:r>
    </w:p>
    <w:p>
      <w:pPr>
        <w:pStyle w:val="ListBullet"/>
      </w:pPr>
      <w:r>
        <w:rPr>
          <w:highlight w:val="yellow"/>
        </w:rPr>
        <w:t>Quality Assurance Manager (required)</w:t>
      </w:r>
    </w:p>
    <w:p>
      <w:pPr>
        <w:pStyle w:val="Heading3"/>
      </w:pPr>
      <w:r>
        <w:t>M.5.4 Management Rating Scale</w:t>
      </w:r>
    </w:p>
    <w:p>
      <w:r>
        <w:rPr>
          <w:highlight w:val="yellow"/>
        </w:rPr>
        <w:t>Management proposals will be rated using the same adjectival rating scale as Technical (Outstanding, Good, Acceptable, Marginal, Unacceptable) per FAR 15.305(a)(1) (FAR 15.305, 2024).</w:t>
      </w:r>
    </w:p>
    <w:p>
      <w:pPr>
        <w:spacing w:before="120" w:after="120"/>
      </w:pPr>
    </w:p>
    <w:p>
      <w:pPr>
        <w:pStyle w:val="Heading2"/>
      </w:pPr>
      <w:r>
        <w:t>M.6 FACTOR 3: PAST PERFORMANCE</w:t>
      </w:r>
    </w:p>
    <w:p>
      <w:r>
        <w:rPr>
          <w:b/>
          <w:highlight w:val="yellow"/>
        </w:rPr>
        <w:t>Weight:</w:t>
      </w:r>
      <w:r>
        <w:rPr>
          <w:highlight w:val="yellow"/>
        </w:rPr>
        <w:t xml:space="preserve"> 20%</w:t>
      </w:r>
    </w:p>
    <w:p>
      <w:pPr>
        <w:pStyle w:val="Heading3"/>
      </w:pPr>
      <w:r>
        <w:t>M.6.1 Description</w:t>
      </w:r>
    </w:p>
    <w:p>
      <w:r>
        <w:rPr>
          <w:highlight w:val="yellow"/>
        </w:rPr>
        <w:t>The Past Performance Factor evaluates the offeror's record of performance on contracts of similar size, scope, and complexity to the $2,500,000 ALMS program (Ground Truth - Project Information, 2025).</w:t>
      </w:r>
    </w:p>
    <w:p>
      <w:pPr>
        <w:pStyle w:val="Heading3"/>
      </w:pPr>
      <w:r>
        <w:t>M.6.2 Past Performance Evaluation Approach</w:t>
      </w:r>
    </w:p>
    <w:p>
      <w:r>
        <w:rPr>
          <w:highlight w:val="yellow"/>
        </w:rPr>
        <w:t>The Government will evaluate past performance based on:</w:t>
      </w:r>
    </w:p>
    <w:p>
      <w:pPr>
        <w:pStyle w:val="ListNumber"/>
      </w:pPr>
      <w:r>
        <w:rPr>
          <w:b/>
          <w:highlight w:val="yellow"/>
        </w:rPr>
        <w:t>Offeror-Provided References:</w:t>
      </w:r>
      <w:r>
        <w:rPr>
          <w:highlight w:val="yellow"/>
        </w:rPr>
        <w:t xml:space="preserve"> References submitted with proposal</w:t>
      </w:r>
    </w:p>
    <w:p>
      <w:pPr>
        <w:pStyle w:val="ListNumber"/>
      </w:pPr>
      <w:r>
        <w:rPr>
          <w:b/>
          <w:highlight w:val="yellow"/>
        </w:rPr>
        <w:t>Government Sources:</w:t>
      </w:r>
      <w:r>
        <w:rPr>
          <w:highlight w:val="yellow"/>
        </w:rPr>
        <w:t xml:space="preserve"> Past Performance Information Retrieval System (PPIRS), Contractor Performance Assessment Reporting System (CPARS) (FAR 42.1503, 2024)</w:t>
      </w:r>
    </w:p>
    <w:p>
      <w:pPr>
        <w:pStyle w:val="ListNumber"/>
      </w:pPr>
      <w:r>
        <w:rPr>
          <w:b/>
          <w:highlight w:val="yellow"/>
        </w:rPr>
        <w:t>Other Sources:</w:t>
      </w:r>
      <w:r>
        <w:rPr>
          <w:highlight w:val="yellow"/>
        </w:rPr>
        <w:t xml:space="preserve"> Information obtained from other sources as appropriate</w:t>
      </w:r>
    </w:p>
    <w:p>
      <w:r>
        <w:rPr>
          <w:b/>
          <w:highlight w:val="yellow"/>
        </w:rPr>
        <w:t>Minimum References Required:</w:t>
      </w:r>
      <w:r>
        <w:rPr>
          <w:highlight w:val="yellow"/>
        </w:rPr>
        <w:t xml:space="preserve"> 3 contracts (Ground Truth - Project Information, 2025)</w:t>
      </w:r>
    </w:p>
    <w:p>
      <w:r>
        <w:rPr>
          <w:b/>
          <w:highlight w:val="yellow"/>
        </w:rPr>
        <w:t>Reference Relevancy Period:</w:t>
      </w:r>
      <w:r>
        <w:rPr>
          <w:highlight w:val="yellow"/>
        </w:rPr>
        <w:t xml:space="preserve"> Contracts performed within the past 5 years (Ground Truth - Project Information, 2025)</w:t>
      </w:r>
    </w:p>
    <w:p>
      <w:pPr>
        <w:pStyle w:val="Heading3"/>
      </w:pPr>
      <w:r>
        <w:t>M.6.3 Relevancy Criteria</w:t>
      </w:r>
    </w:p>
    <w:p>
      <w:r>
        <w:rPr>
          <w:highlight w:val="yellow"/>
        </w:rPr>
        <w:t>Past performance will be evaluated for relevancy based on:</w:t>
      </w:r>
    </w:p>
    <w:p>
      <w:r>
        <w:rPr>
          <w:b/>
          <w:highlight w:val="yellow"/>
        </w:rPr>
        <w:t>Contract Similarity:</w:t>
      </w:r>
    </w:p>
    <w:p>
      <w:pPr>
        <w:pStyle w:val="ListBullet"/>
      </w:pPr>
      <w:r>
        <w:rPr>
          <w:highlight w:val="yellow"/>
        </w:rPr>
        <w:t>Similar technical scope and complexity to ALMS requirements (Ground Truth - Project Information, 2025)</w:t>
      </w:r>
    </w:p>
    <w:p>
      <w:pPr>
        <w:pStyle w:val="ListBullet"/>
      </w:pPr>
      <w:r>
        <w:rPr>
          <w:highlight w:val="yellow"/>
        </w:rPr>
        <w:t>Contract value between $1,000,000 and $5,000,000 (Ground Truth - Project Information, 2025)</w:t>
      </w:r>
    </w:p>
    <w:p>
      <w:pPr>
        <w:pStyle w:val="ListBullet"/>
      </w:pPr>
      <w:r>
        <w:rPr>
          <w:highlight w:val="yellow"/>
        </w:rPr>
        <w:t>Performance period of 24-48 months (Ground Truth - Project Information, 2025)</w:t>
      </w:r>
    </w:p>
    <w:p>
      <w:pPr>
        <w:pStyle w:val="ListBullet"/>
      </w:pPr>
      <w:r>
        <w:rPr>
          <w:highlight w:val="yellow"/>
        </w:rPr>
        <w:t>Similar customer environment (Government, DoD, Federal)</w:t>
      </w:r>
    </w:p>
    <w:p>
      <w:r>
        <w:rPr>
          <w:b/>
          <w:highlight w:val="yellow"/>
        </w:rPr>
        <w:t>Performance Areas:</w:t>
      </w:r>
    </w:p>
    <w:p>
      <w:pPr>
        <w:pStyle w:val="ListBullet"/>
      </w:pPr>
      <w:r>
        <w:rPr>
          <w:highlight w:val="yellow"/>
        </w:rPr>
        <w:t>Logistics management systems</w:t>
      </w:r>
    </w:p>
    <w:p>
      <w:pPr>
        <w:pStyle w:val="ListBullet"/>
      </w:pPr>
      <w:r>
        <w:rPr>
          <w:highlight w:val="yellow"/>
        </w:rPr>
        <w:t>Multi-user system implementations</w:t>
      </w:r>
    </w:p>
    <w:p>
      <w:pPr>
        <w:pStyle w:val="ListBullet"/>
      </w:pPr>
      <w:r>
        <w:rPr>
          <w:highlight w:val="yellow"/>
        </w:rPr>
        <w:t>Government contracting experience</w:t>
      </w:r>
    </w:p>
    <w:p>
      <w:r>
        <w:rPr>
          <w:b/>
          <w:highlight w:val="yellow"/>
        </w:rPr>
        <w:t>Relevancy Ratings:</w:t>
      </w:r>
    </w:p>
    <w:p>
      <w:pPr>
        <w:pStyle w:val="ListBullet"/>
      </w:pPr>
      <w:r>
        <w:rPr>
          <w:b/>
          <w:highlight w:val="yellow"/>
        </w:rPr>
        <w:t>Very Relevant:</w:t>
      </w:r>
      <w:r>
        <w:rPr>
          <w:highlight w:val="yellow"/>
        </w:rPr>
        <w:t xml:space="preserve"> Highly similar in scope, complexity, and environment</w:t>
      </w:r>
    </w:p>
    <w:p>
      <w:pPr>
        <w:pStyle w:val="ListBullet"/>
      </w:pPr>
      <w:r>
        <w:rPr>
          <w:b/>
          <w:highlight w:val="yellow"/>
        </w:rPr>
        <w:t>Relevant:</w:t>
      </w:r>
      <w:r>
        <w:rPr>
          <w:highlight w:val="yellow"/>
        </w:rPr>
        <w:t xml:space="preserve"> Similar in scope, complexity, and environment</w:t>
      </w:r>
    </w:p>
    <w:p>
      <w:pPr>
        <w:pStyle w:val="ListBullet"/>
      </w:pPr>
      <w:r>
        <w:rPr>
          <w:b/>
          <w:highlight w:val="yellow"/>
        </w:rPr>
        <w:t>Somewhat Relevant:</w:t>
      </w:r>
      <w:r>
        <w:rPr>
          <w:highlight w:val="yellow"/>
        </w:rPr>
        <w:t xml:space="preserve"> Some similarities but significant differences</w:t>
      </w:r>
    </w:p>
    <w:p>
      <w:pPr>
        <w:pStyle w:val="ListBullet"/>
      </w:pPr>
      <w:r>
        <w:rPr>
          <w:b/>
          <w:highlight w:val="yellow"/>
        </w:rPr>
        <w:t>Not Relevant:</w:t>
      </w:r>
      <w:r>
        <w:rPr>
          <w:highlight w:val="yellow"/>
        </w:rPr>
        <w:t xml:space="preserve"> Minimal similarities</w:t>
      </w:r>
    </w:p>
    <w:p>
      <w:pPr>
        <w:pStyle w:val="Heading3"/>
      </w:pPr>
      <w:r>
        <w:t>M.6.4 Past Performance Assessment Criteria</w:t>
      </w:r>
    </w:p>
    <w:p>
      <w:r>
        <w:rPr>
          <w:highlight w:val="yellow"/>
        </w:rPr>
        <w:t>For each relevant contract, past performance will be assessed in the following areas:</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Performance Area</w:t>
            </w:r>
          </w:p>
        </w:tc>
        <w:tc>
          <w:tcPr>
            <w:tcW w:type="dxa" w:w="4320"/>
            <w:shd w:fill="E8E8E8"/>
          </w:tcPr>
          <w:p>
            <w:r>
              <w:rPr>
                <w:b/>
                <w:sz w:val="22"/>
                <w:highlight w:val="yellow"/>
              </w:rPr>
              <w:t>Assessment Criteria</w:t>
            </w:r>
          </w:p>
        </w:tc>
      </w:tr>
      <w:tr>
        <w:tc>
          <w:tcPr>
            <w:tcW w:type="dxa" w:w="4320"/>
          </w:tcPr>
          <w:p>
            <w:r>
              <w:rPr>
                <w:highlight w:val="yellow"/>
              </w:rPr>
              <w:t>Quality of Service/Product</w:t>
            </w:r>
          </w:p>
        </w:tc>
        <w:tc>
          <w:tcPr>
            <w:tcW w:type="dxa" w:w="4320"/>
          </w:tcPr>
          <w:p>
            <w:r>
              <w:rPr>
                <w:highlight w:val="yellow"/>
              </w:rPr>
              <w:t>- Met technical requirements&lt;br&gt;- Quality of deliverables&lt;br&gt;- Defect rates below 2% (Ground Truth - Project Information, 2025)&lt;br&gt;- Customer satisfaction ratings above 4.0/5.0 (Ground Truth - Project Information, 2025)</w:t>
            </w:r>
          </w:p>
        </w:tc>
      </w:tr>
      <w:tr>
        <w:tc>
          <w:tcPr>
            <w:tcW w:type="dxa" w:w="4320"/>
          </w:tcPr>
          <w:p>
            <w:r>
              <w:rPr>
                <w:highlight w:val="yellow"/>
              </w:rPr>
              <w:t>Schedule Performance</w:t>
            </w:r>
          </w:p>
        </w:tc>
        <w:tc>
          <w:tcPr>
            <w:tcW w:type="dxa" w:w="4320"/>
          </w:tcPr>
          <w:p>
            <w:r>
              <w:rPr>
                <w:highlight w:val="yellow"/>
              </w:rPr>
              <w:t>- Met milestone and delivery schedules within 95% on-time delivery (Ground Truth - Project Information, 2025)&lt;br&gt;- Responsiveness to requirements&lt;br&gt;- Issue resolution within 48 hours (Ground Truth - Project Information, 2025)</w:t>
            </w:r>
          </w:p>
        </w:tc>
      </w:tr>
      <w:tr>
        <w:tc>
          <w:tcPr>
            <w:tcW w:type="dxa" w:w="4320"/>
          </w:tcPr>
          <w:p>
            <w:r>
              <w:rPr>
                <w:highlight w:val="yellow"/>
              </w:rPr>
              <w:t>Cost Control</w:t>
            </w:r>
          </w:p>
        </w:tc>
        <w:tc>
          <w:tcPr>
            <w:tcW w:type="dxa" w:w="4320"/>
          </w:tcPr>
          <w:p>
            <w:r>
              <w:rPr>
                <w:highlight w:val="yellow"/>
              </w:rPr>
              <w:t>- Stayed within budget variance of ±5% (Ground Truth - Project Information, 2025)&lt;br&gt;- Accurate cost estimating&lt;br&gt;- Cost growth justification&lt;br&gt;- Billing accuracy</w:t>
            </w:r>
          </w:p>
        </w:tc>
      </w:tr>
      <w:tr>
        <w:tc>
          <w:tcPr>
            <w:tcW w:type="dxa" w:w="4320"/>
          </w:tcPr>
          <w:p>
            <w:r>
              <w:rPr>
                <w:highlight w:val="yellow"/>
              </w:rPr>
              <w:t>Management</w:t>
            </w:r>
          </w:p>
        </w:tc>
        <w:tc>
          <w:tcPr>
            <w:tcW w:type="dxa" w:w="4320"/>
          </w:tcPr>
          <w:p>
            <w:r>
              <w:rPr>
                <w:highlight w:val="yellow"/>
              </w:rPr>
              <w:t>- Effectiveness of management&lt;br&gt;- Communication and reporting&lt;br&gt;- Problem identification and resolution&lt;br&gt;- Staffing stability above 90% retention (Ground Truth - Project Information, 2025)</w:t>
            </w:r>
          </w:p>
        </w:tc>
      </w:tr>
      <w:tr>
        <w:tc>
          <w:tcPr>
            <w:tcW w:type="dxa" w:w="4320"/>
          </w:tcPr>
          <w:p>
            <w:r>
              <w:rPr>
                <w:highlight w:val="yellow"/>
              </w:rPr>
              <w:t>Regulatory Compliance</w:t>
            </w:r>
          </w:p>
        </w:tc>
        <w:tc>
          <w:tcPr>
            <w:tcW w:type="dxa" w:w="4320"/>
          </w:tcPr>
          <w:p>
            <w:r>
              <w:rPr>
                <w:highlight w:val="yellow"/>
              </w:rPr>
              <w:t>- Compliance with contract terms&lt;br&gt;- Compliance with applicable regulations&lt;br&gt;- Security compliance&lt;br&gt;- Ethics and business conduct</w:t>
            </w:r>
          </w:p>
        </w:tc>
      </w:tr>
    </w:tbl>
    <w:p/>
    <w:p>
      <w:pPr>
        <w:pStyle w:val="Heading3"/>
      </w:pPr>
      <w:r>
        <w:t>M.6.5 Past Performance Rating Scale</w:t>
      </w:r>
    </w:p>
    <w:p>
      <w:r>
        <w:rPr>
          <w:highlight w:val="yellow"/>
        </w:rPr>
        <w:t>Past performance will be assigned a confidence rating based on relevancy and quality:</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Rating</w:t>
            </w:r>
          </w:p>
        </w:tc>
        <w:tc>
          <w:tcPr>
            <w:tcW w:type="dxa" w:w="4320"/>
            <w:shd w:fill="E8E8E8"/>
          </w:tcPr>
          <w:p>
            <w:r>
              <w:rPr>
                <w:b/>
                <w:sz w:val="22"/>
                <w:highlight w:val="yellow"/>
              </w:rPr>
              <w:t>Definition</w:t>
            </w:r>
          </w:p>
        </w:tc>
      </w:tr>
      <w:tr>
        <w:tc>
          <w:tcPr>
            <w:tcW w:type="dxa" w:w="4320"/>
          </w:tcPr>
          <w:p>
            <w:r>
              <w:rPr>
                <w:highlight w:val="yellow"/>
              </w:rPr>
              <w:t>Substantial Confidence</w:t>
            </w:r>
          </w:p>
        </w:tc>
        <w:tc>
          <w:tcPr>
            <w:tcW w:type="dxa" w:w="4320"/>
          </w:tcPr>
          <w:p>
            <w:r>
              <w:rPr>
                <w:highlight w:val="yellow"/>
              </w:rPr>
              <w:t>Based on offeror's recent/relevant performance record, Government has high expectation offeror will successfully perform</w:t>
            </w:r>
          </w:p>
        </w:tc>
      </w:tr>
      <w:tr>
        <w:tc>
          <w:tcPr>
            <w:tcW w:type="dxa" w:w="4320"/>
          </w:tcPr>
          <w:p>
            <w:r>
              <w:rPr>
                <w:highlight w:val="yellow"/>
              </w:rPr>
              <w:t>Satisfactory Confidence</w:t>
            </w:r>
          </w:p>
        </w:tc>
        <w:tc>
          <w:tcPr>
            <w:tcW w:type="dxa" w:w="4320"/>
          </w:tcPr>
          <w:p>
            <w:r>
              <w:rPr>
                <w:highlight w:val="yellow"/>
              </w:rPr>
              <w:t>Based on offeror's recent/relevant performance record, Government has reasonable expectation offeror will successfully perform</w:t>
            </w:r>
          </w:p>
        </w:tc>
      </w:tr>
      <w:tr>
        <w:tc>
          <w:tcPr>
            <w:tcW w:type="dxa" w:w="4320"/>
          </w:tcPr>
          <w:p>
            <w:r>
              <w:rPr>
                <w:highlight w:val="yellow"/>
              </w:rPr>
              <w:t>Limited Confidence</w:t>
            </w:r>
          </w:p>
        </w:tc>
        <w:tc>
          <w:tcPr>
            <w:tcW w:type="dxa" w:w="4320"/>
          </w:tcPr>
          <w:p>
            <w:r>
              <w:rPr>
                <w:highlight w:val="yellow"/>
              </w:rPr>
              <w:t>Based on offeror's performance record, Government has uncertainty about offeror's ability to successfully perform</w:t>
            </w:r>
          </w:p>
        </w:tc>
      </w:tr>
      <w:tr>
        <w:tc>
          <w:tcPr>
            <w:tcW w:type="dxa" w:w="4320"/>
          </w:tcPr>
          <w:p>
            <w:r>
              <w:rPr>
                <w:highlight w:val="yellow"/>
              </w:rPr>
              <w:t>No Confidence</w:t>
            </w:r>
          </w:p>
        </w:tc>
        <w:tc>
          <w:tcPr>
            <w:tcW w:type="dxa" w:w="4320"/>
          </w:tcPr>
          <w:p>
            <w:r>
              <w:rPr>
                <w:highlight w:val="yellow"/>
              </w:rPr>
              <w:t>Based on offeror's performance record, Government has no expectation offeror will successfully perform</w:t>
            </w:r>
          </w:p>
        </w:tc>
      </w:tr>
      <w:tr>
        <w:tc>
          <w:tcPr>
            <w:tcW w:type="dxa" w:w="4320"/>
          </w:tcPr>
          <w:p>
            <w:r>
              <w:rPr>
                <w:highlight w:val="yellow"/>
              </w:rPr>
              <w:t>Unknown Confidence</w:t>
            </w:r>
          </w:p>
        </w:tc>
        <w:tc>
          <w:tcPr>
            <w:tcW w:type="dxa" w:w="4320"/>
          </w:tcPr>
          <w:p>
            <w:r>
              <w:rPr>
                <w:highlight w:val="yellow"/>
              </w:rPr>
              <w:t>No past performance record available or insufficient information to make reasonable assessment</w:t>
            </w:r>
          </w:p>
        </w:tc>
      </w:tr>
    </w:tbl>
    <w:p/>
    <w:p>
      <w:r>
        <w:rPr>
          <w:b/>
          <w:highlight w:val="yellow"/>
        </w:rPr>
        <w:t>Note:</w:t>
      </w:r>
      <w:r>
        <w:rPr>
          <w:highlight w:val="yellow"/>
        </w:rPr>
        <w:t xml:space="preserve"> Offerors without relevant past performance will receive an </w:t>
      </w:r>
      <w:r>
        <w:rPr>
          <w:b/>
          <w:highlight w:val="yellow"/>
        </w:rPr>
        <w:t>Unknown Confidence</w:t>
      </w:r>
      <w:r>
        <w:rPr>
          <w:highlight w:val="yellow"/>
        </w:rPr>
        <w:t xml:space="preserve"> rating per FAR 15.305(a)(2)(iv) (FAR 15.305, 2024). An Unknown Confidence rating will not be evaluated favorably or unfavorably.</w:t>
      </w:r>
    </w:p>
    <w:p>
      <w:pPr>
        <w:spacing w:before="120" w:after="120"/>
      </w:pPr>
    </w:p>
    <w:p>
      <w:pPr>
        <w:pStyle w:val="Heading2"/>
      </w:pPr>
      <w:r>
        <w:t>M.7 FACTOR 4: COST/PRICE</w:t>
      </w:r>
    </w:p>
    <w:p>
      <w:r>
        <w:rPr>
          <w:b/>
          <w:highlight w:val="yellow"/>
        </w:rPr>
        <w:t>Weight:</w:t>
      </w:r>
      <w:r>
        <w:rPr>
          <w:highlight w:val="yellow"/>
        </w:rPr>
        <w:t xml:space="preserve"> 10%</w:t>
      </w:r>
    </w:p>
    <w:p>
      <w:pPr>
        <w:pStyle w:val="Heading3"/>
      </w:pPr>
      <w:r>
        <w:t>M.7.1 Description</w:t>
      </w:r>
    </w:p>
    <w:p>
      <w:r>
        <w:rPr>
          <w:highlight w:val="yellow"/>
        </w:rPr>
        <w:t>The Cost/Price Factor evaluates the offeror's proposed cost/price for realism, reasonableness, and completeness against the $2,500,000 estimated program value (Ground Truth - Project Information, 2025).</w:t>
      </w:r>
    </w:p>
    <w:p>
      <w:pPr>
        <w:pStyle w:val="Heading3"/>
      </w:pPr>
      <w:r>
        <w:t>M.7.2</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09:10:22*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M - EVALUATION FACTORS FOR AWARD</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