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SOURCE SELECTION PLAN (SSP)</w:t>
      </w:r>
    </w:p>
    <w:p>
      <w:r>
        <w:rPr>
          <w:b/>
        </w:rPr>
        <w:t>Solicitation Number:</w:t>
      </w:r>
      <w:r>
        <w:t xml:space="preserve"> W56KGU-25-R-0042 </w:t>
      </w:r>
      <w:r>
        <w:rPr>
          <w:b/>
        </w:rPr>
        <w:t>Program:</w:t>
      </w:r>
      <w:r>
        <w:t xml:space="preserve"> Advanced Logistics Management System (ALMS) </w:t>
      </w:r>
      <w:r>
        <w:rPr>
          <w:b/>
        </w:rPr>
        <w:t>Date:</w:t>
      </w:r>
      <w:r>
        <w:t xml:space="preserve"> January 15, 2026 </w:t>
      </w:r>
      <w:r>
        <w:rPr>
          <w:b/>
        </w:rPr>
        <w:t>Classification:</w:t>
      </w:r>
      <w:r>
        <w:t xml:space="preserve"> UNCLASSIFIED</w:t>
      </w:r>
    </w:p>
    <w:p>
      <w:pPr>
        <w:spacing w:before="120" w:after="120"/>
      </w:pPr>
    </w:p>
    <w:p>
      <w:pPr>
        <w:pStyle w:val="Heading2"/>
      </w:pPr>
      <w:r>
        <w:t>1. INTRODUCTION</w:t>
      </w:r>
    </w:p>
    <w:p>
      <w:pPr>
        <w:pStyle w:val="Heading3"/>
      </w:pPr>
      <w:r>
        <w:t>1.1 Purpose</w:t>
      </w:r>
    </w:p>
    <w:p>
      <w:r>
        <w:rPr>
          <w:highlight w:val="yellow"/>
        </w:rPr>
        <w:t>This Source Selection Plan (SSP) establishes the organization, procedures, and schedule for the source selection for Advanced Logistics Management System (ALMS) per FAR 15.303 (Federal Acquisition Regulation, 2023).</w:t>
      </w:r>
    </w:p>
    <w:p>
      <w:pPr>
        <w:pStyle w:val="Heading3"/>
      </w:pPr>
      <w:r>
        <w:t>1.2 Scope</w:t>
      </w:r>
    </w:p>
    <w:p>
      <w:r>
        <w:rPr>
          <w:highlight w:val="yellow"/>
        </w:rPr>
        <w:t>This SSP covers the $2,500,000 estimated value acquisition (Project Information, 2025) for a 36-month period of performance consisting of 12 base months plus 2 x 12 option periods (Project Information, 2025). The system will serve 2,800 users across 15 Army installations (Project Information, 2025) with Initial Operational Capability targeted for June 2026 and Full Operational Capability by December 2026 (Project Information, 2025).</w:t>
      </w:r>
    </w:p>
    <w:p>
      <w:pPr>
        <w:pStyle w:val="Heading3"/>
      </w:pPr>
      <w:r>
        <w:t>1.3 Authority</w:t>
      </w:r>
    </w:p>
    <w:p>
      <w:pPr>
        <w:pStyle w:val="ListBullet"/>
      </w:pPr>
      <w:r>
        <w:rPr>
          <w:highlight w:val="yellow"/>
        </w:rPr>
        <w:t>FAR 15.303 - Responsibilities (Federal Acquisition Regulation, 2023)</w:t>
      </w:r>
    </w:p>
    <w:p>
      <w:pPr>
        <w:pStyle w:val="ListBullet"/>
      </w:pPr>
      <w:r>
        <w:rPr>
          <w:highlight w:val="yellow"/>
        </w:rPr>
        <w:t>FAR 15.305 - Proposal Evaluation (Federal Acquisition Regulation, 2023)</w:t>
      </w:r>
    </w:p>
    <w:p>
      <w:pPr>
        <w:pStyle w:val="ListBullet"/>
      </w:pPr>
      <w:r>
        <w:rPr>
          <w:highlight w:val="yellow"/>
        </w:rPr>
        <w:t>DFARS 215.303 - Source Selection Procedures (Defense Federal Acquisition Regulation Supplement, 2023)</w:t>
      </w:r>
    </w:p>
    <w:p>
      <w:pPr>
        <w:spacing w:before="120" w:after="120"/>
      </w:pPr>
    </w:p>
    <w:p>
      <w:pPr>
        <w:pStyle w:val="Heading2"/>
      </w:pPr>
      <w:r>
        <w:t>2. SOURCE SELECTION AUTHORITY (SSA)</w:t>
      </w:r>
    </w:p>
    <w:p>
      <w:r>
        <w:rPr>
          <w:b/>
          <w:highlight w:val="yellow"/>
        </w:rPr>
        <w:t>Name:</w:t>
      </w:r>
      <w:r>
        <w:rPr>
          <w:highlight w:val="yellow"/>
        </w:rPr>
        <w:t xml:space="preserve"> TBD - SSA to be designated </w:t>
      </w:r>
      <w:r>
        <w:rPr>
          <w:b/>
          <w:highlight w:val="yellow"/>
        </w:rPr>
        <w:t>Title:</w:t>
      </w:r>
      <w:r>
        <w:rPr>
          <w:highlight w:val="yellow"/>
        </w:rPr>
        <w:t xml:space="preserve"> Program Executive Officer </w:t>
      </w:r>
      <w:r>
        <w:rPr>
          <w:b/>
          <w:highlight w:val="yellow"/>
        </w:rPr>
        <w:t>Organization:</w:t>
      </w:r>
      <w:r>
        <w:rPr>
          <w:highlight w:val="yellow"/>
        </w:rPr>
        <w:t xml:space="preserve"> PEO Combat Support &amp; Combat Service Support (Project Information, 2025) </w:t>
      </w:r>
      <w:r>
        <w:rPr>
          <w:b/>
          <w:highlight w:val="yellow"/>
        </w:rPr>
        <w:t>Responsibilities:</w:t>
      </w:r>
      <w:r>
        <w:rPr>
          <w:highlight w:val="yellow"/>
        </w:rPr>
        <w:t xml:space="preserve"> Makes final source selection decision per FAR 15.303(b) (Federal Acquisition Regulation, 2023)</w:t>
      </w:r>
    </w:p>
    <w:p>
      <w:pPr>
        <w:spacing w:before="120" w:after="120"/>
      </w:pPr>
    </w:p>
    <w:p>
      <w:pPr>
        <w:pStyle w:val="Heading2"/>
      </w:pPr>
      <w:r>
        <w:t>3. SOURCE SELECTION EVALUATION BOARD (SSEB)</w:t>
      </w:r>
    </w:p>
    <w:p>
      <w:pPr>
        <w:pStyle w:val="Heading3"/>
      </w:pPr>
      <w:r>
        <w:t>3.1 SSEB Chairperson</w:t>
      </w:r>
    </w:p>
    <w:p>
      <w:r>
        <w:rPr>
          <w:b/>
          <w:highlight w:val="yellow"/>
        </w:rPr>
        <w:t>Name:</w:t>
      </w:r>
      <w:r>
        <w:rPr>
          <w:highlight w:val="yellow"/>
        </w:rPr>
        <w:t xml:space="preserve"> TBD - SSEB Chair to be designated </w:t>
      </w:r>
      <w:r>
        <w:rPr>
          <w:b/>
          <w:highlight w:val="yellow"/>
        </w:rPr>
        <w:t>Title:</w:t>
      </w:r>
      <w:r>
        <w:rPr>
          <w:highlight w:val="yellow"/>
        </w:rPr>
        <w:t xml:space="preserve"> TBD - SSEB details to be determined</w:t>
      </w:r>
    </w:p>
    <w:p>
      <w:pPr>
        <w:pStyle w:val="Heading3"/>
      </w:pPr>
      <w:r>
        <w:t>3.2 SSEB Members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Name</w:t>
            </w:r>
          </w:p>
        </w:tc>
        <w:tc>
          <w:tcPr>
            <w:tcW w:type="dxa" w:w="2160"/>
            <w:shd w:fill="E8E8E8"/>
          </w:tcPr>
          <w:p>
            <w:r>
              <w:rPr>
                <w:b/>
                <w:sz w:val="22"/>
                <w:highlight w:val="yellow"/>
              </w:rPr>
              <w:t>Title</w:t>
            </w:r>
          </w:p>
        </w:tc>
        <w:tc>
          <w:tcPr>
            <w:tcW w:type="dxa" w:w="2160"/>
            <w:shd w:fill="E8E8E8"/>
          </w:tcPr>
          <w:p>
            <w:r>
              <w:rPr>
                <w:b/>
                <w:sz w:val="22"/>
                <w:highlight w:val="yellow"/>
              </w:rPr>
              <w:t>Area of Expertise</w:t>
            </w:r>
          </w:p>
        </w:tc>
        <w:tc>
          <w:tcPr>
            <w:tcW w:type="dxa" w:w="2160"/>
            <w:shd w:fill="E8E8E8"/>
          </w:tcPr>
          <w:p>
            <w:r>
              <w:rPr>
                <w:b/>
                <w:sz w:val="22"/>
                <w:highlight w:val="yellow"/>
              </w:rPr>
              <w:t>Evaluation Factor</w:t>
            </w:r>
          </w:p>
        </w:tc>
      </w:tr>
    </w:tbl>
    <w:p/>
    <w:p>
      <w:r>
        <w:rPr>
          <w:highlight w:val="yellow"/>
        </w:rPr>
        <w:t>TBD - SSEB details to be determined</w:t>
      </w:r>
    </w:p>
    <w:p>
      <w:pPr>
        <w:pStyle w:val="Heading3"/>
      </w:pPr>
      <w:r>
        <w:t>3.3 SSEB Responsibilities</w:t>
      </w:r>
    </w:p>
    <w:p>
      <w:pPr>
        <w:pStyle w:val="ListBullet"/>
      </w:pPr>
      <w:r>
        <w:rPr>
          <w:highlight w:val="yellow"/>
        </w:rPr>
        <w:t>Evaluate proposals per Section M criteria (FAR 15.305, Federal Acquisition Regulation, 2023)</w:t>
      </w:r>
    </w:p>
    <w:p>
      <w:pPr>
        <w:pStyle w:val="ListBullet"/>
      </w:pPr>
      <w:r>
        <w:rPr>
          <w:highlight w:val="yellow"/>
        </w:rPr>
        <w:t>Document strengths/weaknesses/deficiencies per FAR 15.305(a)(3) (Federal Acquisition Regulation, 2023)</w:t>
      </w:r>
    </w:p>
    <w:p>
      <w:pPr>
        <w:pStyle w:val="ListBullet"/>
      </w:pPr>
      <w:r>
        <w:rPr>
          <w:highlight w:val="yellow"/>
        </w:rPr>
        <w:t>Assign adjectival ratings per DFARS 215.305 (Defense Federal Acquisition Regulation Supplement, 2023)</w:t>
      </w:r>
    </w:p>
    <w:p>
      <w:pPr>
        <w:pStyle w:val="ListBullet"/>
      </w:pPr>
      <w:r>
        <w:rPr>
          <w:highlight w:val="yellow"/>
        </w:rPr>
        <w:t>Conduct consensus meetings per FAR 15.305(c) (Federal Acquisition Regulation, 2023)</w:t>
      </w:r>
    </w:p>
    <w:p>
      <w:pPr>
        <w:pStyle w:val="ListBullet"/>
      </w:pPr>
      <w:r>
        <w:rPr>
          <w:highlight w:val="yellow"/>
        </w:rPr>
        <w:t>Prepare SSEB Report per FAR 15.308 (Federal Acquisition Regulation, 2023)</w:t>
      </w:r>
    </w:p>
    <w:p>
      <w:pPr>
        <w:spacing w:before="120" w:after="120"/>
      </w:pPr>
    </w:p>
    <w:p>
      <w:pPr>
        <w:pStyle w:val="Heading2"/>
      </w:pPr>
      <w:r>
        <w:t>4. SOURCE SELECTION ADVISORY COUNCIL (SSAC)</w:t>
      </w:r>
    </w:p>
    <w:p>
      <w:pPr>
        <w:pStyle w:val="Heading3"/>
      </w:pPr>
      <w:r>
        <w:t>4.1 SSAC Chairperson</w:t>
      </w:r>
    </w:p>
    <w:p>
      <w:r>
        <w:rPr>
          <w:b/>
          <w:highlight w:val="yellow"/>
        </w:rPr>
        <w:t>Name:</w:t>
      </w:r>
      <w:r>
        <w:rPr>
          <w:highlight w:val="yellow"/>
        </w:rPr>
        <w:t xml:space="preserve"> TBD - SSAC details to be determined </w:t>
      </w:r>
      <w:r>
        <w:rPr>
          <w:b/>
          <w:highlight w:val="yellow"/>
        </w:rPr>
        <w:t>Title:</w:t>
      </w:r>
      <w:r>
        <w:rPr>
          <w:highlight w:val="yellow"/>
        </w:rPr>
        <w:t xml:space="preserve"> TBD - SSAC details to be determined</w:t>
      </w:r>
    </w:p>
    <w:p>
      <w:pPr>
        <w:pStyle w:val="Heading3"/>
      </w:pPr>
      <w:r>
        <w:t>4.2 SSAC Members</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Name</w:t>
            </w:r>
          </w:p>
        </w:tc>
        <w:tc>
          <w:tcPr>
            <w:tcW w:type="dxa" w:w="2880"/>
            <w:shd w:fill="E8E8E8"/>
          </w:tcPr>
          <w:p>
            <w:r>
              <w:rPr>
                <w:b/>
                <w:sz w:val="22"/>
                <w:highlight w:val="yellow"/>
              </w:rPr>
              <w:t>Title</w:t>
            </w:r>
          </w:p>
        </w:tc>
        <w:tc>
          <w:tcPr>
            <w:tcW w:type="dxa" w:w="2880"/>
            <w:shd w:fill="E8E8E8"/>
          </w:tcPr>
          <w:p>
            <w:r>
              <w:rPr>
                <w:b/>
                <w:sz w:val="22"/>
                <w:highlight w:val="yellow"/>
              </w:rPr>
              <w:t>Organization</w:t>
            </w:r>
          </w:p>
        </w:tc>
      </w:tr>
    </w:tbl>
    <w:p/>
    <w:p>
      <w:r>
        <w:rPr>
          <w:highlight w:val="yellow"/>
        </w:rPr>
        <w:t>TBD - SSAC details to be determined</w:t>
      </w:r>
    </w:p>
    <w:p>
      <w:pPr>
        <w:pStyle w:val="Heading3"/>
      </w:pPr>
      <w:r>
        <w:t>4.3 SSAC Responsibilities</w:t>
      </w:r>
    </w:p>
    <w:p>
      <w:pPr>
        <w:pStyle w:val="ListBullet"/>
      </w:pPr>
      <w:r>
        <w:rPr>
          <w:highlight w:val="yellow"/>
        </w:rPr>
        <w:t>Review SSEB findings per FAR 15.303(c)(3) (Federal Acquisition Regulation, 2023)</w:t>
      </w:r>
    </w:p>
    <w:p>
      <w:pPr>
        <w:pStyle w:val="ListBullet"/>
      </w:pPr>
      <w:r>
        <w:rPr>
          <w:highlight w:val="yellow"/>
        </w:rPr>
        <w:t>Provide recommendations to SSA per FAR 15.303(c)(3) (Federal Acquisition Regulation, 2023)</w:t>
      </w:r>
    </w:p>
    <w:p>
      <w:pPr>
        <w:pStyle w:val="ListBullet"/>
      </w:pPr>
      <w:r>
        <w:rPr>
          <w:highlight w:val="yellow"/>
        </w:rPr>
        <w:t>Identify significant issues per DFARS 215.303 (Defense Federal Acquisition Regulation Supplement, 2023)</w:t>
      </w:r>
    </w:p>
    <w:p>
      <w:pPr>
        <w:pStyle w:val="ListBullet"/>
      </w:pPr>
      <w:r>
        <w:rPr>
          <w:highlight w:val="yellow"/>
        </w:rPr>
        <w:t>Support SSA decision per FAR 15.308 (Federal Acquisition Regulation, 2023)</w:t>
      </w:r>
    </w:p>
    <w:p>
      <w:pPr>
        <w:spacing w:before="120" w:after="120"/>
      </w:pPr>
    </w:p>
    <w:p>
      <w:pPr>
        <w:pStyle w:val="Heading2"/>
      </w:pPr>
      <w:r>
        <w:t>5. EVALUATION METHODOLOGY</w:t>
      </w:r>
    </w:p>
    <w:p>
      <w:r>
        <w:rPr>
          <w:b/>
          <w:highlight w:val="yellow"/>
        </w:rPr>
        <w:t>Source Selection Method:</w:t>
      </w:r>
      <w:r>
        <w:rPr>
          <w:highlight w:val="yellow"/>
        </w:rPr>
        <w:t xml:space="preserve"> Best Value Trade-Off per FAR 15.101-1 (Federal Acquisition Regulation, 2023)</w:t>
      </w:r>
    </w:p>
    <w:p>
      <w:r>
        <w:rPr>
          <w:b/>
          <w:highlight w:val="yellow"/>
        </w:rPr>
        <w:t>Evaluation Factors:</w:t>
      </w:r>
      <w:r>
        <w:rPr>
          <w:highlight w:val="yellow"/>
        </w:rPr>
        <w:t xml:space="preserve"> Per Section M of solicitation W56KGU-25-R-0042 (Project Information, 2025)</w:t>
      </w:r>
    </w:p>
    <w:p>
      <w:r>
        <w:rPr>
          <w:b/>
          <w:highlight w:val="yellow"/>
        </w:rPr>
        <w:t>Contract Type:</w:t>
      </w:r>
      <w:r>
        <w:rPr>
          <w:highlight w:val="yellow"/>
        </w:rPr>
        <w:t xml:space="preserve"> Firm Fixed Price per FAR 16.202 (Federal Acquisition Regulation, 2023) for estimated $2,500,000 value (Project Information, 2025)</w:t>
      </w:r>
    </w:p>
    <w:p>
      <w:pPr>
        <w:spacing w:before="120" w:after="120"/>
      </w:pPr>
    </w:p>
    <w:p>
      <w:pPr>
        <w:pStyle w:val="Heading2"/>
      </w:pPr>
      <w:r>
        <w:t>6. EVALUATION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8E8"/>
          </w:tcPr>
          <w:p>
            <w:r>
              <w:rPr>
                <w:b/>
                <w:sz w:val="22"/>
                <w:highlight w:val="yellow"/>
              </w:rPr>
              <w:t>Event</w:t>
            </w:r>
          </w:p>
        </w:tc>
        <w:tc>
          <w:tcPr>
            <w:tcW w:type="dxa" w:w="2160"/>
            <w:shd w:fill="E8E8E8"/>
          </w:tcPr>
          <w:p>
            <w:r>
              <w:rPr>
                <w:b/>
                <w:sz w:val="22"/>
                <w:highlight w:val="yellow"/>
              </w:rPr>
              <w:t>Date</w:t>
            </w:r>
          </w:p>
        </w:tc>
        <w:tc>
          <w:tcPr>
            <w:tcW w:type="dxa" w:w="2160"/>
            <w:shd w:fill="E8E8E8"/>
          </w:tcPr>
          <w:p>
            <w:r>
              <w:rPr>
                <w:b/>
                <w:sz w:val="22"/>
                <w:highlight w:val="yellow"/>
              </w:rPr>
              <w:t>Duration</w:t>
            </w:r>
          </w:p>
        </w:tc>
        <w:tc>
          <w:tcPr>
            <w:tcW w:type="dxa" w:w="2160"/>
            <w:shd w:fill="E8E8E8"/>
          </w:tcPr>
          <w:p>
            <w:r>
              <w:rPr>
                <w:b/>
                <w:sz w:val="22"/>
                <w:highlight w:val="yellow"/>
              </w:rPr>
              <w:t>Responsible Party</w:t>
            </w:r>
          </w:p>
        </w:tc>
      </w:tr>
      <w:tr>
        <w:tc>
          <w:tcPr>
            <w:tcW w:type="dxa" w:w="2160"/>
          </w:tcPr>
          <w:p>
            <w:r>
              <w:rPr>
                <w:highlight w:val="yellow"/>
              </w:rPr>
              <w:t>Proposals Due</w:t>
            </w:r>
          </w:p>
        </w:tc>
        <w:tc>
          <w:tcPr>
            <w:tcW w:type="dxa" w:w="2160"/>
          </w:tcPr>
          <w:p>
            <w:r>
              <w:rPr>
                <w:highlight w:val="yellow"/>
              </w:rPr>
              <w:t>January 15, 2026</w:t>
            </w:r>
          </w:p>
        </w:tc>
        <w:tc>
          <w:tcPr>
            <w:tcW w:type="dxa" w:w="2160"/>
          </w:tcPr>
          <w:p>
            <w:r>
              <w:rPr>
                <w:highlight w:val="yellow"/>
              </w:rPr>
              <w:t>1 day</w:t>
            </w:r>
          </w:p>
        </w:tc>
        <w:tc>
          <w:tcPr>
            <w:tcW w:type="dxa" w:w="2160"/>
          </w:tcPr>
          <w:p>
            <w:r>
              <w:rPr>
                <w:highlight w:val="yellow"/>
              </w:rPr>
              <w:t>CO</w:t>
            </w:r>
          </w:p>
        </w:tc>
      </w:tr>
      <w:tr>
        <w:tc>
          <w:tcPr>
            <w:tcW w:type="dxa" w:w="2160"/>
          </w:tcPr>
          <w:p>
            <w:r>
              <w:rPr>
                <w:highlight w:val="yellow"/>
              </w:rPr>
              <w:t>Administrative Review</w:t>
            </w:r>
          </w:p>
        </w:tc>
        <w:tc>
          <w:tcPr>
            <w:tcW w:type="dxa" w:w="2160"/>
          </w:tcPr>
          <w:p>
            <w:r>
              <w:rPr>
                <w:highlight w:val="yellow"/>
              </w:rPr>
              <w:t>January 16, 2026</w:t>
            </w:r>
          </w:p>
        </w:tc>
        <w:tc>
          <w:tcPr>
            <w:tcW w:type="dxa" w:w="2160"/>
          </w:tcPr>
          <w:p>
            <w:r>
              <w:rPr>
                <w:highlight w:val="yellow"/>
              </w:rPr>
              <w:t>2 days</w:t>
            </w:r>
          </w:p>
        </w:tc>
        <w:tc>
          <w:tcPr>
            <w:tcW w:type="dxa" w:w="2160"/>
          </w:tcPr>
          <w:p>
            <w:r>
              <w:rPr>
                <w:highlight w:val="yellow"/>
              </w:rPr>
              <w:t>CO</w:t>
            </w:r>
          </w:p>
        </w:tc>
      </w:tr>
      <w:tr>
        <w:tc>
          <w:tcPr>
            <w:tcW w:type="dxa" w:w="2160"/>
          </w:tcPr>
          <w:p>
            <w:r>
              <w:rPr>
                <w:highlight w:val="yellow"/>
              </w:rPr>
              <w:t>Distribute to SSEB</w:t>
            </w:r>
          </w:p>
        </w:tc>
        <w:tc>
          <w:tcPr>
            <w:tcW w:type="dxa" w:w="2160"/>
          </w:tcPr>
          <w:p>
            <w:r>
              <w:rPr>
                <w:highlight w:val="yellow"/>
              </w:rPr>
              <w:t>January 18, 2026</w:t>
            </w:r>
          </w:p>
        </w:tc>
        <w:tc>
          <w:tcPr>
            <w:tcW w:type="dxa" w:w="2160"/>
          </w:tcPr>
          <w:p>
            <w:r>
              <w:rPr>
                <w:highlight w:val="yellow"/>
              </w:rPr>
              <w:t>1 day</w:t>
            </w:r>
          </w:p>
        </w:tc>
        <w:tc>
          <w:tcPr>
            <w:tcW w:type="dxa" w:w="2160"/>
          </w:tcPr>
          <w:p>
            <w:r>
              <w:rPr>
                <w:highlight w:val="yellow"/>
              </w:rPr>
              <w:t>SSEB Chair</w:t>
            </w:r>
          </w:p>
        </w:tc>
      </w:tr>
      <w:tr>
        <w:tc>
          <w:tcPr>
            <w:tcW w:type="dxa" w:w="2160"/>
          </w:tcPr>
          <w:p>
            <w:r>
              <w:rPr>
                <w:highlight w:val="yellow"/>
              </w:rPr>
              <w:t>Individual Evaluations</w:t>
            </w:r>
          </w:p>
        </w:tc>
        <w:tc>
          <w:tcPr>
            <w:tcW w:type="dxa" w:w="2160"/>
          </w:tcPr>
          <w:p>
            <w:r>
              <w:rPr>
                <w:highlight w:val="yellow"/>
              </w:rPr>
              <w:t>January 19, 2026</w:t>
            </w:r>
          </w:p>
        </w:tc>
        <w:tc>
          <w:tcPr>
            <w:tcW w:type="dxa" w:w="2160"/>
          </w:tcPr>
          <w:p>
            <w:r>
              <w:rPr>
                <w:highlight w:val="yellow"/>
              </w:rPr>
              <w:t>14 days</w:t>
            </w:r>
          </w:p>
        </w:tc>
        <w:tc>
          <w:tcPr>
            <w:tcW w:type="dxa" w:w="2160"/>
          </w:tcPr>
          <w:p>
            <w:r>
              <w:rPr>
                <w:highlight w:val="yellow"/>
              </w:rPr>
              <w:t>SSEB Members</w:t>
            </w:r>
          </w:p>
        </w:tc>
      </w:tr>
      <w:tr>
        <w:tc>
          <w:tcPr>
            <w:tcW w:type="dxa" w:w="2160"/>
          </w:tcPr>
          <w:p>
            <w:r>
              <w:rPr>
                <w:highlight w:val="yellow"/>
              </w:rPr>
              <w:t>SSEB Consensus Meeting</w:t>
            </w:r>
          </w:p>
        </w:tc>
        <w:tc>
          <w:tcPr>
            <w:tcW w:type="dxa" w:w="2160"/>
          </w:tcPr>
          <w:p>
            <w:r>
              <w:rPr>
                <w:highlight w:val="yellow"/>
              </w:rPr>
              <w:t>February 02, 2026</w:t>
            </w:r>
          </w:p>
        </w:tc>
        <w:tc>
          <w:tcPr>
            <w:tcW w:type="dxa" w:w="2160"/>
          </w:tcPr>
          <w:p>
            <w:r>
              <w:rPr>
                <w:highlight w:val="yellow"/>
              </w:rPr>
              <w:t>2 days</w:t>
            </w:r>
          </w:p>
        </w:tc>
        <w:tc>
          <w:tcPr>
            <w:tcW w:type="dxa" w:w="2160"/>
          </w:tcPr>
          <w:p>
            <w:r>
              <w:rPr>
                <w:highlight w:val="yellow"/>
              </w:rPr>
              <w:t>SSEB</w:t>
            </w:r>
          </w:p>
        </w:tc>
      </w:tr>
      <w:tr>
        <w:tc>
          <w:tcPr>
            <w:tcW w:type="dxa" w:w="2160"/>
          </w:tcPr>
          <w:p>
            <w:r>
              <w:rPr>
                <w:highlight w:val="yellow"/>
              </w:rPr>
              <w:t>SSAC Review</w:t>
            </w:r>
          </w:p>
        </w:tc>
        <w:tc>
          <w:tcPr>
            <w:tcW w:type="dxa" w:w="2160"/>
          </w:tcPr>
          <w:p>
            <w:r>
              <w:rPr>
                <w:highlight w:val="yellow"/>
              </w:rPr>
              <w:t>February 04, 2026</w:t>
            </w:r>
          </w:p>
        </w:tc>
        <w:tc>
          <w:tcPr>
            <w:tcW w:type="dxa" w:w="2160"/>
          </w:tcPr>
          <w:p>
            <w:r>
              <w:rPr>
                <w:highlight w:val="yellow"/>
              </w:rPr>
              <w:t>3 days</w:t>
            </w:r>
          </w:p>
        </w:tc>
        <w:tc>
          <w:tcPr>
            <w:tcW w:type="dxa" w:w="2160"/>
          </w:tcPr>
          <w:p>
            <w:r>
              <w:rPr>
                <w:highlight w:val="yellow"/>
              </w:rPr>
              <w:t>SSAC</w:t>
            </w:r>
          </w:p>
        </w:tc>
      </w:tr>
      <w:tr>
        <w:tc>
          <w:tcPr>
            <w:tcW w:type="dxa" w:w="2160"/>
          </w:tcPr>
          <w:p>
            <w:r>
              <w:rPr>
                <w:highlight w:val="yellow"/>
              </w:rPr>
              <w:t>SSA Decision Briefing</w:t>
            </w:r>
          </w:p>
        </w:tc>
        <w:tc>
          <w:tcPr>
            <w:tcW w:type="dxa" w:w="2160"/>
          </w:tcPr>
          <w:p>
            <w:r>
              <w:rPr>
                <w:highlight w:val="yellow"/>
              </w:rPr>
              <w:t>February 07, 2026</w:t>
            </w:r>
          </w:p>
        </w:tc>
        <w:tc>
          <w:tcPr>
            <w:tcW w:type="dxa" w:w="2160"/>
          </w:tcPr>
          <w:p>
            <w:r>
              <w:rPr>
                <w:highlight w:val="yellow"/>
              </w:rPr>
              <w:t>1 day</w:t>
            </w:r>
          </w:p>
        </w:tc>
        <w:tc>
          <w:tcPr>
            <w:tcW w:type="dxa" w:w="2160"/>
          </w:tcPr>
          <w:p>
            <w:r>
              <w:rPr>
                <w:highlight w:val="yellow"/>
              </w:rPr>
              <w:t>SSA</w:t>
            </w:r>
          </w:p>
        </w:tc>
      </w:tr>
      <w:tr>
        <w:tc>
          <w:tcPr>
            <w:tcW w:type="dxa" w:w="2160"/>
          </w:tcPr>
          <w:p>
            <w:r>
              <w:rPr>
                <w:highlight w:val="yellow"/>
              </w:rPr>
              <w:t>Award Decision</w:t>
            </w:r>
          </w:p>
        </w:tc>
        <w:tc>
          <w:tcPr>
            <w:tcW w:type="dxa" w:w="2160"/>
          </w:tcPr>
          <w:p>
            <w:r>
              <w:rPr>
                <w:highlight w:val="yellow"/>
              </w:rPr>
              <w:t>February 14, 2026</w:t>
            </w:r>
          </w:p>
        </w:tc>
        <w:tc>
          <w:tcPr>
            <w:tcW w:type="dxa" w:w="2160"/>
          </w:tcPr>
          <w:p>
            <w:r>
              <w:rPr>
                <w:highlight w:val="yellow"/>
              </w:rPr>
              <w:t>1 day</w:t>
            </w:r>
          </w:p>
        </w:tc>
        <w:tc>
          <w:tcPr>
            <w:tcW w:type="dxa" w:w="2160"/>
          </w:tcPr>
          <w:p>
            <w:r>
              <w:rPr>
                <w:highlight w:val="yellow"/>
              </w:rPr>
              <w:t>SSA</w:t>
            </w:r>
          </w:p>
        </w:tc>
      </w:tr>
    </w:tbl>
    <w:p/>
    <w:p>
      <w:pPr>
        <w:spacing w:before="120" w:after="120"/>
      </w:pPr>
    </w:p>
    <w:p>
      <w:pPr>
        <w:pStyle w:val="Heading2"/>
      </w:pPr>
      <w:r>
        <w:t>7. EVALUATION PROCESS</w:t>
      </w:r>
    </w:p>
    <w:p>
      <w:pPr>
        <w:pStyle w:val="Heading3"/>
      </w:pPr>
      <w:r>
        <w:t>7.1 Phase 1: Administrative Review</w:t>
      </w:r>
    </w:p>
    <w:p>
      <w:pPr>
        <w:pStyle w:val="ListBullet"/>
      </w:pPr>
      <w:r>
        <w:rPr>
          <w:highlight w:val="yellow"/>
        </w:rPr>
        <w:t>Completeness check per FAR 14.201-6(i) (Federal Acquisition Regulation, 2023)</w:t>
      </w:r>
    </w:p>
    <w:p>
      <w:pPr>
        <w:pStyle w:val="ListBullet"/>
      </w:pPr>
      <w:r>
        <w:rPr>
          <w:highlight w:val="yellow"/>
        </w:rPr>
        <w:t>Late proposal determination per FAR 15.208 (Federal Acquisition Regulation, 2023)</w:t>
      </w:r>
    </w:p>
    <w:p>
      <w:pPr>
        <w:pStyle w:val="ListBullet"/>
      </w:pPr>
      <w:r>
        <w:rPr>
          <w:highlight w:val="yellow"/>
        </w:rPr>
        <w:t>Compliance review per FAR 15.305(a)(2) (Federal Acquisition Regulation, 2023)</w:t>
      </w:r>
    </w:p>
    <w:p>
      <w:pPr>
        <w:pStyle w:val="Heading3"/>
      </w:pPr>
      <w:r>
        <w:t>7.2 Phase 2: Individual Evaluations</w:t>
      </w:r>
    </w:p>
    <w:p>
      <w:pPr>
        <w:pStyle w:val="ListBullet"/>
      </w:pPr>
      <w:r>
        <w:rPr>
          <w:highlight w:val="yellow"/>
        </w:rPr>
        <w:t>Each evaluator scores assigned factor per DFARS 215.305 (Defense Federal Acquisition Regulation Supplement, 2023)</w:t>
      </w:r>
    </w:p>
    <w:p>
      <w:pPr>
        <w:pStyle w:val="ListBullet"/>
      </w:pPr>
      <w:r>
        <w:rPr>
          <w:highlight w:val="yellow"/>
        </w:rPr>
        <w:t>Document findings per FAR 15.305(a)(3) (Federal Acquisition Regulation, 2023)</w:t>
      </w:r>
    </w:p>
    <w:p>
      <w:pPr>
        <w:pStyle w:val="ListBullet"/>
      </w:pPr>
      <w:r>
        <w:rPr>
          <w:highlight w:val="yellow"/>
        </w:rPr>
        <w:t>Complete scorecards per FAR 15.308 (Federal Acquisition Regulation, 2023)</w:t>
      </w:r>
    </w:p>
    <w:p>
      <w:pPr>
        <w:pStyle w:val="Heading3"/>
      </w:pPr>
      <w:r>
        <w:t>7.3 Phase 3: SSEB Consensus</w:t>
      </w:r>
    </w:p>
    <w:p>
      <w:pPr>
        <w:pStyle w:val="ListBullet"/>
      </w:pPr>
      <w:r>
        <w:rPr>
          <w:highlight w:val="yellow"/>
        </w:rPr>
        <w:t>Discuss findings per FAR 15.305(c) (Federal Acquisition Regulation, 2023)</w:t>
      </w:r>
    </w:p>
    <w:p>
      <w:pPr>
        <w:pStyle w:val="ListBullet"/>
      </w:pPr>
      <w:r>
        <w:rPr>
          <w:highlight w:val="yellow"/>
        </w:rPr>
        <w:t>Resolve rating differences per DFARS 215.305 (Defense Federal Acquisition Regulation Supplement, 2023)</w:t>
      </w:r>
    </w:p>
    <w:p>
      <w:pPr>
        <w:pStyle w:val="ListBullet"/>
      </w:pPr>
      <w:r>
        <w:rPr>
          <w:highlight w:val="yellow"/>
        </w:rPr>
        <w:t>Finalize SSEB report per FAR 15.308 (Federal Acquisition Regulation, 2023)</w:t>
      </w:r>
    </w:p>
    <w:p>
      <w:pPr>
        <w:pStyle w:val="Heading3"/>
      </w:pPr>
      <w:r>
        <w:t>7.4 Phase 4: SSAC Review</w:t>
      </w:r>
    </w:p>
    <w:p>
      <w:pPr>
        <w:pStyle w:val="ListBullet"/>
      </w:pPr>
      <w:r>
        <w:rPr>
          <w:highlight w:val="yellow"/>
        </w:rPr>
        <w:t>Review SSEB findings per FAR 15.303(c)(3) (Federal Acquisition Regulation, 2023)</w:t>
      </w:r>
    </w:p>
    <w:p>
      <w:pPr>
        <w:pStyle w:val="ListBullet"/>
      </w:pPr>
      <w:r>
        <w:rPr>
          <w:highlight w:val="yellow"/>
        </w:rPr>
        <w:t>Develop recommendations per FAR 15.303(c)(3) (Federal Acquisition Regulation, 2023)</w:t>
      </w:r>
    </w:p>
    <w:p>
      <w:pPr>
        <w:pStyle w:val="ListBullet"/>
      </w:pPr>
      <w:r>
        <w:rPr>
          <w:highlight w:val="yellow"/>
        </w:rPr>
        <w:t>Brief SSA per FAR 15.308 (Federal Acquisition Regulation, 2023)</w:t>
      </w:r>
    </w:p>
    <w:p>
      <w:pPr>
        <w:pStyle w:val="Heading3"/>
      </w:pPr>
      <w:r>
        <w:t>7.5 Phase 5: SSA Decision</w:t>
      </w:r>
    </w:p>
    <w:p>
      <w:pPr>
        <w:pStyle w:val="ListBullet"/>
      </w:pPr>
      <w:r>
        <w:rPr>
          <w:highlight w:val="yellow"/>
        </w:rPr>
        <w:t>Review all materials per FAR 15.308 (Federal Acquisition Regulation, 2023)</w:t>
      </w:r>
    </w:p>
    <w:p>
      <w:pPr>
        <w:pStyle w:val="ListBullet"/>
      </w:pPr>
      <w:r>
        <w:rPr>
          <w:highlight w:val="yellow"/>
        </w:rPr>
        <w:t>Make award decision per FAR 15.303(b) (Federal Acquisition Regulation, 2023)</w:t>
      </w:r>
    </w:p>
    <w:p>
      <w:pPr>
        <w:pStyle w:val="ListBullet"/>
      </w:pPr>
      <w:r>
        <w:rPr>
          <w:highlight w:val="yellow"/>
        </w:rPr>
        <w:t>Sign Source Selection Decision Document per FAR 15.308 (Federal Acquisition Regulation, 2023)</w:t>
      </w:r>
    </w:p>
    <w:p>
      <w:pPr>
        <w:spacing w:before="120" w:after="120"/>
      </w:pPr>
    </w:p>
    <w:p>
      <w:pPr>
        <w:pStyle w:val="Heading2"/>
      </w:pPr>
      <w:r>
        <w:t>8. CONSENSUS PROCEDURES</w:t>
      </w:r>
    </w:p>
    <w:p>
      <w:r>
        <w:rPr>
          <w:highlight w:val="yellow"/>
        </w:rPr>
        <w:t>Consensus procedures will be established per FAR 15.305(c) (Federal Acquisition Regulation, 2023) and DFARS 215.305 (Defense Federal Acquisition Regulation Supplement, 2023) prior to proposal receipt.</w:t>
      </w:r>
    </w:p>
    <w:p>
      <w:pPr>
        <w:spacing w:before="120" w:after="120"/>
      </w:pPr>
    </w:p>
    <w:p>
      <w:pPr>
        <w:pStyle w:val="Heading2"/>
      </w:pPr>
      <w:r>
        <w:t>9. COMMUNICATIONS</w:t>
      </w:r>
    </w:p>
    <w:p>
      <w:r>
        <w:rPr>
          <w:highlight w:val="yellow"/>
        </w:rPr>
        <w:t>Communication protocols will be established per FAR 15.306 (Federal Acquisition Regulation, 2023) and coordinated through U.S. Army Contracting Command - Rock Island (Project Information, 2025).</w:t>
      </w:r>
    </w:p>
    <w:p>
      <w:pPr>
        <w:spacing w:before="120" w:after="120"/>
      </w:pPr>
    </w:p>
    <w:p>
      <w:pPr>
        <w:pStyle w:val="Heading2"/>
      </w:pPr>
      <w:r>
        <w:t>10. DOCUMENTATION REQUIREMENTS</w:t>
      </w:r>
    </w:p>
    <w:p>
      <w:r>
        <w:rPr>
          <w:highlight w:val="yellow"/>
        </w:rPr>
        <w:t>Documentation requirements per FAR 15.308 (Federal Acquisition Regulation, 2023) and DFARS 215.308 (Defense Federal Acquisition Regulation Supplement, 2023) will include Source Selection Decision Document, SSEB Report, and evaluation records.</w:t>
      </w:r>
    </w:p>
    <w:p>
      <w:pPr>
        <w:spacing w:before="120" w:after="120"/>
      </w:pPr>
    </w:p>
    <w:p>
      <w:pPr>
        <w:pStyle w:val="Heading2"/>
      </w:pPr>
      <w:r>
        <w:t>APPROVALS</w:t>
      </w:r>
    </w:p>
    <w:p>
      <w:r>
        <w:rPr>
          <w:b/>
          <w:highlight w:val="yellow"/>
        </w:rPr>
        <w:t>SSA:</w:t>
      </w:r>
      <w:r>
        <w:rPr>
          <w:highlight w:val="yellow"/>
        </w:rPr>
        <w:t xml:space="preserve"> TBD - SSA to be designated </w:t>
      </w:r>
      <w:r>
        <w:rPr>
          <w:b/>
          <w:highlight w:val="yellow"/>
        </w:rPr>
        <w:t>Signature:</w:t>
      </w:r>
      <w:r>
        <w:rPr>
          <w:highlight w:val="yellow"/>
        </w:rPr>
        <w:t xml:space="preserve"> ______________________ </w:t>
      </w:r>
      <w:r>
        <w:rPr>
          <w:b/>
          <w:highlight w:val="yellow"/>
        </w:rPr>
        <w:t>Date:</w:t>
      </w:r>
      <w:r>
        <w:rPr>
          <w:highlight w:val="yellow"/>
        </w:rPr>
        <w:t xml:space="preserve"> TBD - Information to be determined</w:t>
      </w:r>
    </w:p>
    <w:p>
      <w:pPr>
        <w:spacing w:before="120" w:after="120"/>
      </w:pPr>
    </w:p>
    <w:p>
      <w:r>
        <w:rPr>
          <w:highlight w:val="yellow"/>
        </w:rPr>
        <w:t>*This SSP is prepared per FAR 15.303 (Federal Acquisition Regulation, 2023) for solicitation W56KGU-25-R-0042 (Project Information, 2025).*</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09:11:27*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PLAN (SSP)</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