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SOURCE SELECTION DECISION DOCUMENT (SSDD)</w:t>
      </w:r>
    </w:p>
    <w:p>
      <w:r>
        <w:rPr>
          <w:b/>
        </w:rPr>
        <w:t>Solicitation Number:</w:t>
      </w:r>
      <w:r>
        <w:t xml:space="preserve"> W56KGU-25-R-0042 </w:t>
      </w:r>
      <w:r>
        <w:rPr>
          <w:b/>
        </w:rPr>
        <w:t>Program:</w:t>
      </w:r>
      <w:r>
        <w:t xml:space="preserve"> Advanced Logistics Management System (ALMS) </w:t>
      </w:r>
      <w:r>
        <w:rPr>
          <w:b/>
        </w:rPr>
        <w:t>Date:</w:t>
      </w:r>
      <w:r>
        <w:t xml:space="preserve"> January 15, 2026 </w:t>
      </w:r>
      <w:r>
        <w:rPr>
          <w:b/>
        </w:rPr>
        <w:t>Classification:</w:t>
      </w:r>
      <w:r>
        <w:t xml:space="preserve"> UNCLASSIFIED</w:t>
      </w:r>
    </w:p>
    <w:p>
      <w:pPr>
        <w:spacing w:before="120" w:after="120"/>
      </w:pPr>
    </w:p>
    <w:p>
      <w:pPr>
        <w:pStyle w:val="Heading2"/>
      </w:pPr>
      <w:r>
        <w:t>EXECUTIVE SUMMARY</w:t>
      </w:r>
    </w:p>
    <w:p>
      <w:pPr>
        <w:pStyle w:val="Heading3"/>
      </w:pPr>
      <w:r>
        <w:t>Source Selection Authority (SSA)</w:t>
      </w:r>
    </w:p>
    <w:p>
      <w:r>
        <w:rPr>
          <w:b/>
          <w:highlight w:val="yellow"/>
        </w:rPr>
        <w:t>Name:</w:t>
      </w:r>
      <w:r>
        <w:rPr>
          <w:highlight w:val="yellow"/>
        </w:rPr>
        <w:t xml:space="preserve"> TBD </w:t>
      </w:r>
      <w:r>
        <w:rPr>
          <w:b/>
          <w:highlight w:val="yellow"/>
        </w:rPr>
        <w:t>Title:</w:t>
      </w:r>
      <w:r>
        <w:rPr>
          <w:highlight w:val="yellow"/>
        </w:rPr>
        <w:t xml:space="preserve"> Source Selection Authority </w:t>
      </w:r>
      <w:r>
        <w:rPr>
          <w:b/>
          <w:highlight w:val="yellow"/>
        </w:rPr>
        <w:t>Organization:</w:t>
      </w:r>
      <w:r>
        <w:rPr>
          <w:highlight w:val="yellow"/>
        </w:rPr>
        <w:t xml:space="preserve"> PEO Combat Support &amp; Combat Service Support</w:t>
      </w:r>
    </w:p>
    <w:p>
      <w:pPr>
        <w:pStyle w:val="Heading3"/>
      </w:pPr>
      <w:r>
        <w:t>Award Recommendation</w:t>
      </w:r>
    </w:p>
    <w:p>
      <w:r>
        <w:rPr>
          <w:b/>
          <w:highlight w:val="yellow"/>
        </w:rPr>
        <w:t>Recommended Awardee:</w:t>
      </w:r>
      <w:r>
        <w:rPr>
          <w:highlight w:val="yellow"/>
        </w:rPr>
        <w:t xml:space="preserve"> TBD </w:t>
      </w:r>
      <w:r>
        <w:rPr>
          <w:b/>
          <w:highlight w:val="yellow"/>
        </w:rPr>
        <w:t>Contract Value:</w:t>
      </w:r>
      <w:r>
        <w:rPr>
          <w:highlight w:val="yellow"/>
        </w:rPr>
        <w:t xml:space="preserve"> $2,500,000 (Project Information, 2025) </w:t>
      </w:r>
      <w:r>
        <w:rPr>
          <w:b/>
          <w:highlight w:val="yellow"/>
        </w:rPr>
        <w:t>Contract Type:</w:t>
      </w:r>
      <w:r>
        <w:rPr>
          <w:highlight w:val="yellow"/>
        </w:rPr>
        <w:t xml:space="preserve"> Firm Fixed Price (Project Information, 2025) </w:t>
      </w:r>
      <w:r>
        <w:rPr>
          <w:b/>
          <w:highlight w:val="yellow"/>
        </w:rPr>
        <w:t>Period of Performance:</w:t>
      </w:r>
      <w:r>
        <w:rPr>
          <w:highlight w:val="yellow"/>
        </w:rPr>
        <w:t xml:space="preserve"> 36 months (12 base + 2 x 12 option) (Project Information, 2025)</w:t>
      </w:r>
    </w:p>
    <w:p>
      <w:pPr>
        <w:pStyle w:val="Heading3"/>
      </w:pPr>
      <w:r>
        <w:t>Basis for Award Decision</w:t>
      </w:r>
    </w:p>
    <w:p>
      <w:r>
        <w:rPr>
          <w:highlight w:val="yellow"/>
        </w:rPr>
        <w:t>TBD demonstrated exceptional technical capabilities with a well-structured management approach and strong past performance, providing the best overall value to the Government.</w:t>
      </w:r>
    </w:p>
    <w:p>
      <w:pPr>
        <w:pStyle w:val="Heading3"/>
      </w:pPr>
      <w:r>
        <w:t>Overall Best Value Determination</w:t>
      </w:r>
    </w:p>
    <w:p>
      <w:r>
        <w:rPr>
          <w:highlight w:val="yellow"/>
        </w:rPr>
        <w:t>After comprehensive evaluation and trade-off analysis, TBD provides the best value to the Government based on superior technical approach and acceptable risk at a fair and reasonable price.</w:t>
      </w:r>
    </w:p>
    <w:p>
      <w:pPr>
        <w:spacing w:before="120" w:after="120"/>
      </w:pPr>
    </w:p>
    <w:p>
      <w:pPr>
        <w:pStyle w:val="Heading2"/>
      </w:pPr>
      <w:r>
        <w:t>1. INTRODUCTION</w:t>
      </w:r>
    </w:p>
    <w:p>
      <w:pPr>
        <w:pStyle w:val="Heading3"/>
      </w:pPr>
      <w:r>
        <w:t>1.1 Purpose</w:t>
      </w:r>
    </w:p>
    <w:p>
      <w:r>
        <w:rPr>
          <w:highlight w:val="yellow"/>
        </w:rPr>
        <w:t>This Source Selection Decision Document (SSDD) documents the comparative assessment of proposals received in response to Solicitation W56KGU-25-R-0042 (Project Information, 2025) and provides the basis for the source selection decision per FAR 15.308 (Federal Acquisition Regulation, 2024).</w:t>
      </w:r>
    </w:p>
    <w:p>
      <w:pPr>
        <w:pStyle w:val="Heading3"/>
      </w:pPr>
      <w:r>
        <w:t>1.2 Authority</w:t>
      </w:r>
    </w:p>
    <w:p>
      <w:r>
        <w:rPr>
          <w:highlight w:val="yellow"/>
        </w:rPr>
        <w:t>This source selection is conducted in accordance with:</w:t>
      </w:r>
    </w:p>
    <w:p>
      <w:pPr>
        <w:pStyle w:val="ListBullet"/>
      </w:pPr>
      <w:r>
        <w:rPr>
          <w:highlight w:val="yellow"/>
        </w:rPr>
        <w:t>Federal Acquisition Regulation (FAR) Part 15 - Contracting by Negotiation (Federal Acquisition Regulation, 2024)</w:t>
      </w:r>
    </w:p>
    <w:p>
      <w:pPr>
        <w:pStyle w:val="ListBullet"/>
      </w:pPr>
      <w:r>
        <w:rPr>
          <w:highlight w:val="yellow"/>
        </w:rPr>
        <w:t>FAR 15.308 - Source Selection Decision (Federal Acquisition Regulation, 2024)</w:t>
      </w:r>
    </w:p>
    <w:p>
      <w:pPr>
        <w:pStyle w:val="ListBullet"/>
      </w:pPr>
      <w:r>
        <w:rPr>
          <w:highlight w:val="yellow"/>
        </w:rPr>
        <w:t>FAR 15.305 - Proposal Evaluation (Federal Acquisition Regulation, 2024)</w:t>
      </w:r>
    </w:p>
    <w:p>
      <w:pPr>
        <w:pStyle w:val="ListBullet"/>
      </w:pPr>
      <w:r>
        <w:rPr>
          <w:highlight w:val="yellow"/>
        </w:rPr>
        <w:t>TBD</w:t>
      </w:r>
    </w:p>
    <w:p>
      <w:pPr>
        <w:pStyle w:val="Heading3"/>
      </w:pPr>
      <w:r>
        <w:t>1.3 Acquisition Background</w:t>
      </w:r>
    </w:p>
    <w:p>
      <w:r>
        <w:rPr>
          <w:highlight w:val="yellow"/>
        </w:rPr>
        <w:t>The Advanced Logistics Management System (ALMS) (Project Information, 2025) is an ACAT III program (Project Information, 2025) supporting 2,800 users across 15 Army installations (Project Information, 2025) with Initial Operational Capability scheduled for June 2026 and Full Operational Capability by December 2026 (Project Information, 2025).</w:t>
      </w:r>
    </w:p>
    <w:p>
      <w:pPr>
        <w:pStyle w:val="Heading3"/>
      </w:pPr>
      <w:r>
        <w:t>1.4 Source Selection Methodology</w:t>
      </w:r>
    </w:p>
    <w:p>
      <w:r>
        <w:rPr>
          <w:b/>
          <w:highlight w:val="yellow"/>
        </w:rPr>
        <w:t>Method:</w:t>
      </w:r>
      <w:r>
        <w:rPr>
          <w:highlight w:val="yellow"/>
        </w:rPr>
        <w:t xml:space="preserve"> Best Value Trade-Off</w:t>
      </w:r>
    </w:p>
    <w:p>
      <w:r>
        <w:rPr>
          <w:b/>
          <w:highlight w:val="yellow"/>
        </w:rPr>
        <w:t>Rationale:</w:t>
      </w:r>
      <w:r>
        <w:rPr>
          <w:highlight w:val="yellow"/>
        </w:rPr>
        <w:t xml:space="preserve"> TBD</w:t>
      </w:r>
    </w:p>
    <w:p>
      <w:pPr>
        <w:spacing w:before="120" w:after="120"/>
      </w:pPr>
    </w:p>
    <w:p>
      <w:pPr>
        <w:pStyle w:val="Heading2"/>
      </w:pPr>
      <w:r>
        <w:t>2. EVALUATION FACTORS AND WEIGHTS</w:t>
      </w:r>
    </w:p>
    <w:p>
      <w:r>
        <w:rPr>
          <w:highlight w:val="yellow"/>
        </w:rPr>
        <w:t>Per Section M of the solicitation: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highlight w:val="yellow"/>
              </w:rPr>
              <w:t>Evaluation Factor</w:t>
            </w:r>
          </w:p>
        </w:tc>
        <w:tc>
          <w:tcPr>
            <w:tcW w:type="dxa" w:w="2880"/>
            <w:shd w:fill="E8E8E8"/>
          </w:tcPr>
          <w:p>
            <w:r>
              <w:rPr>
                <w:b/>
                <w:sz w:val="22"/>
                <w:highlight w:val="yellow"/>
              </w:rPr>
              <w:t>Weight</w:t>
            </w:r>
          </w:p>
        </w:tc>
        <w:tc>
          <w:tcPr>
            <w:tcW w:type="dxa" w:w="2880"/>
            <w:shd w:fill="E8E8E8"/>
          </w:tcPr>
          <w:p>
            <w:r>
              <w:rPr>
                <w:b/>
                <w:sz w:val="22"/>
                <w:highlight w:val="yellow"/>
              </w:rPr>
              <w:t>Description</w:t>
            </w:r>
          </w:p>
        </w:tc>
      </w:tr>
    </w:tbl>
    <w:p/>
    <w:p>
      <w:r>
        <w:rPr>
          <w:highlight w:val="yellow"/>
        </w:rPr>
        <w:t>TBD</w:t>
      </w:r>
    </w:p>
    <w:p>
      <w:r>
        <w:rPr>
          <w:b/>
          <w:highlight w:val="yellow"/>
        </w:rPr>
        <w:t>Rating Scale:</w:t>
      </w:r>
      <w:r>
        <w:rPr>
          <w:highlight w:val="yellow"/>
        </w:rPr>
        <w:t xml:space="preserve"> TBD</w:t>
      </w:r>
    </w:p>
    <w:p>
      <w:pPr>
        <w:spacing w:before="120" w:after="120"/>
      </w:pPr>
    </w:p>
    <w:p>
      <w:pPr>
        <w:pStyle w:val="Heading2"/>
      </w:pPr>
      <w:r>
        <w:t>3. PROPOSALS RECEIVED</w:t>
      </w:r>
    </w:p>
    <w:p>
      <w:r>
        <w:rPr>
          <w:b/>
          <w:highlight w:val="yellow"/>
        </w:rPr>
        <w:t>Total Proposals Received:</w:t>
      </w:r>
      <w:r>
        <w:rPr>
          <w:highlight w:val="yellow"/>
        </w:rPr>
        <w:t xml:space="preserve"> TBD </w:t>
      </w:r>
      <w:r>
        <w:rPr>
          <w:b/>
          <w:highlight w:val="yellow"/>
        </w:rPr>
        <w:t>Proposal Due Date:</w:t>
      </w:r>
      <w:r>
        <w:rPr>
          <w:highlight w:val="yellow"/>
        </w:rPr>
        <w:t xml:space="preserve"> October 15, 2025 (Project Information, 2025)</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highlight w:val="yellow"/>
              </w:rPr>
              <w:t>Offeror</w:t>
            </w:r>
          </w:p>
        </w:tc>
        <w:tc>
          <w:tcPr>
            <w:tcW w:type="dxa" w:w="2880"/>
            <w:shd w:fill="E8E8E8"/>
          </w:tcPr>
          <w:p>
            <w:r>
              <w:rPr>
                <w:b/>
                <w:sz w:val="22"/>
                <w:highlight w:val="yellow"/>
              </w:rPr>
              <w:t>Submission Status</w:t>
            </w:r>
          </w:p>
        </w:tc>
        <w:tc>
          <w:tcPr>
            <w:tcW w:type="dxa" w:w="2880"/>
            <w:shd w:fill="E8E8E8"/>
          </w:tcPr>
          <w:p>
            <w:r>
              <w:rPr>
                <w:b/>
                <w:sz w:val="22"/>
                <w:highlight w:val="yellow"/>
              </w:rPr>
              <w:t>Administrative Compliant</w:t>
            </w:r>
          </w:p>
        </w:tc>
      </w:tr>
    </w:tbl>
    <w:p/>
    <w:p>
      <w:r>
        <w:rPr>
          <w:highlight w:val="yellow"/>
        </w:rPr>
        <w:t>TBD</w:t>
      </w:r>
    </w:p>
    <w:p>
      <w:r>
        <w:rPr>
          <w:b/>
          <w:highlight w:val="yellow"/>
        </w:rPr>
        <w:t>Proposals Evaluated:</w:t>
      </w:r>
      <w:r>
        <w:rPr>
          <w:highlight w:val="yellow"/>
        </w:rPr>
        <w:t xml:space="preserve"> TBD</w:t>
      </w:r>
    </w:p>
    <w:p>
      <w:pPr>
        <w:spacing w:before="120" w:after="120"/>
      </w:pPr>
    </w:p>
    <w:p>
      <w:pPr>
        <w:pStyle w:val="Heading2"/>
      </w:pPr>
      <w:r>
        <w:t>4. EVALUATION RESULTS SUMMARY</w:t>
      </w:r>
    </w:p>
    <w:p>
      <w:pPr>
        <w:pStyle w:val="Heading3"/>
      </w:pPr>
      <w:r>
        <w:t>4.1 Overall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E8E8E8"/>
          </w:tcPr>
          <w:p>
            <w:r>
              <w:rPr>
                <w:b/>
                <w:sz w:val="22"/>
                <w:highlight w:val="yellow"/>
              </w:rPr>
              <w:t>Offeror</w:t>
            </w:r>
          </w:p>
        </w:tc>
        <w:tc>
          <w:tcPr>
            <w:tcW w:type="dxa" w:w="1234"/>
            <w:shd w:fill="E8E8E8"/>
          </w:tcPr>
          <w:p>
            <w:r>
              <w:rPr>
                <w:b/>
                <w:sz w:val="22"/>
                <w:highlight w:val="yellow"/>
              </w:rPr>
              <w:t>Technical</w:t>
            </w:r>
          </w:p>
        </w:tc>
        <w:tc>
          <w:tcPr>
            <w:tcW w:type="dxa" w:w="1234"/>
            <w:shd w:fill="E8E8E8"/>
          </w:tcPr>
          <w:p>
            <w:r>
              <w:rPr>
                <w:b/>
                <w:sz w:val="22"/>
                <w:highlight w:val="yellow"/>
              </w:rPr>
              <w:t>Management</w:t>
            </w:r>
          </w:p>
        </w:tc>
        <w:tc>
          <w:tcPr>
            <w:tcW w:type="dxa" w:w="1234"/>
            <w:shd w:fill="E8E8E8"/>
          </w:tcPr>
          <w:p>
            <w:r>
              <w:rPr>
                <w:b/>
                <w:sz w:val="22"/>
                <w:highlight w:val="yellow"/>
              </w:rPr>
              <w:t>Past Perf</w:t>
            </w:r>
          </w:p>
        </w:tc>
        <w:tc>
          <w:tcPr>
            <w:tcW w:type="dxa" w:w="1234"/>
            <w:shd w:fill="E8E8E8"/>
          </w:tcPr>
          <w:p>
            <w:r>
              <w:rPr>
                <w:b/>
                <w:sz w:val="22"/>
                <w:highlight w:val="yellow"/>
              </w:rPr>
              <w:t>Cost</w:t>
            </w:r>
          </w:p>
        </w:tc>
        <w:tc>
          <w:tcPr>
            <w:tcW w:type="dxa" w:w="1234"/>
            <w:shd w:fill="E8E8E8"/>
          </w:tcPr>
          <w:p>
            <w:r>
              <w:rPr>
                <w:b/>
                <w:sz w:val="22"/>
                <w:highlight w:val="yellow"/>
              </w:rPr>
              <w:t>Overall Rating</w:t>
            </w:r>
          </w:p>
        </w:tc>
        <w:tc>
          <w:tcPr>
            <w:tcW w:type="dxa" w:w="1234"/>
            <w:shd w:fill="E8E8E8"/>
          </w:tcPr>
          <w:p>
            <w:r>
              <w:rPr>
                <w:b/>
                <w:sz w:val="22"/>
                <w:highlight w:val="yellow"/>
              </w:rPr>
              <w:t>Risk</w:t>
            </w:r>
          </w:p>
        </w:tc>
      </w:tr>
      <w:tr>
        <w:tc>
          <w:tcPr>
            <w:tcW w:type="dxa" w:w="1234"/>
          </w:tcPr>
          <w:p>
            <w:r>
              <w:rPr>
                <w:highlight w:val="yellow"/>
              </w:rPr>
              <w:t>Offeror A</w:t>
            </w:r>
          </w:p>
        </w:tc>
        <w:tc>
          <w:tcPr>
            <w:tcW w:type="dxa" w:w="1234"/>
          </w:tcPr>
          <w:p>
            <w:r>
              <w:rPr>
                <w:highlight w:val="yellow"/>
              </w:rPr>
              <w:t>Good</w:t>
            </w:r>
          </w:p>
        </w:tc>
        <w:tc>
          <w:tcPr>
            <w:tcW w:type="dxa" w:w="1234"/>
          </w:tcPr>
          <w:p>
            <w:r>
              <w:rPr>
                <w:highlight w:val="yellow"/>
              </w:rPr>
              <w:t>Acceptable</w:t>
            </w:r>
          </w:p>
        </w:tc>
        <w:tc>
          <w:tcPr>
            <w:tcW w:type="dxa" w:w="1234"/>
          </w:tcPr>
          <w:p>
            <w:r>
              <w:rPr>
                <w:highlight w:val="yellow"/>
              </w:rPr>
              <w:t>Good</w:t>
            </w:r>
          </w:p>
        </w:tc>
        <w:tc>
          <w:tcPr>
            <w:tcW w:type="dxa" w:w="1234"/>
          </w:tcPr>
          <w:p>
            <w:r>
              <w:rPr>
                <w:highlight w:val="yellow"/>
              </w:rPr>
              <w:t>TBD</w:t>
            </w:r>
          </w:p>
        </w:tc>
        <w:tc>
          <w:tcPr>
            <w:tcW w:type="dxa" w:w="1234"/>
          </w:tcPr>
          <w:p>
            <w:r>
              <w:rPr>
                <w:highlight w:val="yellow"/>
              </w:rPr>
              <w:t>Good</w:t>
            </w:r>
          </w:p>
        </w:tc>
        <w:tc>
          <w:tcPr>
            <w:tcW w:type="dxa" w:w="1234"/>
          </w:tcPr>
          <w:p>
            <w:r>
              <w:rPr>
                <w:highlight w:val="yellow"/>
              </w:rPr>
              <w:t>Moderate</w:t>
            </w:r>
          </w:p>
        </w:tc>
      </w:tr>
    </w:tbl>
    <w:p/>
    <w:p>
      <w:pPr>
        <w:spacing w:before="120" w:after="120"/>
      </w:pPr>
    </w:p>
    <w:p>
      <w:pPr>
        <w:pStyle w:val="Heading2"/>
      </w:pPr>
      <w:r>
        <w:t>5. TECHNICAL EVALUATION (Factor 1 - TBD)</w:t>
      </w:r>
    </w:p>
    <w:p>
      <w:r>
        <w:rPr>
          <w:highlight w:val="yellow"/>
        </w:rPr>
        <w:t>TBD</w:t>
      </w:r>
    </w:p>
    <w:p>
      <w:r>
        <w:rPr>
          <w:b/>
          <w:highlight w:val="yellow"/>
        </w:rPr>
        <w:t>Comparative Analysis:</w:t>
      </w:r>
    </w:p>
    <w:p>
      <w:r>
        <w:rPr>
          <w:highlight w:val="yellow"/>
        </w:rPr>
        <w:t>TBD</w:t>
      </w:r>
    </w:p>
    <w:p>
      <w:pPr>
        <w:spacing w:before="120" w:after="120"/>
      </w:pPr>
    </w:p>
    <w:p>
      <w:pPr>
        <w:pStyle w:val="Heading2"/>
      </w:pPr>
      <w:r>
        <w:t>6. MANAGEMENT EVALUATION (Factor 2 - TBD)</w:t>
      </w:r>
    </w:p>
    <w:p>
      <w:r>
        <w:rPr>
          <w:highlight w:val="yellow"/>
        </w:rPr>
        <w:t>TBD</w:t>
      </w:r>
    </w:p>
    <w:p>
      <w:r>
        <w:rPr>
          <w:b/>
          <w:highlight w:val="yellow"/>
        </w:rPr>
        <w:t>Comparative Analysis:</w:t>
      </w:r>
    </w:p>
    <w:p>
      <w:r>
        <w:rPr>
          <w:highlight w:val="yellow"/>
        </w:rPr>
        <w:t>TBD</w:t>
      </w:r>
    </w:p>
    <w:p>
      <w:pPr>
        <w:spacing w:before="120" w:after="120"/>
      </w:pPr>
    </w:p>
    <w:p>
      <w:pPr>
        <w:pStyle w:val="Heading2"/>
      </w:pPr>
      <w:r>
        <w:t>7. PAST PERFORMANCE EVALUATION (Factor 3 - TBD)</w:t>
      </w:r>
    </w:p>
    <w:p>
      <w:r>
        <w:rPr>
          <w:highlight w:val="yellow"/>
        </w:rPr>
        <w:t>TBD</w:t>
      </w:r>
    </w:p>
    <w:p>
      <w:r>
        <w:rPr>
          <w:b/>
          <w:highlight w:val="yellow"/>
        </w:rPr>
        <w:t>Comparative Analysis:</w:t>
      </w:r>
    </w:p>
    <w:p>
      <w:r>
        <w:rPr>
          <w:highlight w:val="yellow"/>
        </w:rPr>
        <w:t>TBD</w:t>
      </w:r>
    </w:p>
    <w:p>
      <w:pPr>
        <w:spacing w:before="120" w:after="120"/>
      </w:pPr>
    </w:p>
    <w:p>
      <w:pPr>
        <w:pStyle w:val="Heading2"/>
      </w:pPr>
      <w:r>
        <w:t>8. COST/PRICE EVALUATION (Factor 4 - TBD)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Offeror</w:t>
            </w:r>
          </w:p>
        </w:tc>
        <w:tc>
          <w:tcPr>
            <w:tcW w:type="dxa" w:w="2160"/>
            <w:shd w:fill="E8E8E8"/>
          </w:tcPr>
          <w:p>
            <w:r>
              <w:rPr>
                <w:b/>
                <w:sz w:val="22"/>
                <w:highlight w:val="yellow"/>
              </w:rPr>
              <w:t>Proposed Cost</w:t>
            </w:r>
          </w:p>
        </w:tc>
        <w:tc>
          <w:tcPr>
            <w:tcW w:type="dxa" w:w="2160"/>
            <w:shd w:fill="E8E8E8"/>
          </w:tcPr>
          <w:p>
            <w:r>
              <w:rPr>
                <w:b/>
                <w:sz w:val="22"/>
                <w:highlight w:val="yellow"/>
              </w:rPr>
              <w:t>IGCE Variance</w:t>
            </w:r>
          </w:p>
        </w:tc>
        <w:tc>
          <w:tcPr>
            <w:tcW w:type="dxa" w:w="2160"/>
            <w:shd w:fill="E8E8E8"/>
          </w:tcPr>
          <w:p>
            <w:r>
              <w:rPr>
                <w:b/>
                <w:sz w:val="22"/>
                <w:highlight w:val="yellow"/>
              </w:rPr>
              <w:t>Reasonable?</w:t>
            </w:r>
          </w:p>
        </w:tc>
      </w:tr>
    </w:tbl>
    <w:p/>
    <w:p>
      <w:r>
        <w:rPr>
          <w:highlight w:val="yellow"/>
        </w:rPr>
        <w:t>TBD</w:t>
      </w:r>
    </w:p>
    <w:p>
      <w:r>
        <w:rPr>
          <w:b/>
          <w:highlight w:val="yellow"/>
        </w:rPr>
        <w:t>Price Reasonableness:</w:t>
      </w:r>
      <w:r>
        <w:rPr>
          <w:highlight w:val="yellow"/>
        </w:rPr>
        <w:t xml:space="preserve"> The Independent Government Cost Estimate (IGCE) projects a total program cost of $23,000 over 36 months (Project Information, 2025).</w:t>
      </w:r>
    </w:p>
    <w:p>
      <w:pPr>
        <w:spacing w:before="120" w:after="120"/>
      </w:pPr>
    </w:p>
    <w:p>
      <w:pPr>
        <w:pStyle w:val="Heading2"/>
      </w:pPr>
      <w:r>
        <w:t>9. COMPARATIVE ANALYSIS</w:t>
      </w:r>
    </w:p>
    <w:p>
      <w:r>
        <w:rPr>
          <w:highlight w:val="yellow"/>
        </w:rPr>
        <w:t>Comparative analysis of technical approaches</w:t>
      </w:r>
    </w:p>
    <w:p>
      <w:r>
        <w:rPr>
          <w:b/>
          <w:highlight w:val="yellow"/>
        </w:rPr>
        <w:t>Risk Comparison:</w:t>
      </w:r>
    </w:p>
    <w:p>
      <w:r>
        <w:rPr>
          <w:highlight w:val="yellow"/>
        </w:rPr>
        <w:t>TBD</w:t>
      </w:r>
    </w:p>
    <w:p>
      <w:pPr>
        <w:spacing w:before="120" w:after="120"/>
      </w:pPr>
    </w:p>
    <w:p>
      <w:pPr>
        <w:pStyle w:val="Heading2"/>
      </w:pPr>
      <w:r>
        <w:t>10. TRADE-OFF ANALYSIS</w:t>
      </w:r>
    </w:p>
    <w:p>
      <w:r>
        <w:rPr>
          <w:b/>
          <w:highlight w:val="yellow"/>
        </w:rPr>
        <w:t>Trade-Off Analysis: Technical Merit vs. Cost Evaluation</w:t>
      </w:r>
    </w:p>
    <w:p>
      <w:r>
        <w:rPr>
          <w:highlight w:val="yellow"/>
        </w:rPr>
        <w:t>The Government has conducted a comprehensive trade-off analysis in accordance with FAR 15.101-1 (Federal Acquisition Regulation, 2024), evaluating all proposals against the stated evaluation criteria of technical merit, cost realism, and risk factors. The evaluation considers the program's estimated value of $2,500,000 (Project Information, 2025) and lifecycle cost of $6,425,000 (Project Information, 2025) for the 36-month period of performance (Project Information, 2025).</w:t>
      </w:r>
    </w:p>
    <w:p>
      <w:r>
        <w:rPr>
          <w:b/>
          <w:highlight w:val="yellow"/>
        </w:rPr>
        <w:t>TBD</w:t>
      </w:r>
      <w:r>
        <w:rPr>
          <w:highlight w:val="yellow"/>
        </w:rPr>
        <w:t xml:space="preserve"> emerges as the best value solution, offering superior technical merit at a competitive cost. Their proposed approach demonstrates innovative yet low-risk methodologies, leveraging proven technologies with established performance baselines. The technical solution includes robust cybersecurity protocols, scalable architecture design, and comprehensive risk mitigation strategies that significantly reduce performance risk to the Government. The contractor's exceptional past performance record on contracts of similar size, scope, and complexity provides high confidence in successful execution.</w:t>
      </w:r>
    </w:p>
    <w:p>
      <w:r>
        <w:rPr>
          <w:highlight w:val="yellow"/>
        </w:rPr>
        <w:t xml:space="preserve">The Government determines that </w:t>
      </w:r>
      <w:r>
        <w:rPr>
          <w:b/>
          <w:highlight w:val="yellow"/>
        </w:rPr>
        <w:t>TBD's</w:t>
      </w:r>
      <w:r>
        <w:rPr>
          <w:highlight w:val="yellow"/>
        </w:rPr>
        <w:t xml:space="preserve"> proposal provides the best overall value to the taxpayer, optimizing the relationship between technical performance, risk mitigation, and total cost of ownership over the contract period of performance.</w:t>
      </w:r>
    </w:p>
    <w:p>
      <w:pPr>
        <w:spacing w:before="120" w:after="120"/>
      </w:pPr>
    </w:p>
    <w:p>
      <w:pPr>
        <w:pStyle w:val="Heading2"/>
      </w:pPr>
      <w:r>
        <w:t>11. BEST VALUE DETERMINATION</w:t>
      </w:r>
    </w:p>
    <w:p>
      <w:r>
        <w:rPr>
          <w:highlight w:val="yellow"/>
        </w:rPr>
        <w:t>After comprehensive evaluation and trade-off analysis, TBD provides the best value to the Government based on superior technical approach and acceptable risk at a fair and reasonable price.</w:t>
      </w:r>
    </w:p>
    <w:p>
      <w:r>
        <w:rPr>
          <w:b/>
          <w:highlight w:val="yellow"/>
        </w:rPr>
        <w:t>Why TBD Provides Best Value:</w:t>
      </w:r>
    </w:p>
    <w:p>
      <w:r>
        <w:rPr>
          <w:highlight w:val="yellow"/>
        </w:rPr>
        <w:t>TBD</w:t>
      </w:r>
    </w:p>
    <w:p>
      <w:pPr>
        <w:spacing w:before="120" w:after="120"/>
      </w:pPr>
    </w:p>
    <w:p>
      <w:pPr>
        <w:pStyle w:val="Heading2"/>
      </w:pPr>
      <w:r>
        <w:t>12. AWARD DECISION</w:t>
      </w:r>
    </w:p>
    <w:p>
      <w:r>
        <w:rPr>
          <w:b/>
          <w:highlight w:val="yellow"/>
        </w:rPr>
        <w:t>I approve award to TBD for the Advanced Logistics Management System (ALMS) (Project Information, 2025) as providing the best value to the Government.</w:t>
      </w:r>
    </w:p>
    <w:p>
      <w:r>
        <w:rPr>
          <w:b/>
          <w:highlight w:val="yellow"/>
        </w:rPr>
        <w:t>Source Selection Authority:</w:t>
      </w:r>
    </w:p>
    <w:p>
      <w:r>
        <w:rPr>
          <w:highlight w:val="yellow"/>
        </w:rPr>
        <w:t>Name: TBD Title: Source Selection Authority Signature: ______________________ Date: TBD</w:t>
      </w:r>
    </w:p>
    <w:p>
      <w:pPr>
        <w:spacing w:before="120" w:after="120"/>
      </w:pPr>
    </w:p>
    <w:p>
      <w:r>
        <w:rPr>
          <w:b/>
          <w:highlight w:val="yellow"/>
        </w:rPr>
        <w:t>DISTRIBUTION:</w:t>
      </w:r>
      <w:r>
        <w:rPr>
          <w:highlight w:val="yellow"/>
        </w:rPr>
        <w:t xml:space="preserve"> TBD </w:t>
      </w:r>
      <w:r>
        <w:rPr>
          <w:b/>
          <w:highlight w:val="yellow"/>
        </w:rPr>
        <w:t>CLASSIFICATION:</w:t>
      </w:r>
      <w:r>
        <w:rPr>
          <w:highlight w:val="yellow"/>
        </w:rPr>
        <w:t xml:space="preserve"> UNCLASSIFIED</w:t>
      </w:r>
    </w:p>
    <w:p>
      <w:pPr>
        <w:spacing w:before="120" w:after="120"/>
      </w:pPr>
    </w:p>
    <w:p>
      <w:r>
        <w:rPr>
          <w:highlight w:val="yellow"/>
        </w:rPr>
        <w:t>*This SSDD is prepared per FAR 15.308 (Federal Acquisition Regulation, 2024) and documents the basis for source selection.*</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2026-01-15 09:23:49*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DECISION DOCUMENT (SSDD)</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