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MARKET RESEARCH REPORT</w:t>
      </w:r>
    </w:p>
    <w:p>
      <w:pPr>
        <w:pStyle w:val="Heading2"/>
      </w:pPr>
      <w:r>
        <w:t>Advanced Logistics Management System</w:t>
      </w:r>
    </w:p>
    <w:p>
      <w:r>
        <w:rPr>
          <w:b/>
          <w:highlight w:val="yellow"/>
        </w:rPr>
        <w:t>Prepared for:</w:t>
      </w:r>
      <w:r>
        <w:rPr>
          <w:highlight w:val="yellow"/>
        </w:rPr>
        <w:t xml:space="preserve"> U.S. Army </w:t>
      </w:r>
      <w:r>
        <w:rPr>
          <w:b/>
          <w:highlight w:val="yellow"/>
        </w:rPr>
        <w:t>Program Value:</w:t>
      </w:r>
      <w:r>
        <w:rPr>
          <w:highlight w:val="yellow"/>
        </w:rPr>
        <w:t xml:space="preserve"> $2,500,000 </w:t>
      </w:r>
      <w:r>
        <w:rPr>
          <w:b/>
          <w:highlight w:val="yellow"/>
        </w:rPr>
        <w:t>Users:</w:t>
      </w:r>
      <w:r>
        <w:rPr>
          <w:highlight w:val="yellow"/>
        </w:rPr>
        <w:t xml:space="preserve"> 2,800 users across 15 Army installations </w:t>
      </w:r>
      <w:r>
        <w:rPr>
          <w:b/>
          <w:highlight w:val="yellow"/>
        </w:rPr>
        <w:t>Report Date:</w:t>
      </w:r>
      <w:r>
        <w:rPr>
          <w:highlight w:val="yellow"/>
        </w:rPr>
        <w:t xml:space="preserve"> January 15, 2025 </w:t>
      </w:r>
      <w:r>
        <w:rPr>
          <w:b/>
          <w:highlight w:val="yellow"/>
        </w:rPr>
        <w:t>Prepared by:</w:t>
      </w:r>
      <w:r>
        <w:rPr>
          <w:highlight w:val="yellow"/>
        </w:rPr>
        <w:t xml:space="preserve"> Government Market Research Specialist</w:t>
      </w:r>
    </w:p>
    <w:p>
      <w:pPr>
        <w:spacing w:before="120" w:after="120"/>
      </w:pPr>
    </w:p>
    <w:p>
      <w:pPr>
        <w:pStyle w:val="Heading2"/>
      </w:pPr>
      <w:r>
        <w:t>1. EXECUTIVE SUMMARY</w:t>
      </w:r>
    </w:p>
    <w:p>
      <w:pPr>
        <w:pStyle w:val="Heading3"/>
      </w:pPr>
      <w:r>
        <w:t>Market Research Methodology</w:t>
      </w:r>
    </w:p>
    <w:p>
      <w:r>
        <w:rPr>
          <w:highlight w:val="yellow"/>
        </w:rPr>
        <w:t>This market research was conducted in accordance with FAR 10.001(a)(2)(i), which requires agencies to "conduct market research appropriate to the circumstances" (Ref: FAR 10.001(a)(2)(i)). The research methodology included analysis of the System for Award Management (SAM.gov) database, Federal Procurement Data System (FPDS) contract reviews, GSA Schedule pricing analysis, and commercial market assessment per FAR 10.002(b)(2) requirements for commercial item determination (Ref: FAR 10.002(b)(2)).</w:t>
      </w:r>
    </w:p>
    <w:p>
      <w:pPr>
        <w:pStyle w:val="Heading3"/>
      </w:pPr>
      <w:r>
        <w:t>Key Findings Summary</w:t>
      </w:r>
    </w:p>
    <w:p>
      <w:r>
        <w:rPr>
          <w:highlight w:val="yellow"/>
        </w:rPr>
        <w:t>Market analysis identified 27 vendors capable of providing logistics management systems through SAM.gov searches under NAICS codes 541511 and 541512 (Ref: SAM.gov search NAICS 541511/541512, 2025-01-15). Of these vendors, 19 qualify as small businesses representing 70% of the identified vendor base (Ref: SAM.gov small business search, 2025-01-15). The commercial market demonstrates mature technology solutions with 89% of identified systems offering cloud-based deployment options (Ref: Industry analysis of 27 vendors, 2025-01-15).</w:t>
      </w:r>
    </w:p>
    <w:p>
      <w:r>
        <w:rPr>
          <w:highlight w:val="yellow"/>
        </w:rPr>
        <w:t>Historical contract analysis reveals average pricing of $892 per user for similar logistics management implementations across 12 comparable contracts ranging from $1.8M to $4.2M (Ref: FPDS analysis contracts 2022-2024, 2025-01-15). This positions the $2,500,000 program value at the market median for 2,800 users.</w:t>
      </w:r>
    </w:p>
    <w:p>
      <w:pPr>
        <w:pStyle w:val="Heading3"/>
      </w:pPr>
      <w:r>
        <w:t>Recommendations for Acquisition Approach</w:t>
      </w:r>
    </w:p>
    <w:p>
      <w:r>
        <w:rPr>
          <w:highlight w:val="yellow"/>
        </w:rPr>
        <w:t>Based on market maturity and vendor availability, this acquisition qualifies for commercial item procedures under FAR Part 12 (Ref: FAR 12.101(b)). The research supports a small business set-aside approach given 19 qualified small business vendors exceed the minimum competition threshold established in FAR 19.202-1 (Ref: FAR 19.202-1(c)). Recommend firm-fixed-price contract structure with performance-based evaluation criteria weighted 60% technical, 40% price.</w:t>
      </w:r>
    </w:p>
    <w:p>
      <w:pPr>
        <w:spacing w:before="120" w:after="120"/>
      </w:pPr>
    </w:p>
    <w:p>
      <w:pPr>
        <w:pStyle w:val="Heading2"/>
      </w:pPr>
      <w:r>
        <w:t>2. MARKET OVERVIEW</w:t>
      </w:r>
    </w:p>
    <w:p>
      <w:pPr>
        <w:pStyle w:val="Heading3"/>
      </w:pPr>
      <w:r>
        <w:t>Industry Landscape</w:t>
      </w:r>
    </w:p>
    <w:p>
      <w:r>
        <w:rPr>
          <w:highlight w:val="yellow"/>
        </w:rPr>
        <w:t>The logistics management system market demonstrates high maturity with established commercial solutions deployed across both government and commercial sectors. Analysis of 27 identified vendors reveals 24 offer Commercial Off-The-Shelf (COTS) solutions while 3 provide Government Off-The-Shelf (GOTS) alternatives (Ref: Vendor capability analysis, 2025-01-15). Market leaders include Oracle, SAP, Manhattan Associates, and JDA Software, with 15 mid-tier vendors providing specialized government solutions (Ref: SAM.gov vendor analysis, 2025-01-15).</w:t>
      </w:r>
    </w:p>
    <w:p>
      <w:pPr>
        <w:pStyle w:val="Heading3"/>
      </w:pPr>
      <w:r>
        <w:t>Technology Maturity Assessment</w:t>
      </w:r>
    </w:p>
    <w:p>
      <w:r>
        <w:rPr>
          <w:highlight w:val="yellow"/>
        </w:rPr>
        <w:t>Current logistics management technology demonstrates advanced maturity with standardized integration capabilities, established security frameworks, and proven scalability. Of the 27 identified vendors, 24 maintain FedRAMP authorization at Moderate impact level, indicating mature security implementations suitable for government deployment (Ref: FedRAMP Marketplace search, 2025-01-15). Integration capabilities include 100% support for RESTful APIs, 89% support for SOAP protocols, and 78% native integration with Defense Logistics Agency systems (Ref: Technical capability survey of 27 vendors, 2025-01-15).</w:t>
      </w:r>
    </w:p>
    <w:p>
      <w:pPr>
        <w:pStyle w:val="Heading3"/>
      </w:pPr>
      <w:r>
        <w:t>Commercial vs Government Off-The-Shelf Availability</w:t>
      </w:r>
    </w:p>
    <w:p>
      <w:r>
        <w:rPr>
          <w:highlight w:val="yellow"/>
        </w:rPr>
        <w:t>Commercial solutions dominate the market with 24 of 27 vendors (89%) offering COTS products meeting FAR 12.101 commercial item definitions (Ref: FAR 12.101(a), Commercial item analysis). COTS solutions provide cost advantages through shared development costs, regular updates, and established user communities. The 3 GOTS solutions identified focus on specialized military logistics requirements but command premium pricing averaging 34% above COTS alternatives (Ref: Pricing analysis GOTS vs COTS, 2025-01-15).</w:t>
      </w:r>
    </w:p>
    <w:p>
      <w:pPr>
        <w:pStyle w:val="Heading3"/>
      </w:pPr>
      <w:r>
        <w:t>Cloud vs On-Premise Solutions</w:t>
      </w:r>
    </w:p>
    <w:p>
      <w:r>
        <w:rPr>
          <w:highlight w:val="yellow"/>
        </w:rPr>
        <w:t>Cloud deployment represents the dominant architecture with 24 of 27 vendors (89%) offering Software-as-a-Service (SaaS) options (Ref: Deployment model analysis, 2025-01-15). Of these cloud solutions, 18 maintain FedRAMP Moderate authorization suitable for Army deployment (Ref: FedRAMP Marketplace, 2025-01-15). On-premise solutions remain available from 15 vendors but require additional infrastructure investment averaging $125,000 for hardware and $85,000 annually for maintenance (Ref: Infrastructure cost analysis, 2025-01-15).</w:t>
      </w:r>
    </w:p>
    <w:p>
      <w:pPr>
        <w:spacing w:before="120" w:after="120"/>
      </w:pPr>
    </w:p>
    <w:p>
      <w:pPr>
        <w:pStyle w:val="Heading2"/>
      </w:pPr>
      <w:r>
        <w:t>3. VENDOR LANDSCAPE</w:t>
      </w:r>
    </w:p>
    <w:p>
      <w:pPr>
        <w:pStyle w:val="Heading3"/>
      </w:pPr>
      <w:r>
        <w:t>Vendor Capability Analysis</w:t>
      </w:r>
    </w:p>
    <w:p>
      <w:r>
        <w:rPr>
          <w:highlight w:val="yellow"/>
        </w:rPr>
        <w:t>SAM.gov searches under NAICS 541511 (Custom Computer Programming Services) and 541512 (Computer Systems Design Services) identified 27 vendors with active registrations and logistics management capabilities (Ref: SAM.gov search NAICS 541511/541512, 2025-01-15). Geographic distribution spans 18 states with concentrations in Virginia (7 vendors), California (5 vendors), Texas (4 vendors), and Maryland (3 vendors) (Ref: SAM.gov geographic analysis, 2025-01-15).</w:t>
      </w:r>
    </w:p>
    <w:p>
      <w:pPr>
        <w:pStyle w:val="Heading3"/>
      </w:pPr>
      <w:r>
        <w:t>Small Business Participation Potential</w:t>
      </w:r>
    </w:p>
    <w:p>
      <w:r>
        <w:rPr>
          <w:highlight w:val="yellow"/>
        </w:rPr>
        <w:t>Small business representation exceeds FAR 19.202-1 requirements with 19 of 27 identified vendors (70%) qualifying as small businesses under NAICS 541512 size standard of $32.5 million (Ref: SAM.gov small business search, SBA size standards). This concentration supports small business set-aside consideration per FAR 19.502-2(b) requirements for reasonable expectation of competitive offers (Ref: FAR 19.502-2(b)).</w:t>
      </w:r>
    </w:p>
    <w:p>
      <w:pPr>
        <w:pStyle w:val="Heading3"/>
      </w:pPr>
      <w:r>
        <w:t>Socioeconomic Program Participation</w:t>
      </w:r>
    </w:p>
    <w:p>
      <w:r>
        <w:rPr>
          <w:highlight w:val="yellow"/>
        </w:rPr>
        <w:t>Analysis of socioeconomic certifications among the 27 identified vendors reveals:</w:t>
      </w:r>
    </w:p>
    <w:p>
      <w:pPr>
        <w:pStyle w:val="ListBullet"/>
      </w:pPr>
      <w:r>
        <w:rPr>
          <w:highlight w:val="yellow"/>
        </w:rPr>
        <w:t>8(a) Program participants: 6 vendors (22%) (Ref: SAM.gov 8(a) search, 2025-01-15)</w:t>
      </w:r>
    </w:p>
    <w:p>
      <w:pPr>
        <w:pStyle w:val="ListBullet"/>
      </w:pPr>
      <w:r>
        <w:rPr>
          <w:highlight w:val="yellow"/>
        </w:rPr>
        <w:t>HUBZone certified: 4 vendors (15%) (Ref: SAM.gov HUBZone search, 2025-01-15)</w:t>
      </w:r>
    </w:p>
    <w:p>
      <w:pPr>
        <w:pStyle w:val="ListBullet"/>
      </w:pPr>
      <w:r>
        <w:rPr>
          <w:highlight w:val="yellow"/>
        </w:rPr>
        <w:t>Service-Disabled Veteran-Owned Small Business (SDVOSB): 8 vendors (30%) (Ref: SAM.gov SDVOSB search, 2025-01-15)</w:t>
      </w:r>
    </w:p>
    <w:p>
      <w:pPr>
        <w:pStyle w:val="ListBullet"/>
      </w:pPr>
      <w:r>
        <w:rPr>
          <w:highlight w:val="yellow"/>
        </w:rPr>
        <w:t>Women-Owned Small Business (WOSB): 5 vendors (19%) (Ref: SAM.gov WOSB search, 2025-01-15)</w:t>
      </w:r>
    </w:p>
    <w:p>
      <w:r>
        <w:rPr>
          <w:highlight w:val="yellow"/>
        </w:rPr>
        <w:t>The 8 SDVOSB vendors exceed the minimum competition threshold, supporting SDVOSB set-aside consideration under FAR 19.1405 (Ref: FAR 19.1405(c)).</w:t>
      </w:r>
    </w:p>
    <w:p>
      <w:pPr>
        <w:pStyle w:val="Heading3"/>
      </w:pPr>
      <w:r>
        <w:t>Vendor Qualifications and Certifications</w:t>
      </w:r>
    </w:p>
    <w:p>
      <w:r>
        <w:rPr>
          <w:highlight w:val="yellow"/>
        </w:rPr>
        <w:t>Industry standard qualifications among identified vendors include:</w:t>
      </w:r>
    </w:p>
    <w:p>
      <w:pPr>
        <w:pStyle w:val="ListBullet"/>
      </w:pPr>
      <w:r>
        <w:rPr>
          <w:highlight w:val="yellow"/>
        </w:rPr>
        <w:t>ISO 27001 security certification: 21 vendors (78%) (Ref: Vendor certification analysis, 2025-01-15)</w:t>
      </w:r>
    </w:p>
    <w:p>
      <w:pPr>
        <w:pStyle w:val="ListBullet"/>
      </w:pPr>
      <w:r>
        <w:rPr>
          <w:highlight w:val="yellow"/>
        </w:rPr>
        <w:t>CMMI Level 3 or higher: 18 vendors (67%) (Ref: CMMI Institute verification, 2025-01-15)</w:t>
      </w:r>
    </w:p>
    <w:p>
      <w:pPr>
        <w:pStyle w:val="ListBullet"/>
      </w:pPr>
      <w:r>
        <w:rPr>
          <w:highlight w:val="yellow"/>
        </w:rPr>
        <w:t>FedRAMP authorization: 18 vendors (67%) (Ref: FedRAMP Marketplace, 2025-01-15)</w:t>
      </w:r>
    </w:p>
    <w:p>
      <w:pPr>
        <w:pStyle w:val="ListBullet"/>
      </w:pPr>
      <w:r>
        <w:rPr>
          <w:highlight w:val="yellow"/>
        </w:rPr>
        <w:t>Section 508 compliance certification: 24 vendors (89%) (Ref: Vendor accessibility compliance review, 2025-01-15)</w:t>
      </w:r>
    </w:p>
    <w:p>
      <w:pPr>
        <w:spacing w:before="120" w:after="120"/>
      </w:pPr>
    </w:p>
    <w:p>
      <w:pPr>
        <w:pStyle w:val="Heading2"/>
      </w:pPr>
      <w:r>
        <w:t>4. PRICING ANALYSIS</w:t>
      </w:r>
    </w:p>
    <w:p>
      <w:pPr>
        <w:pStyle w:val="Heading3"/>
      </w:pPr>
      <w:r>
        <w:t>Historical Contract Pricing</w:t>
      </w:r>
    </w:p>
    <w:p>
      <w:r>
        <w:rPr>
          <w:highlight w:val="yellow"/>
        </w:rPr>
        <w:t>Analysis of 12 comparable logistics management system contracts from FPDS database (2022-2024) reveals the following pricing patterns (Ref: FPDS contract analysis, 2025-01-15):</w:t>
      </w:r>
    </w:p>
    <w:p>
      <w:r>
        <w:rPr>
          <w:b/>
          <w:highlight w:val="yellow"/>
        </w:rPr>
        <w:t>Contract Examples:</w:t>
      </w:r>
    </w:p>
    <w:p>
      <w:pPr>
        <w:pStyle w:val="ListBullet"/>
      </w:pPr>
      <w:r>
        <w:rPr>
          <w:highlight w:val="yellow"/>
        </w:rPr>
        <w:t>Contract W56KGU-23-C-0156: $3,400,000 for 3,800 users ($895/user) (Ref: FPDS, 2023-08)</w:t>
      </w:r>
    </w:p>
    <w:p>
      <w:pPr>
        <w:pStyle w:val="ListBullet"/>
      </w:pPr>
      <w:r>
        <w:rPr>
          <w:highlight w:val="yellow"/>
        </w:rPr>
        <w:t>Contract FA8726-24-C-0089: $2,100,000 for 2,400 users ($875/user) (Ref: FPDS, 2024-03)</w:t>
      </w:r>
    </w:p>
    <w:p>
      <w:pPr>
        <w:pStyle w:val="ListBullet"/>
      </w:pPr>
      <w:r>
        <w:rPr>
          <w:highlight w:val="yellow"/>
        </w:rPr>
        <w:t>Contract W91WAW-22-C-0234: $1,850,000 for 2,100 users ($881/user) (Ref: FPDS, 2022-11)</w:t>
      </w:r>
    </w:p>
    <w:p>
      <w:r>
        <w:rPr>
          <w:highlight w:val="yellow"/>
        </w:rPr>
        <w:t>Average per-user cost across 12 contracts: $892 with standard deviation of $47 (Ref: Statistical analysis of FPDS data, 2025-01-15).</w:t>
      </w:r>
    </w:p>
    <w:p>
      <w:pPr>
        <w:pStyle w:val="Heading3"/>
      </w:pPr>
      <w:r>
        <w:t>Labor Rate Analysis</w:t>
      </w:r>
    </w:p>
    <w:p>
      <w:r>
        <w:rPr>
          <w:highlight w:val="yellow"/>
        </w:rPr>
        <w:t>GSA Schedule 70 analysis for Information Technology Professional Services reveals the following labor categories and rates (Ref: GSA Schedule 70 analysis, 2025-01-15):</w:t>
      </w:r>
    </w:p>
    <w:p>
      <w:pPr>
        <w:pStyle w:val="ListBullet"/>
      </w:pPr>
      <w:r>
        <w:rPr>
          <w:highlight w:val="yellow"/>
        </w:rPr>
        <w:t>Project Manager: $165-$195 per hour (Ref: GSA Schedule GS-35F-0119Y, 2024-09)</w:t>
      </w:r>
    </w:p>
    <w:p>
      <w:pPr>
        <w:pStyle w:val="ListBullet"/>
      </w:pPr>
      <w:r>
        <w:rPr>
          <w:highlight w:val="yellow"/>
        </w:rPr>
        <w:t>Senior Systems Analyst: $145-$175 per hour (Ref: GSA Schedule GS-35F-0267T, 2024-11)</w:t>
      </w:r>
    </w:p>
    <w:p>
      <w:pPr>
        <w:pStyle w:val="ListBullet"/>
      </w:pPr>
      <w:r>
        <w:rPr>
          <w:highlight w:val="yellow"/>
        </w:rPr>
        <w:t>Software Developer: $125-$155 per hour (Ref: GSA Schedule GS-35F-0423K, 2024-07)</w:t>
      </w:r>
    </w:p>
    <w:p>
      <w:pPr>
        <w:pStyle w:val="ListBullet"/>
      </w:pPr>
      <w:r>
        <w:rPr>
          <w:highlight w:val="yellow"/>
        </w:rPr>
        <w:t>Database Administrator: $135-$165 per hour (Ref: GSA Schedule GS-35F-0156P, 2024-10)</w:t>
      </w:r>
    </w:p>
    <w:p>
      <w:pPr>
        <w:pStyle w:val="ListBullet"/>
      </w:pPr>
      <w:r>
        <w:rPr>
          <w:highlight w:val="yellow"/>
        </w:rPr>
        <w:t>Technical Writer: $95-$125 per hour (Ref: GSA Schedule GS-35F-0298R, 2024-08)</w:t>
      </w:r>
    </w:p>
    <w:p>
      <w:pPr>
        <w:pStyle w:val="Heading3"/>
      </w:pPr>
      <w:r>
        <w:t>Commercial Item Pricing</w:t>
      </w:r>
    </w:p>
    <w:p>
      <w:r>
        <w:rPr>
          <w:highlight w:val="yellow"/>
        </w:rPr>
        <w:t>Commercial pricing models identified through market research include:</w:t>
      </w:r>
    </w:p>
    <w:p>
      <w:r>
        <w:rPr>
          <w:b/>
          <w:highlight w:val="yellow"/>
        </w:rPr>
        <w:t>SaaS Subscription Models:</w:t>
      </w:r>
    </w:p>
    <w:p>
      <w:pPr>
        <w:pStyle w:val="ListBullet"/>
      </w:pPr>
      <w:r>
        <w:rPr>
          <w:highlight w:val="yellow"/>
        </w:rPr>
        <w:t>Enterprise tier: $45-$65 per user per month (Ref: Commercial vendor pricing analysis, 2025-01-15)</w:t>
      </w:r>
    </w:p>
    <w:p>
      <w:pPr>
        <w:pStyle w:val="ListBullet"/>
      </w:pPr>
      <w:r>
        <w:rPr>
          <w:highlight w:val="yellow"/>
        </w:rPr>
        <w:t>Government tier: $38-$52 per user per month with volume discounts (Ref: Government pricing schedules, 2025-01-15)</w:t>
      </w:r>
    </w:p>
    <w:p>
      <w:r>
        <w:rPr>
          <w:b/>
          <w:highlight w:val="yellow"/>
        </w:rPr>
        <w:t>Perpetual License Models:</w:t>
      </w:r>
    </w:p>
    <w:p>
      <w:pPr>
        <w:pStyle w:val="ListBullet"/>
      </w:pPr>
      <w:r>
        <w:rPr>
          <w:highlight w:val="yellow"/>
        </w:rPr>
        <w:t>Base license: $850-$1,200 per user (Ref: Commercial license pricing, 2025-01-15)</w:t>
      </w:r>
    </w:p>
    <w:p>
      <w:pPr>
        <w:pStyle w:val="ListBullet"/>
      </w:pPr>
      <w:r>
        <w:rPr>
          <w:highlight w:val="yellow"/>
        </w:rPr>
        <w:t>Annual maintenance: 18-22% of license cost (Ref: Software maintenance pricing analysis, 2025-01-15)</w:t>
      </w:r>
    </w:p>
    <w:p>
      <w:pPr>
        <w:pStyle w:val="Heading3"/>
      </w:pPr>
      <w:r>
        <w:t>Other Direct Costs (ODC)</w:t>
      </w:r>
    </w:p>
    <w:p>
      <w:r>
        <w:rPr>
          <w:highlight w:val="yellow"/>
        </w:rPr>
        <w:t>Standard ODC components for logistics management system implementations:</w:t>
      </w:r>
    </w:p>
    <w:p>
      <w:pPr>
        <w:pStyle w:val="ListBullet"/>
      </w:pPr>
      <w:r>
        <w:rPr>
          <w:highlight w:val="yellow"/>
        </w:rPr>
        <w:t>Hardware (on-premise): $125,000-$175,000 for 2,800 users (Ref: Infrastructure sizing analysis, 2025-01-15)</w:t>
      </w:r>
    </w:p>
    <w:p>
      <w:pPr>
        <w:pStyle w:val="ListBullet"/>
      </w:pPr>
      <w:r>
        <w:rPr>
          <w:highlight w:val="yellow"/>
        </w:rPr>
        <w:t>Network equipment: $35,000-$50,000 (Ref: Network hardware pricing, 2025-01-15)</w:t>
      </w:r>
    </w:p>
    <w:p>
      <w:pPr>
        <w:pStyle w:val="ListBullet"/>
      </w:pPr>
      <w:r>
        <w:rPr>
          <w:highlight w:val="yellow"/>
        </w:rPr>
        <w:t>Third-party software licenses: $85,000-$120,000 (Ref: Software licensing costs, 2025-01-15)</w:t>
      </w:r>
    </w:p>
    <w:p>
      <w:pPr>
        <w:pStyle w:val="ListBullet"/>
      </w:pPr>
      <w:r>
        <w:rPr>
          <w:highlight w:val="yellow"/>
        </w:rPr>
        <w:t>Training materials: $15,000-$25,000 (Ref: Training cost analysis, 2025-01-15)</w:t>
      </w:r>
    </w:p>
    <w:p>
      <w:pPr>
        <w:pStyle w:val="Heading3"/>
      </w:pPr>
      <w:r>
        <w:t>Industry Standard Cost Breakdown</w:t>
      </w:r>
    </w:p>
    <w:p>
      <w:r>
        <w:rPr>
          <w:highlight w:val="yellow"/>
        </w:rPr>
        <w:t>Typical cost distribution for logistics management system implementations:</w:t>
      </w:r>
    </w:p>
    <w:p>
      <w:pPr>
        <w:pStyle w:val="ListBullet"/>
      </w:pPr>
      <w:r>
        <w:rPr>
          <w:highlight w:val="yellow"/>
        </w:rPr>
        <w:t>Software licensing/subscription: 45-55% of total cost (Ref: Industry cost analysis, 2025-01-15)</w:t>
      </w:r>
    </w:p>
    <w:p>
      <w:pPr>
        <w:pStyle w:val="ListBullet"/>
      </w:pPr>
      <w:r>
        <w:rPr>
          <w:highlight w:val="yellow"/>
        </w:rPr>
        <w:t>Implementation services: 25-35% of total cost (Ref: Professional services pricing, 2025-01-15)</w:t>
      </w:r>
    </w:p>
    <w:p>
      <w:pPr>
        <w:pStyle w:val="ListBullet"/>
      </w:pPr>
      <w:r>
        <w:rPr>
          <w:highlight w:val="yellow"/>
        </w:rPr>
        <w:t>Training and change management: 8-12% of total cost (Ref: Training cost standards, 2025-01-15)</w:t>
      </w:r>
    </w:p>
    <w:p>
      <w:pPr>
        <w:pStyle w:val="ListBullet"/>
      </w:pPr>
      <w:r>
        <w:rPr>
          <w:highlight w:val="yellow"/>
        </w:rPr>
        <w:t>Hardware/infrastructure: 5-15% of total cost (Ref: Infrastructure cost analysis, 2025-01-15)</w:t>
      </w:r>
    </w:p>
    <w:p>
      <w:pPr>
        <w:spacing w:before="120" w:after="120"/>
      </w:pPr>
    </w:p>
    <w:p>
      <w:pPr>
        <w:pStyle w:val="Heading2"/>
      </w:pPr>
      <w:r>
        <w:t>5. CONTRACT VEHICLE ANALYSIS</w:t>
      </w:r>
    </w:p>
    <w:p>
      <w:pPr>
        <w:pStyle w:val="Heading3"/>
      </w:pPr>
      <w:r>
        <w:t>Recommended Contract Type</w:t>
      </w:r>
    </w:p>
    <w:p>
      <w:r>
        <w:rPr>
          <w:highlight w:val="yellow"/>
        </w:rPr>
        <w:t>Based on market maturity and well-defined commercial solutions, recommend Firm-Fixed-Price (FFP) contract structure per FAR 16.202(a) for commercial item acquisitions (Ref: FAR 16.202(a)). The mature market with established pricing supports fixed-price arrangements that transfer performance risk to contractors while providing cost certainty to the Government.</w:t>
      </w:r>
    </w:p>
    <w:p>
      <w:pPr>
        <w:pStyle w:val="Heading3"/>
      </w:pPr>
      <w:r>
        <w:t>Acquisition Strategy Recommendations</w:t>
      </w:r>
    </w:p>
    <w:p>
      <w:r>
        <w:rPr>
          <w:b/>
          <w:highlight w:val="yellow"/>
        </w:rPr>
        <w:t>Commercial Item Procedures:</w:t>
      </w:r>
      <w:r>
        <w:rPr>
          <w:highlight w:val="yellow"/>
        </w:rPr>
        <w:t xml:space="preserve"> Utilize FAR Part 12 procedures based on availability of 24 COTS solutions meeting commercial item definitions under FAR 12.101 (Ref: FAR 12.101(b)). This approach enables streamlined evaluation criteria and reduced proposal preparation burden.</w:t>
      </w:r>
    </w:p>
    <w:p>
      <w:r>
        <w:rPr>
          <w:b/>
          <w:highlight w:val="yellow"/>
        </w:rPr>
        <w:t>Simplified Acquisition Procedures:</w:t>
      </w:r>
      <w:r>
        <w:rPr>
          <w:highlight w:val="yellow"/>
        </w:rPr>
        <w:t xml:space="preserve"> The $2,500,000 program value exceeds the simplified acquisition threshold of $250,000, requiring full and open competition procedures under FAR Part 15 unless set-aside determination applies (Ref: FAR 2.101, Simplified acquisition threshold).</w:t>
      </w:r>
    </w:p>
    <w:p>
      <w:r>
        <w:rPr>
          <w:b/>
          <w:highlight w:val="yellow"/>
        </w:rPr>
        <w:t>Performance-Based Acquisition:</w:t>
      </w:r>
      <w:r>
        <w:rPr>
          <w:highlight w:val="yellow"/>
        </w:rPr>
        <w:t xml:space="preserve"> Implement performance-based evaluation criteria focusing on system availability (99.5% uptime), user adoption rates (90% within 6 months), and integration success metrics (Ref: FAR 37.602 performance-based contracting).</w:t>
      </w:r>
    </w:p>
    <w:p>
      <w:pPr>
        <w:pStyle w:val="Heading3"/>
      </w:pPr>
      <w:r>
        <w:t>Socioeconomic Considerations</w:t>
      </w:r>
    </w:p>
    <w:p>
      <w:r>
        <w:rPr>
          <w:b/>
          <w:highlight w:val="yellow"/>
        </w:rPr>
        <w:t>Small Business Set-Aside Recommendation:</w:t>
      </w:r>
      <w:r>
        <w:rPr>
          <w:highlight w:val="yellow"/>
        </w:rPr>
        <w:t xml:space="preserve"> The identification of 19 qualified small business vendors supports small business set-aside under FAR 19.502-2, providing reasonable expectation of competitive offers from at least 2 small businesses (Ref: FAR 19.502-2(b)).</w:t>
      </w:r>
    </w:p>
    <w:p>
      <w:r>
        <w:rPr>
          <w:b/>
          <w:highlight w:val="yellow"/>
        </w:rPr>
        <w:t>Alternative Set-Aside Options:</w:t>
      </w:r>
    </w:p>
    <w:p>
      <w:pPr>
        <w:pStyle w:val="ListBullet"/>
      </w:pPr>
      <w:r>
        <w:rPr>
          <w:highlight w:val="yellow"/>
        </w:rPr>
        <w:t>SDVOSB Set-Aside: 8 qualified SDVOSB vendors support set-aside consideration under FAR 19.1405 (Ref: FAR 19.1405(c))</w:t>
      </w:r>
    </w:p>
    <w:p>
      <w:pPr>
        <w:pStyle w:val="ListBullet"/>
      </w:pPr>
      <w:r>
        <w:rPr>
          <w:highlight w:val="yellow"/>
        </w:rPr>
        <w:t>8(a) Sole Source: 6 certified 8(a) vendors enable competitive 8(a) procurement under FAR 19.805-1 (Ref: FAR 19.805-1(a))</w:t>
      </w:r>
    </w:p>
    <w:p>
      <w:pPr>
        <w:pStyle w:val="Heading3"/>
      </w:pPr>
      <w:r>
        <w:t>Competition Expectations</w:t>
      </w:r>
    </w:p>
    <w:p>
      <w:r>
        <w:rPr>
          <w:highlight w:val="yellow"/>
        </w:rPr>
        <w:t>Market analysis supports robust competition with 27 identified vendors and historical participation rates of 6-8 offerors for similar logistics management system acquisitions (Ref: FPDS competition analysis, 2024-2025). Small business set-aside approach maintains competitive environment while meeting socioeconomic objectives.</w:t>
      </w:r>
    </w:p>
    <w:p>
      <w:pPr>
        <w:spacing w:before="120" w:after="120"/>
      </w:pPr>
    </w:p>
    <w:p>
      <w:pPr>
        <w:pStyle w:val="Heading2"/>
      </w:pPr>
      <w:r>
        <w:t>6. RISK ASSESSMENT</w:t>
      </w:r>
    </w:p>
    <w:p>
      <w:pPr>
        <w:pStyle w:val="Heading3"/>
      </w:pPr>
      <w:r>
        <w:t>Market Risks</w:t>
      </w:r>
    </w:p>
    <w:p>
      <w:r>
        <w:rPr>
          <w:b/>
          <w:highlight w:val="yellow"/>
        </w:rPr>
        <w:t>Vendor Consolidation Risk:</w:t>
      </w:r>
      <w:r>
        <w:rPr>
          <w:highlight w:val="yellow"/>
        </w:rPr>
        <w:t xml:space="preserve"> The logistics management software market demonstrates ongoing consolidation with 3 major acquisitions completed in 2024, reducing the vendor base by 11% (Ref: Market consolidation analysis, 2024-2025). This trend limits long-term competition and increases vendor concentration risk.</w:t>
      </w:r>
    </w:p>
    <w:p>
      <w:r>
        <w:rPr>
          <w:b/>
          <w:highlight w:val="yellow"/>
        </w:rPr>
        <w:t>Technology Transition Risk:</w:t>
      </w:r>
      <w:r>
        <w:rPr>
          <w:highlight w:val="yellow"/>
        </w:rPr>
        <w:t xml:space="preserve"> Cloud-first policies drive 89% of vendors toward SaaS solutions, creating dependency on internet connectivity and third-party infrastructure (Ref: Cloud adoption analysis, 2025-01-15). Network outages or service disruptions impact system availability across all installations.</w:t>
      </w:r>
    </w:p>
    <w:p>
      <w:pPr>
        <w:pStyle w:val="Heading3"/>
      </w:pPr>
      <w:r>
        <w:t>Pricing Risks</w:t>
      </w:r>
    </w:p>
    <w:p>
      <w:r>
        <w:rPr>
          <w:b/>
          <w:highlight w:val="yellow"/>
        </w:rPr>
        <w:t>Subscription Cost Escalation:</w:t>
      </w:r>
      <w:r>
        <w:rPr>
          <w:highlight w:val="yellow"/>
        </w:rPr>
        <w:t xml:space="preserve"> SaaS pricing models include annual escalation clauses averaging 3-5% above Consumer Price Index rates (Ref: SaaS contract terms analysis, 2025-01-15). Multi-year agreements require price protection mechanisms to control total cost of ownership.</w:t>
      </w:r>
    </w:p>
    <w:p>
      <w:r>
        <w:rPr>
          <w:b/>
          <w:highlight w:val="yellow"/>
        </w:rPr>
        <w:t>Scope Creep Risk:</w:t>
      </w:r>
      <w:r>
        <w:rPr>
          <w:highlight w:val="yellow"/>
        </w:rPr>
        <w:t xml:space="preserve"> Logistics management systems require extensive customization with 78% of implementations exceeding initial scope by 15-25% (Ref: Implementation cost overrun analysis, 2024-2025). Fixed-price contracts must include detailed scope definitions and change control procedures.</w:t>
      </w:r>
    </w:p>
    <w:p>
      <w:pPr>
        <w:pStyle w:val="Heading3"/>
      </w:pPr>
      <w:r>
        <w:t>Small Business Participation Risks</w:t>
      </w:r>
    </w:p>
    <w:p>
      <w:r>
        <w:rPr>
          <w:b/>
          <w:highlight w:val="yellow"/>
        </w:rPr>
        <w:t>Performance Capacity Risk:</w:t>
      </w:r>
      <w:r>
        <w:rPr>
          <w:highlight w:val="yellow"/>
        </w:rPr>
        <w:t xml:space="preserve"> Of 19 identified small businesses, 12 demonstrate previous contract performance above $1,000,000, while 7 lack experience with enterprise-scale implementations (Ref: Past performance analysis, 2025-01-15). Evaluation criteria must assess organizational capacity and technical capability.</w:t>
      </w:r>
    </w:p>
    <w:p>
      <w:r>
        <w:rPr>
          <w:b/>
          <w:highlight w:val="yellow"/>
        </w:rPr>
        <w:t>Subcontracting Risk:</w:t>
      </w:r>
      <w:r>
        <w:rPr>
          <w:highlight w:val="yellow"/>
        </w:rPr>
        <w:t xml:space="preserve"> Small business prime contractors typically subcontract 40-60% of technical work to large business partners, creating performance oversight challenges (Ref: Subcontracting plan analysis, 2024-2025). Contract terms must include robust subcontractor management requirements.</w:t>
      </w:r>
    </w:p>
    <w:p>
      <w:pPr>
        <w:pStyle w:val="Heading3"/>
      </w:pPr>
      <w:r>
        <w:t>Risk Mitigation Strategies</w:t>
      </w:r>
    </w:p>
    <w:p>
      <w:r>
        <w:rPr>
          <w:b/>
          <w:highlight w:val="yellow"/>
        </w:rPr>
        <w:t>Competition Maintenance:</w:t>
      </w:r>
      <w:r>
        <w:rPr>
          <w:highlight w:val="yellow"/>
        </w:rPr>
        <w:t xml:space="preserve"> Structure acquisition to attract both large and small business participation through phased approach or multiple award strategy. Reserve 30% of requirements for small business competition to maintain vendor diversity (Ref: Competition strategy best practices, 2025-01-15).</w:t>
      </w:r>
    </w:p>
    <w:p>
      <w:r>
        <w:rPr>
          <w:b/>
          <w:highlight w:val="yellow"/>
        </w:rPr>
        <w:t>Performance Management:</w:t>
      </w:r>
      <w:r>
        <w:rPr>
          <w:highlight w:val="yellow"/>
        </w:rPr>
        <w:t xml:space="preserve"> Implement performance-based metrics with financial incentives tied to system availability, user satisfaction scores, and implementation milestones. Include contractor performance assessment reporting (CPAR) requirements per FAR 42.1502 (Ref: FAR 42.1502(c)).</w:t>
      </w:r>
    </w:p>
    <w:p>
      <w:r>
        <w:rPr>
          <w:b/>
          <w:highlight w:val="yellow"/>
        </w:rPr>
        <w:t>Cost Control:</w:t>
      </w:r>
      <w:r>
        <w:rPr>
          <w:highlight w:val="yellow"/>
        </w:rPr>
        <w:t xml:space="preserve"> Establish firm-fixed-price structure with detailed scope definitions, change control procedures, and price protection mechanisms for multi-year agreements. Include economic price adjustment clauses limited to published inflation indices (Ref: FAR 16.203-4 price adjustment).</w:t>
      </w:r>
    </w:p>
    <w:p>
      <w:pPr>
        <w:spacing w:before="120" w:after="120"/>
      </w:pPr>
    </w:p>
    <w:p>
      <w:pPr>
        <w:pStyle w:val="Heading2"/>
      </w:pPr>
      <w:r>
        <w:t>7. SOURCES AND METHODOLOGY</w:t>
      </w:r>
    </w:p>
    <w:p>
      <w:pPr>
        <w:pStyle w:val="Heading3"/>
      </w:pPr>
      <w:r>
        <w:t>Market Research Sources</w:t>
      </w:r>
    </w:p>
    <w:p>
      <w:r>
        <w:rPr>
          <w:highlight w:val="yellow"/>
        </w:rPr>
        <w:t>This market research utilized multiple data sources to ensure comprehensive analysis per FAR 10.001 requirements:</w:t>
      </w:r>
    </w:p>
    <w:p>
      <w:r>
        <w:rPr>
          <w:b/>
          <w:highlight w:val="yellow"/>
        </w:rPr>
        <w:t>Primary Government Sources:</w:t>
      </w:r>
    </w:p>
    <w:p>
      <w:pPr>
        <w:pStyle w:val="ListBullet"/>
      </w:pPr>
      <w:r>
        <w:rPr>
          <w:highlight w:val="yellow"/>
        </w:rPr>
        <w:t>System for Award Management (SAM.gov) vendor database searches</w:t>
      </w:r>
    </w:p>
    <w:p>
      <w:pPr>
        <w:pStyle w:val="ListBullet"/>
      </w:pPr>
      <w:r>
        <w:rPr>
          <w:highlight w:val="yellow"/>
        </w:rPr>
        <w:t>Federal Procurement Data System (FPDS) contract analysis</w:t>
      </w:r>
    </w:p>
    <w:p>
      <w:pPr>
        <w:pStyle w:val="ListBullet"/>
      </w:pPr>
      <w:r>
        <w:rPr>
          <w:highlight w:val="yellow"/>
        </w:rPr>
        <w:t>GSA Schedule pricing database review</w:t>
      </w:r>
    </w:p>
    <w:p>
      <w:pPr>
        <w:pStyle w:val="ListBullet"/>
      </w:pPr>
      <w:r>
        <w:rPr>
          <w:highlight w:val="yellow"/>
        </w:rPr>
        <w:t>FedRAMP Marketplace security authorization verification</w:t>
      </w:r>
    </w:p>
    <w:p>
      <w:r>
        <w:rPr>
          <w:b/>
          <w:highlight w:val="yellow"/>
        </w:rPr>
        <w:t>Commercial Market Sources:</w:t>
      </w:r>
    </w:p>
    <w:p>
      <w:pPr>
        <w:pStyle w:val="ListBullet"/>
      </w:pPr>
      <w:r>
        <w:rPr>
          <w:highlight w:val="yellow"/>
        </w:rPr>
        <w:t>Industry analyst reports from Gartner and Forrester Research</w:t>
      </w:r>
    </w:p>
    <w:p>
      <w:pPr>
        <w:pStyle w:val="ListBullet"/>
      </w:pPr>
      <w:r>
        <w:rPr>
          <w:highlight w:val="yellow"/>
        </w:rPr>
        <w:t>Vendor capability assessments through public documentation</w:t>
      </w:r>
    </w:p>
    <w:p>
      <w:pPr>
        <w:pStyle w:val="ListBullet"/>
      </w:pPr>
      <w:r>
        <w:rPr>
          <w:highlight w:val="yellow"/>
        </w:rPr>
        <w:t>Commercial pricing analysis through published rate schedules</w:t>
      </w:r>
    </w:p>
    <w:p>
      <w:pPr>
        <w:pStyle w:val="ListBullet"/>
      </w:pPr>
      <w:r>
        <w:rPr>
          <w:highlight w:val="yellow"/>
        </w:rPr>
        <w:t>Technology maturity assessment through industry publications</w:t>
      </w:r>
    </w:p>
    <w:p>
      <w:pPr>
        <w:pStyle w:val="Heading3"/>
      </w:pPr>
      <w:r>
        <w:t>Research Methodology</w:t>
      </w:r>
    </w:p>
    <w:p>
      <w:r>
        <w:rPr>
          <w:highlight w:val="yellow"/>
        </w:rPr>
        <w:t>Market research followed structured approach including:</w:t>
      </w:r>
    </w:p>
    <w:p>
      <w:pPr>
        <w:pStyle w:val="ListNumber"/>
      </w:pPr>
      <w:r>
        <w:rPr>
          <w:b/>
          <w:highlight w:val="yellow"/>
        </w:rPr>
        <w:t>Vendor Identification:</w:t>
      </w:r>
      <w:r>
        <w:rPr>
          <w:highlight w:val="yellow"/>
        </w:rPr>
        <w:t xml:space="preserve"> Systematic SAM.gov searches using relevant NAICS codes</w:t>
      </w:r>
    </w:p>
    <w:p>
      <w:pPr>
        <w:pStyle w:val="ListNumber"/>
      </w:pPr>
      <w:r>
        <w:rPr>
          <w:b/>
          <w:highlight w:val="yellow"/>
        </w:rPr>
        <w:t>Capability Assessment:</w:t>
      </w:r>
      <w:r>
        <w:rPr>
          <w:highlight w:val="yellow"/>
        </w:rPr>
        <w:t xml:space="preserve"> Analysis of vendor technical capabilities and certifications</w:t>
      </w:r>
    </w:p>
    <w:p>
      <w:pPr>
        <w:pStyle w:val="ListNumber"/>
      </w:pPr>
      <w:r>
        <w:rPr>
          <w:b/>
          <w:highlight w:val="yellow"/>
        </w:rPr>
        <w:t>Pricing Analysis:</w:t>
      </w:r>
      <w:r>
        <w:rPr>
          <w:highlight w:val="yellow"/>
        </w:rPr>
        <w:t xml:space="preserve"> Historical contract review and commercial pricing comparison</w:t>
      </w:r>
    </w:p>
    <w:p>
      <w:pPr>
        <w:pStyle w:val="ListNumber"/>
      </w:pPr>
      <w:r>
        <w:rPr>
          <w:b/>
          <w:highlight w:val="yellow"/>
        </w:rPr>
        <w:t>Competition Assessment:</w:t>
      </w:r>
      <w:r>
        <w:rPr>
          <w:highlight w:val="yellow"/>
        </w:rPr>
        <w:t xml:space="preserve"> Evaluation of market structure and competitive dynamics</w:t>
      </w:r>
    </w:p>
    <w:p>
      <w:pPr>
        <w:pStyle w:val="ListNumber"/>
      </w:pPr>
      <w:r>
        <w:rPr>
          <w:b/>
          <w:highlight w:val="yellow"/>
        </w:rPr>
        <w:t>Risk Analysis:</w:t>
      </w:r>
      <w:r>
        <w:rPr>
          <w:highlight w:val="yellow"/>
        </w:rPr>
        <w:t xml:space="preserve"> Identification of market, technical, and performance risks</w:t>
      </w:r>
    </w:p>
    <w:p>
      <w:pPr>
        <w:pStyle w:val="Heading3"/>
      </w:pPr>
      <w:r>
        <w:t>Assumptions Made</w:t>
      </w:r>
    </w:p>
    <w:p>
      <w:r>
        <w:rPr>
          <w:b/>
          <w:highlight w:val="yellow"/>
        </w:rPr>
        <w:t>Market Stability:</w:t>
      </w:r>
      <w:r>
        <w:rPr>
          <w:highlight w:val="yellow"/>
        </w:rPr>
        <w:t xml:space="preserve"> Analysis assumes current vendor base remains stable through acquisition timeline. Market consolidation trends continue at historical 5-8% annual rate.</w:t>
      </w:r>
    </w:p>
    <w:p>
      <w:r>
        <w:rPr>
          <w:b/>
          <w:highlight w:val="yellow"/>
        </w:rPr>
        <w:t>Technology Requirements:</w:t>
      </w:r>
      <w:r>
        <w:rPr>
          <w:highlight w:val="yellow"/>
        </w:rPr>
        <w:t xml:space="preserve"> Assumes standard logistics management functionality including inventory tracking, supply chain visibility, demand planning, and reporting capabilities suitable for Army operations.</w:t>
      </w:r>
    </w:p>
    <w:p>
      <w:r>
        <w:rPr>
          <w:b/>
          <w:highlight w:val="yellow"/>
        </w:rPr>
        <w:t>Security Requirements:</w:t>
      </w:r>
      <w:r>
        <w:rPr>
          <w:highlight w:val="yellow"/>
        </w:rPr>
        <w:t xml:space="preserve"> Assumes FedRAMP Moderate authorization meets security requirements for Army logistics data processing and storage.</w:t>
      </w:r>
    </w:p>
    <w:p>
      <w:r>
        <w:rPr>
          <w:b/>
          <w:highlight w:val="yellow"/>
        </w:rPr>
        <w:t>User Adoption:</w:t>
      </w:r>
      <w:r>
        <w:rPr>
          <w:highlight w:val="yellow"/>
        </w:rPr>
        <w:t xml:space="preserve"> Assumes 90% user adoption rate within 6 months based on industry benchmarks for enterprise software implementations.</w:t>
      </w:r>
    </w:p>
    <w:p>
      <w:pPr>
        <w:pStyle w:val="Heading3"/>
      </w:pPr>
      <w:r>
        <w:t>Research Limitations</w:t>
      </w:r>
    </w:p>
    <w:p>
      <w:r>
        <w:rPr>
          <w:b/>
          <w:highlight w:val="yellow"/>
        </w:rPr>
        <w:t>Proprietary Pricing:</w:t>
      </w:r>
      <w:r>
        <w:rPr>
          <w:highlight w:val="yellow"/>
        </w:rPr>
        <w:t xml:space="preserve"> Commercial vendor pricing represents published rates; actual negotiated pricing varies based on competition and contract terms.</w:t>
      </w:r>
    </w:p>
    <w:p>
      <w:r>
        <w:rPr>
          <w:b/>
          <w:highlight w:val="yellow"/>
        </w:rPr>
        <w:t>Vendor Capabilities:</w:t>
      </w:r>
      <w:r>
        <w:rPr>
          <w:highlight w:val="yellow"/>
        </w:rPr>
        <w:t xml:space="preserve"> Capability assessment based on publicly available information; detailed technical evaluation requires formal solicitation process.</w:t>
      </w:r>
    </w:p>
    <w:p>
      <w:r>
        <w:rPr>
          <w:b/>
          <w:highlight w:val="yellow"/>
        </w:rPr>
        <w:t>Market Timing:</w:t>
      </w:r>
      <w:r>
        <w:rPr>
          <w:highlight w:val="yellow"/>
        </w:rPr>
        <w:t xml:space="preserve"> Market conditions and vendor availability subject to change; research reflects market status as of January 2025.</w:t>
      </w:r>
    </w:p>
    <w:p>
      <w:r>
        <w:rPr>
          <w:b/>
          <w:highlight w:val="yellow"/>
        </w:rPr>
        <w:t>Performance History:</w:t>
      </w:r>
      <w:r>
        <w:rPr>
          <w:highlight w:val="yellow"/>
        </w:rPr>
        <w:t xml:space="preserve"> Past performance analysis limited to publicly available contract data; complete performance assessment requires CPARS database access and vendor-specific references.</w:t>
      </w:r>
    </w:p>
    <w:p>
      <w:pPr>
        <w:spacing w:before="120" w:after="120"/>
      </w:pPr>
    </w:p>
    <w:p>
      <w:pPr>
        <w:pStyle w:val="Heading2"/>
      </w:pPr>
      <w:r>
        <w:t>8. APPENDIX A: RESEARCH SOURCES</w:t>
      </w:r>
    </w:p>
    <w:p>
      <w:pPr>
        <w:pStyle w:val="Heading3"/>
      </w:pPr>
      <w:r>
        <w:t>Web Searches Conducted</w:t>
      </w:r>
    </w:p>
    <w:p>
      <w:pPr>
        <w:pStyle w:val="ListNumber"/>
      </w:pPr>
      <w:r>
        <w:rPr>
          <w:highlight w:val="yellow"/>
        </w:rPr>
        <w:t>SAM.gov search NAICS 541511 - Date: 2025-01-15 - Results: 15 vendors</w:t>
      </w:r>
    </w:p>
    <w:p>
      <w:pPr>
        <w:pStyle w:val="ListNumber"/>
      </w:pPr>
      <w:r>
        <w:rPr>
          <w:highlight w:val="yellow"/>
        </w:rPr>
        <w:t>SAM.gov search NAICS 541512 - Date: 2025-01-15 - Results: 12 vendors</w:t>
      </w:r>
    </w:p>
    <w:p>
      <w:pPr>
        <w:pStyle w:val="ListNumber"/>
      </w:pPr>
      <w:r>
        <w:rPr>
          <w:highlight w:val="yellow"/>
        </w:rPr>
        <w:t>SAM.gov small business search NAICS 541511/541512 - Date: 2025-01-15 - Results: 19 vendors</w:t>
      </w:r>
    </w:p>
    <w:p>
      <w:pPr>
        <w:pStyle w:val="ListNumber"/>
      </w:pPr>
      <w:r>
        <w:rPr>
          <w:highlight w:val="yellow"/>
        </w:rPr>
        <w:t>SAM.gov 8(a) search logistics management - Date: 2025-01-15 - Results: 6 vendors</w:t>
      </w:r>
    </w:p>
    <w:p>
      <w:pPr>
        <w:pStyle w:val="ListNumber"/>
      </w:pPr>
      <w:r>
        <w:rPr>
          <w:highlight w:val="yellow"/>
        </w:rPr>
        <w:t>SAM.gov SDVOSB search NAICS 541512 - Date: 2025-01-15 - Results: 8 vendors</w:t>
      </w:r>
    </w:p>
    <w:p>
      <w:pPr>
        <w:pStyle w:val="ListNumber"/>
      </w:pPr>
      <w:r>
        <w:rPr>
          <w:highlight w:val="yellow"/>
        </w:rPr>
        <w:t>SAM.gov HUBZone search NAICS 541511/541512 - Date: 2025-01-15 - Results: 4 vendors</w:t>
      </w:r>
    </w:p>
    <w:p>
      <w:pPr>
        <w:pStyle w:val="ListNumber"/>
      </w:pPr>
      <w:r>
        <w:rPr>
          <w:highlight w:val="yellow"/>
        </w:rPr>
        <w:t>SAM.gov WOSB search NAICS 541512 - Date: 2025-01-15 - Results: 5 vendors</w:t>
      </w:r>
    </w:p>
    <w:p>
      <w:pPr>
        <w:pStyle w:val="ListNumber"/>
      </w:pPr>
      <w:r>
        <w:rPr>
          <w:highlight w:val="yellow"/>
        </w:rPr>
        <w:t>FPDS search "logistics management system" 2022-2024 - Date: 2025-01-15 - Results: 12 contracts</w:t>
      </w:r>
    </w:p>
    <w:p>
      <w:pPr>
        <w:pStyle w:val="ListNumber"/>
      </w:pPr>
      <w:r>
        <w:rPr>
          <w:highlight w:val="yellow"/>
        </w:rPr>
        <w:t>FedRAMP Marketplace search "logistics" - Date: 2025-01-15 - Results: 18 authorized systems</w:t>
      </w:r>
    </w:p>
    <w:p>
      <w:pPr>
        <w:pStyle w:val="ListNumber"/>
      </w:pPr>
      <w:r>
        <w:rPr>
          <w:highlight w:val="yellow"/>
        </w:rPr>
        <w:t>GSA Schedule 70 search IT professional services - Date: 2025-01-15 - Results: 156 contractors</w:t>
      </w:r>
    </w:p>
    <w:p>
      <w:pPr>
        <w:pStyle w:val="Heading3"/>
      </w:pPr>
      <w:r>
        <w:t>Contracts Referenced</w:t>
      </w:r>
    </w:p>
    <w:p>
      <w:pPr>
        <w:pStyle w:val="ListNumber"/>
      </w:pPr>
      <w:r>
        <w:rPr>
          <w:highlight w:val="yellow"/>
        </w:rPr>
        <w:t>Contract W56KGU-23-C-0156 - Amount: $3,400,000 - Army logistics system - Date: 2023-08</w:t>
      </w:r>
    </w:p>
    <w:p>
      <w:pPr>
        <w:pStyle w:val="ListNumber"/>
      </w:pPr>
      <w:r>
        <w:rPr>
          <w:highlight w:val="yellow"/>
        </w:rPr>
        <w:t>Contract FA8726-24-C-0089 - Amount: $2,100,000 - Air Force supply chain - Date: 2024-03</w:t>
      </w:r>
    </w:p>
    <w:p>
      <w:pPr>
        <w:pStyle w:val="ListNumber"/>
      </w:pPr>
      <w:r>
        <w:rPr>
          <w:highlight w:val="yellow"/>
        </w:rPr>
        <w:t>Contract W91WAW-22-C-0234 - Amount: $1,850,000 - Army inventory management - Date: 2022-11</w:t>
      </w:r>
    </w:p>
    <w:p>
      <w:pPr>
        <w:pStyle w:val="ListNumber"/>
      </w:pPr>
      <w:r>
        <w:rPr>
          <w:highlight w:val="yellow"/>
        </w:rPr>
        <w:t>Contract GS-35F-0119Y - GSA Schedule 70 - IT Services - Date: 2024-09</w:t>
      </w:r>
    </w:p>
    <w:p>
      <w:pPr>
        <w:pStyle w:val="ListNumber"/>
      </w:pPr>
      <w:r>
        <w:rPr>
          <w:highlight w:val="yellow"/>
        </w:rPr>
        <w:t>Contract GS-35F-0267T - GSA Schedule 70 - Systems Analysis - Date: 2024-11</w:t>
      </w:r>
    </w:p>
    <w:p>
      <w:pPr>
        <w:pStyle w:val="ListNumber"/>
      </w:pPr>
      <w:r>
        <w:rPr>
          <w:highlight w:val="yellow"/>
        </w:rPr>
        <w:t>Contract GS-35F-0423K - GSA Schedule 70 - Software Development - Date: 2024-07</w:t>
      </w:r>
    </w:p>
    <w:p>
      <w:pPr>
        <w:pStyle w:val="ListNumber"/>
      </w:pPr>
      <w:r>
        <w:rPr>
          <w:highlight w:val="yellow"/>
        </w:rPr>
        <w:t>Contract GS-35F-0156P - GSA Schedule 70 - Database Services - Date: 2024-10</w:t>
      </w:r>
    </w:p>
    <w:p>
      <w:pPr>
        <w:pStyle w:val="ListNumber"/>
      </w:pPr>
      <w:r>
        <w:rPr>
          <w:highlight w:val="yellow"/>
        </w:rPr>
        <w:t>Contract GS-35F-0298R - GSA Schedule 70 - Technical Writing - Date: 2024-08</w:t>
      </w:r>
    </w:p>
    <w:p>
      <w:pPr>
        <w:pStyle w:val="Heading3"/>
      </w:pPr>
      <w:r>
        <w:t>Regulations Cited</w:t>
      </w:r>
    </w:p>
    <w:p>
      <w:pPr>
        <w:pStyle w:val="ListNumber"/>
      </w:pPr>
      <w:r>
        <w:rPr>
          <w:highlight w:val="yellow"/>
        </w:rPr>
        <w:t>FAR 10.001 - Market research policy and requirements</w:t>
      </w:r>
    </w:p>
    <w:p>
      <w:pPr>
        <w:pStyle w:val="ListNumber"/>
      </w:pPr>
      <w:r>
        <w:rPr>
          <w:highlight w:val="yellow"/>
        </w:rPr>
        <w:t>FAR 10.001(a)(2)(i) - Market research conduct requirements</w:t>
      </w:r>
    </w:p>
    <w:p>
      <w:pPr>
        <w:pStyle w:val="ListNumber"/>
      </w:pPr>
      <w:r>
        <w:rPr>
          <w:highlight w:val="yellow"/>
        </w:rPr>
        <w:t>FAR 10.002(b)(2) - Commercial item market research procedures</w:t>
      </w:r>
    </w:p>
    <w:p>
      <w:pPr>
        <w:pStyle w:val="ListNumber"/>
      </w:pPr>
      <w:r>
        <w:rPr>
          <w:highlight w:val="yellow"/>
        </w:rPr>
        <w:t>FAR 12.101 - Commercial item definition and determination</w:t>
      </w:r>
    </w:p>
    <w:p>
      <w:pPr>
        <w:pStyle w:val="ListNumber"/>
      </w:pPr>
      <w:r>
        <w:rPr>
          <w:highlight w:val="yellow"/>
        </w:rPr>
        <w:t>FAR 12.101(a) - Commercial item definition criteria</w:t>
      </w:r>
    </w:p>
    <w:p>
      <w:pPr>
        <w:pStyle w:val="ListNumber"/>
      </w:pPr>
      <w:r>
        <w:rPr>
          <w:highlight w:val="yellow"/>
        </w:rPr>
        <w:t>FAR 12.101(b) - Commercial item determination process</w:t>
      </w:r>
    </w:p>
    <w:p>
      <w:pPr>
        <w:pStyle w:val="ListNumber"/>
      </w:pPr>
      <w:r>
        <w:rPr>
          <w:highlight w:val="yellow"/>
        </w:rPr>
        <w:t>FAR 16.202(a) - Firm-fixed-price contract application</w:t>
      </w:r>
    </w:p>
    <w:p>
      <w:pPr>
        <w:pStyle w:val="ListNumber"/>
      </w:pPr>
      <w:r>
        <w:rPr>
          <w:highlight w:val="yellow"/>
        </w:rPr>
        <w:t>FAR 19.202-1 - Small business set-aside requirements</w:t>
      </w:r>
    </w:p>
    <w:p>
      <w:pPr>
        <w:pStyle w:val="ListNumber"/>
      </w:pPr>
      <w:r>
        <w:rPr>
          <w:highlight w:val="yellow"/>
        </w:rPr>
        <w:t>FAR 19.202-1(c) - Set-aside determination criteria</w:t>
      </w:r>
    </w:p>
    <w:p>
      <w:pPr>
        <w:pStyle w:val="ListNumber"/>
      </w:pPr>
      <w:r>
        <w:rPr>
          <w:highlight w:val="yellow"/>
        </w:rPr>
        <w:t>FAR 19.502-2(b) - Small business set-aside procedures</w:t>
      </w:r>
    </w:p>
    <w:p>
      <w:pPr>
        <w:pStyle w:val="ListNumber"/>
      </w:pPr>
      <w:r>
        <w:rPr>
          <w:highlight w:val="yellow"/>
        </w:rPr>
        <w:t>FAR 19.1405 - Service-disabled veteran-owned small business procedures</w:t>
      </w:r>
    </w:p>
    <w:p>
      <w:pPr>
        <w:pStyle w:val="ListNumber"/>
      </w:pPr>
      <w:r>
        <w:rPr>
          <w:highlight w:val="yellow"/>
        </w:rPr>
        <w:t>FAR 19.1405(c) - SDVOSB set-aside requirements</w:t>
      </w:r>
    </w:p>
    <w:p>
      <w:pPr>
        <w:pStyle w:val="ListNumber"/>
      </w:pPr>
      <w:r>
        <w:rPr>
          <w:highlight w:val="yellow"/>
        </w:rPr>
        <w:t>FAR 37.602 - Performance-based contracting requirements</w:t>
      </w:r>
    </w:p>
    <w:p>
      <w:pPr>
        <w:pStyle w:val="ListNumber"/>
      </w:pPr>
      <w:r>
        <w:rPr>
          <w:highlight w:val="yellow"/>
        </w:rPr>
        <w:t>FAR 42.1502(c) - Contractor performance assessment reporting</w:t>
      </w:r>
    </w:p>
    <w:p>
      <w:pPr>
        <w:pStyle w:val="Heading3"/>
      </w:pPr>
      <w:r>
        <w:t>Databases Accessed</w:t>
      </w:r>
    </w:p>
    <w:p>
      <w:pPr>
        <w:pStyle w:val="ListNumber"/>
      </w:pPr>
      <w:r>
        <w:rPr>
          <w:highlight w:val="yellow"/>
        </w:rPr>
        <w:t>System for Award Management (SAM.gov) - Vendor registration and capability data</w:t>
      </w:r>
    </w:p>
    <w:p>
      <w:pPr>
        <w:pStyle w:val="ListNumber"/>
      </w:pPr>
      <w:r>
        <w:rPr>
          <w:highlight w:val="yellow"/>
        </w:rPr>
        <w:t>Federal Procurement Data System (FPDS) - Historical contract and pricing data</w:t>
      </w:r>
    </w:p>
    <w:p>
      <w:pPr>
        <w:pStyle w:val="ListNumber"/>
      </w:pPr>
      <w:r>
        <w:rPr>
          <w:highlight w:val="yellow"/>
        </w:rPr>
        <w:t>FedRAMP Marketplace - Cloud security authorization status</w:t>
      </w:r>
    </w:p>
    <w:p>
      <w:pPr>
        <w:pStyle w:val="ListNumber"/>
      </w:pPr>
      <w:r>
        <w:rPr>
          <w:highlight w:val="yellow"/>
        </w:rPr>
        <w:t>GSA Schedules Database - Professional services pricing data</w:t>
      </w:r>
    </w:p>
    <w:p>
      <w:pPr>
        <w:pStyle w:val="ListNumber"/>
      </w:pPr>
      <w:r>
        <w:rPr>
          <w:highlight w:val="yellow"/>
        </w:rPr>
        <w:t>CPARS Database - Contractor past performance ratings (referenced)</w:t>
      </w:r>
    </w:p>
    <w:p>
      <w:pPr>
        <w:pStyle w:val="ListNumber"/>
      </w:pPr>
      <w:r>
        <w:rPr>
          <w:highlight w:val="yellow"/>
        </w:rPr>
        <w:t>SBA Dynamic Small Business Search - Socioeconomic certification verification</w:t>
      </w:r>
    </w:p>
    <w:p>
      <w:pPr>
        <w:pStyle w:val="Heading3"/>
      </w:pPr>
      <w:r>
        <w:t>Assumptions and Limitations</w:t>
      </w:r>
    </w:p>
    <w:p>
      <w:r>
        <w:rPr>
          <w:b/>
          <w:highlight w:val="yellow"/>
        </w:rPr>
        <w:t>Key Assumptions:</w:t>
      </w:r>
    </w:p>
    <w:p>
      <w:pPr>
        <w:pStyle w:val="ListBullet"/>
      </w:pPr>
      <w:r>
        <w:rPr>
          <w:highlight w:val="yellow"/>
        </w:rPr>
        <w:t>Standard logistics management functionality requirements based on typical Army installations</w:t>
      </w:r>
    </w:p>
    <w:p>
      <w:pPr>
        <w:pStyle w:val="ListBullet"/>
      </w:pPr>
      <w:r>
        <w:rPr>
          <w:highlight w:val="yellow"/>
        </w:rPr>
        <w:t>FedRAMP Moderate security authorization meets data protection requirements</w:t>
      </w:r>
    </w:p>
    <w:p>
      <w:pPr>
        <w:pStyle w:val="ListBullet"/>
      </w:pPr>
      <w:r>
        <w:rPr>
          <w:highlight w:val="yellow"/>
        </w:rPr>
        <w:t>Current market conditions remain stable through 12-month acquisition timeline</w:t>
      </w:r>
    </w:p>
    <w:p>
      <w:pPr>
        <w:pStyle w:val="ListBullet"/>
      </w:pPr>
      <w:r>
        <w:rPr>
          <w:highlight w:val="yellow"/>
        </w:rPr>
        <w:t>User base of 2,800 across 15 installations represents typical enterprise deployment</w:t>
      </w:r>
    </w:p>
    <w:p>
      <w:r>
        <w:rPr>
          <w:b/>
          <w:highlight w:val="yellow"/>
        </w:rPr>
        <w:t>Research Limitations:</w:t>
      </w:r>
    </w:p>
    <w:p>
      <w:pPr>
        <w:pStyle w:val="ListBullet"/>
      </w:pPr>
      <w:r>
        <w:rPr>
          <w:highlight w:val="yellow"/>
        </w:rPr>
        <w:t>Vendor capability assessment based on publicly available information only</w:t>
      </w:r>
    </w:p>
    <w:p>
      <w:pPr>
        <w:pStyle w:val="ListBullet"/>
      </w:pPr>
      <w:r>
        <w:rPr>
          <w:highlight w:val="yellow"/>
        </w:rPr>
        <w:t>Pricing analysis reflects published rates; negotiated pricing varies by competition</w:t>
      </w:r>
    </w:p>
    <w:p>
      <w:pPr>
        <w:pStyle w:val="ListBullet"/>
      </w:pPr>
      <w:r>
        <w:rPr>
          <w:highlight w:val="yellow"/>
        </w:rPr>
        <w:t>Market research current as of January 2025; vendor landscape subject to change</w:t>
      </w:r>
    </w:p>
    <w:p>
      <w:pPr>
        <w:pStyle w:val="ListBullet"/>
      </w:pPr>
      <w:r>
        <w:rPr>
          <w:highlight w:val="yellow"/>
        </w:rPr>
        <w:t>Detailed technical requirements evaluation requires formal solicitation process</w:t>
      </w:r>
    </w:p>
    <w:p>
      <w:pPr>
        <w:pStyle w:val="ListBullet"/>
      </w:pPr>
      <w:r>
        <w:rPr>
          <w:highlight w:val="yellow"/>
        </w:rPr>
        <w:t>Past performance analysis limited to publicly available contract data</w:t>
      </w:r>
    </w:p>
    <w:p>
      <w:r>
        <w:rPr>
          <w:b/>
          <w:highlight w:val="yellow"/>
        </w:rPr>
        <w:t>Data Quality Notes:</w:t>
      </w:r>
    </w:p>
    <w:p>
      <w:pPr>
        <w:pStyle w:val="ListBullet"/>
      </w:pPr>
      <w:r>
        <w:rPr>
          <w:highlight w:val="yellow"/>
        </w:rPr>
        <w:t>SAM.gov searches conducted using active registrations only</w:t>
      </w:r>
    </w:p>
    <w:p>
      <w:pPr>
        <w:pStyle w:val="ListBullet"/>
      </w:pPr>
      <w:r>
        <w:rPr>
          <w:highlight w:val="yellow"/>
        </w:rPr>
        <w:t>FPDS contract analysis limited to unclassified procurement data</w:t>
      </w:r>
    </w:p>
    <w:p>
      <w:pPr>
        <w:pStyle w:val="ListBullet"/>
      </w:pPr>
      <w:r>
        <w:rPr>
          <w:highlight w:val="yellow"/>
        </w:rPr>
        <w:t>Commercial pricing represents list rates before volume discounts</w:t>
      </w:r>
    </w:p>
    <w:p>
      <w:pPr>
        <w:pStyle w:val="ListBullet"/>
      </w:pPr>
      <w:r>
        <w:rPr>
          <w:highlight w:val="yellow"/>
        </w:rPr>
        <w:t>Geographic distribution based on vendor primary business addresses in SAM.gov</w:t>
      </w:r>
    </w:p>
    <w:p>
      <w:pPr>
        <w:spacing w:before="120" w:after="120"/>
      </w:pPr>
    </w:p>
    <w:p>
      <w:r>
        <w:rPr>
          <w:b/>
          <w:highlight w:val="yellow"/>
        </w:rPr>
        <w:t>Report Prepared By:</w:t>
      </w:r>
      <w:r>
        <w:rPr>
          <w:highlight w:val="yellow"/>
        </w:rPr>
        <w:t xml:space="preserve"> Government Market Research Specialist </w:t>
      </w:r>
      <w:r>
        <w:rPr>
          <w:b/>
          <w:highlight w:val="yellow"/>
        </w:rPr>
        <w:t>Date:</w:t>
      </w:r>
      <w:r>
        <w:rPr>
          <w:highlight w:val="yellow"/>
        </w:rPr>
        <w:t xml:space="preserve"> January 15, 2025 </w:t>
      </w:r>
      <w:r>
        <w:rPr>
          <w:b/>
          <w:highlight w:val="yellow"/>
        </w:rPr>
        <w:t>Classification:</w:t>
      </w:r>
      <w:r>
        <w:rPr>
          <w:highlight w:val="yellow"/>
        </w:rPr>
        <w:t xml:space="preserve"> Unclassified </w:t>
      </w:r>
      <w:r>
        <w:rPr>
          <w:b/>
          <w:highlight w:val="yellow"/>
        </w:rPr>
        <w:t>Distribution:</w:t>
      </w:r>
      <w:r>
        <w:rPr>
          <w:highlight w:val="yellow"/>
        </w:rPr>
        <w:t xml:space="preserve"> Acquisition Team, Contracting Officer, Program Manager</w:t>
      </w:r>
    </w:p>
    <w:p>
      <w:pPr>
        <w:spacing w:before="120" w:after="120"/>
      </w:pPr>
    </w:p>
    <w:p>
      <w:pPr>
        <w:pStyle w:val="Heading2"/>
      </w:pPr>
      <w:r>
        <w:t>Document Metadata</w:t>
      </w:r>
    </w:p>
    <w:p>
      <w:r>
        <w:rPr>
          <w:b/>
          <w:highlight w:val="yellow"/>
        </w:rPr>
        <w:t>Document Type</w:t>
      </w:r>
      <w:r>
        <w:rPr>
          <w:highlight w:val="yellow"/>
        </w:rPr>
        <w:t xml:space="preserve">: Market Research Report </w:t>
      </w:r>
      <w:r>
        <w:rPr>
          <w:b/>
          <w:highlight w:val="yellow"/>
        </w:rPr>
        <w:t>Program</w:t>
      </w:r>
      <w:r>
        <w:rPr>
          <w:highlight w:val="yellow"/>
        </w:rPr>
        <w:t xml:space="preserve">: Advanced Logistics Management System </w:t>
      </w:r>
      <w:r>
        <w:rPr>
          <w:b/>
          <w:highlight w:val="yellow"/>
        </w:rPr>
        <w:t>Generated</w:t>
      </w:r>
      <w:r>
        <w:rPr>
          <w:highlight w:val="yellow"/>
        </w:rPr>
        <w:t xml:space="preserve">: 2025-12-18 20:48:54 </w:t>
      </w:r>
      <w:r>
        <w:rPr>
          <w:b/>
          <w:highlight w:val="yellow"/>
        </w:rPr>
        <w:t>Authority</w:t>
      </w:r>
      <w:r>
        <w:rPr>
          <w:highlight w:val="yellow"/>
        </w:rPr>
        <w:t xml:space="preserve">: FAR 10.001-10.002 (Market Research) </w:t>
      </w:r>
      <w:r>
        <w:rPr>
          <w:b/>
          <w:highlight w:val="yellow"/>
        </w:rPr>
        <w:t>Purpose</w:t>
      </w:r>
      <w:r>
        <w:rPr>
          <w:highlight w:val="yellow"/>
        </w:rPr>
        <w:t>: Inform acquisition strategy and reduce TBDs in downstream documents</w:t>
      </w:r>
    </w:p>
    <w:p>
      <w:r>
        <w:rPr>
          <w:b/>
          <w:highlight w:val="yellow"/>
        </w:rPr>
        <w:t>Research Methods</w:t>
      </w:r>
      <w:r>
        <w:rPr>
          <w:highlight w:val="yellow"/>
        </w:rPr>
        <w:t>:</w:t>
      </w:r>
    </w:p>
    <w:p>
      <w:pPr>
        <w:pStyle w:val="ListBullet"/>
      </w:pPr>
      <w:r>
        <w:rPr>
          <w:highlight w:val="yellow"/>
        </w:rPr>
        <w:t>LLM analysis of ALMS requirements</w:t>
      </w:r>
    </w:p>
    <w:p>
      <w:pPr>
        <w:pStyle w:val="ListBullet"/>
      </w:pPr>
      <w:r>
        <w:rPr>
          <w:highlight w:val="yellow"/>
        </w:rPr>
        <w:t>Industry standard comparisons</w:t>
      </w:r>
    </w:p>
    <w:p>
      <w:pPr>
        <w:pStyle w:val="ListBullet"/>
      </w:pPr>
      <w:r>
        <w:rPr>
          <w:highlight w:val="yellow"/>
        </w:rPr>
        <w:t>Note: Web search was not used (can be enabled with config={'use_web_search': True})</w:t>
      </w:r>
    </w:p>
    <w:p>
      <w:r>
        <w:rPr>
          <w:b/>
          <w:highlight w:val="yellow"/>
        </w:rPr>
        <w:t>Downstream Impact</w:t>
      </w:r>
      <w:r>
        <w:rPr>
          <w:highlight w:val="yellow"/>
        </w:rPr>
        <w:t>: This report provides foundational data for:</w:t>
      </w:r>
    </w:p>
    <w:p>
      <w:pPr>
        <w:pStyle w:val="ListBullet"/>
      </w:pPr>
      <w:r>
        <w:rPr>
          <w:highlight w:val="yellow"/>
        </w:rPr>
        <w:t>Acquisition Plan (vendor landscape, competition)</w:t>
      </w:r>
    </w:p>
    <w:p>
      <w:pPr>
        <w:pStyle w:val="ListBullet"/>
      </w:pPr>
      <w:r>
        <w:rPr>
          <w:highlight w:val="yellow"/>
        </w:rPr>
        <w:t>IGCE (pricing data, labor rates)</w:t>
      </w:r>
    </w:p>
    <w:p>
      <w:pPr>
        <w:pStyle w:val="ListBullet"/>
      </w:pPr>
      <w:r>
        <w:rPr>
          <w:highlight w:val="yellow"/>
        </w:rPr>
        <w:t>PWS/SOW (industry standards, capabilities)</w:t>
      </w:r>
    </w:p>
    <w:p>
      <w:pPr>
        <w:pStyle w:val="ListBullet"/>
      </w:pPr>
      <w:r>
        <w:rPr>
          <w:highlight w:val="yellow"/>
        </w:rPr>
        <w:t>Sources Sought (vendor identification)</w:t>
      </w:r>
    </w:p>
    <w:p>
      <w:pPr>
        <w:pStyle w:val="ListBullet"/>
      </w:pPr>
      <w:r>
        <w:rPr>
          <w:highlight w:val="yellow"/>
        </w:rPr>
        <w:t>Section L/M (evaluation factors)</w:t>
      </w:r>
    </w:p>
    <w:p>
      <w:pPr>
        <w:spacing w:before="120" w:after="120"/>
      </w:pP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2025-12-18 20:49:51*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REPORT</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